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E5B60" w14:textId="720A10D4" w:rsidR="000B370D" w:rsidRPr="000B370D" w:rsidRDefault="0040711E" w:rsidP="0023186E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0B370D">
        <w:rPr>
          <w:rFonts w:ascii="Arial" w:hAnsi="Arial" w:cs="Arial"/>
          <w:b/>
          <w:color w:val="000000" w:themeColor="text1"/>
          <w:sz w:val="40"/>
          <w:szCs w:val="40"/>
        </w:rPr>
        <w:t>Supplementa</w:t>
      </w:r>
      <w:r w:rsidR="004D2DB0" w:rsidRPr="000B370D">
        <w:rPr>
          <w:rFonts w:ascii="Arial" w:hAnsi="Arial" w:cs="Arial"/>
          <w:b/>
          <w:color w:val="000000" w:themeColor="text1"/>
          <w:sz w:val="40"/>
          <w:szCs w:val="40"/>
        </w:rPr>
        <w:t>ry</w:t>
      </w:r>
      <w:r w:rsidRPr="000B370D">
        <w:rPr>
          <w:rFonts w:ascii="Arial" w:hAnsi="Arial" w:cs="Arial"/>
          <w:b/>
          <w:color w:val="000000" w:themeColor="text1"/>
          <w:sz w:val="40"/>
          <w:szCs w:val="40"/>
        </w:rPr>
        <w:t xml:space="preserve"> </w:t>
      </w:r>
      <w:r w:rsidR="000B370D" w:rsidRPr="000B370D">
        <w:rPr>
          <w:rFonts w:ascii="Arial" w:hAnsi="Arial" w:cs="Arial"/>
          <w:b/>
          <w:color w:val="000000" w:themeColor="text1"/>
          <w:sz w:val="40"/>
          <w:szCs w:val="40"/>
        </w:rPr>
        <w:t>information</w:t>
      </w:r>
    </w:p>
    <w:p w14:paraId="5D50113E" w14:textId="77777777" w:rsidR="000B370D" w:rsidRPr="000B370D" w:rsidRDefault="000B370D" w:rsidP="000B370D">
      <w:pPr>
        <w:spacing w:line="36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  <w:r w:rsidRPr="000B370D">
        <w:rPr>
          <w:rFonts w:ascii="Arial" w:hAnsi="Arial" w:cs="Arial"/>
          <w:bCs/>
          <w:color w:val="000000"/>
          <w:sz w:val="32"/>
          <w:szCs w:val="32"/>
        </w:rPr>
        <w:t>Genomic and TCR Repertoire Intratumor Heterogeneity of Small-cell Lung Cancer and its Impact on Survival</w:t>
      </w:r>
    </w:p>
    <w:p w14:paraId="07348AF5" w14:textId="2BE48F08" w:rsidR="000B370D" w:rsidRPr="000B370D" w:rsidRDefault="000B370D" w:rsidP="000B370D">
      <w:pPr>
        <w:spacing w:line="36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  <w:r w:rsidRPr="000B370D">
        <w:rPr>
          <w:rFonts w:ascii="Arial" w:hAnsi="Arial" w:cs="Arial"/>
          <w:bCs/>
          <w:color w:val="000000"/>
          <w:sz w:val="32"/>
          <w:szCs w:val="32"/>
        </w:rPr>
        <w:t xml:space="preserve">Chen </w:t>
      </w:r>
      <w:r w:rsidRPr="003B5B35">
        <w:rPr>
          <w:rFonts w:ascii="Arial" w:hAnsi="Arial" w:cs="Arial"/>
          <w:bCs/>
          <w:i/>
          <w:color w:val="000000"/>
          <w:sz w:val="32"/>
          <w:szCs w:val="32"/>
        </w:rPr>
        <w:t>et al</w:t>
      </w:r>
      <w:r w:rsidRPr="000B370D">
        <w:rPr>
          <w:rFonts w:ascii="Arial" w:hAnsi="Arial" w:cs="Arial"/>
          <w:bCs/>
          <w:color w:val="000000"/>
          <w:sz w:val="32"/>
          <w:szCs w:val="32"/>
        </w:rPr>
        <w:t>.</w:t>
      </w:r>
    </w:p>
    <w:p w14:paraId="3CE73573" w14:textId="77777777" w:rsidR="000B370D" w:rsidRDefault="000B370D" w:rsidP="000B370D">
      <w:pPr>
        <w:spacing w:after="160" w:line="259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47DBFB9A" w14:textId="02D4E87A" w:rsidR="000B370D" w:rsidRPr="000B370D" w:rsidRDefault="000B370D" w:rsidP="000B370D">
      <w:pPr>
        <w:spacing w:after="160" w:line="259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br w:type="page"/>
      </w:r>
    </w:p>
    <w:p w14:paraId="3295E2EE" w14:textId="3B2F8D84" w:rsidR="001A5109" w:rsidRDefault="001A5109" w:rsidP="001A5109">
      <w:pPr>
        <w:spacing w:line="360" w:lineRule="auto"/>
        <w:rPr>
          <w:rFonts w:ascii="Arial" w:hAnsi="Arial" w:cs="Arial"/>
          <w:b/>
          <w:noProof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Supplementary Figure </w:t>
      </w:r>
      <w:r w:rsidRPr="002356B1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</w:p>
    <w:p w14:paraId="7A38E548" w14:textId="69644C9C" w:rsidR="0040711E" w:rsidRDefault="0040711E" w:rsidP="001A5109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110C3"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inline distT="0" distB="0" distL="0" distR="0" wp14:anchorId="1DFE0B73" wp14:editId="360A093A">
            <wp:extent cx="5943600" cy="2571750"/>
            <wp:effectExtent l="0" t="0" r="0" b="0"/>
            <wp:docPr id="1" name="Picture 1" descr="C:\Users\Rchen2\Downloads\SCLC paper - 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chen2\Downloads\SCLC paper - Fig 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7" b="34400"/>
                    <a:stretch/>
                  </pic:blipFill>
                  <pic:spPr bwMode="auto"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0F390" w14:textId="34805DC4" w:rsidR="0040711E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40711E" w:rsidRPr="002356B1">
        <w:rPr>
          <w:rFonts w:ascii="Arial" w:hAnsi="Arial" w:cs="Arial"/>
          <w:b/>
          <w:bCs/>
          <w:color w:val="000000" w:themeColor="text1"/>
          <w:sz w:val="24"/>
          <w:szCs w:val="24"/>
        </w:rPr>
        <w:t> Study schem</w:t>
      </w:r>
      <w:r w:rsidR="0040711E" w:rsidRPr="007D433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 of genomic and T cell receptor (TCR) </w:t>
      </w:r>
      <w:r w:rsidR="007D4334" w:rsidRPr="007D4334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intratumor heterogeneity (ITH)</w:t>
      </w:r>
      <w:r w:rsidR="0040711E" w:rsidRPr="007D433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of </w:t>
      </w:r>
      <w:r w:rsidR="007D4334" w:rsidRPr="007D4334">
        <w:rPr>
          <w:rFonts w:ascii="Arial" w:hAnsi="Arial" w:cs="Arial"/>
          <w:b/>
          <w:bCs/>
          <w:color w:val="000000" w:themeColor="text1"/>
          <w:sz w:val="24"/>
          <w:szCs w:val="24"/>
        </w:rPr>
        <w:t>small-cell lung cancer (SCLC)</w:t>
      </w:r>
      <w:r w:rsidR="0040711E" w:rsidRPr="007D433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by m</w:t>
      </w:r>
      <w:r w:rsidR="0040711E" w:rsidRPr="002356B1">
        <w:rPr>
          <w:rFonts w:ascii="Arial" w:hAnsi="Arial" w:cs="Arial"/>
          <w:b/>
          <w:bCs/>
          <w:color w:val="000000" w:themeColor="text1"/>
          <w:sz w:val="24"/>
          <w:szCs w:val="24"/>
        </w:rPr>
        <w:t>ulti</w:t>
      </w:r>
      <w:r w:rsidR="007D4334">
        <w:rPr>
          <w:rFonts w:ascii="Arial" w:hAnsi="Arial" w:cs="Arial"/>
          <w:b/>
          <w:bCs/>
          <w:color w:val="000000" w:themeColor="text1"/>
          <w:sz w:val="24"/>
          <w:szCs w:val="24"/>
        </w:rPr>
        <w:t>-</w:t>
      </w:r>
      <w:r w:rsidR="0040711E" w:rsidRPr="002356B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region sequencing. </w:t>
      </w:r>
    </w:p>
    <w:p w14:paraId="3B99EBCA" w14:textId="77777777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AF77815" w14:textId="22C66CFC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Supplementary Figure </w:t>
      </w:r>
      <w:r w:rsidRPr="00716F36">
        <w:rPr>
          <w:rFonts w:ascii="Arial" w:hAnsi="Arial" w:cs="Arial"/>
          <w:b/>
          <w:bCs/>
          <w:sz w:val="24"/>
          <w:szCs w:val="24"/>
          <w:shd w:val="clear" w:color="auto" w:fill="FFFFFF"/>
        </w:rPr>
        <w:t>2</w:t>
      </w:r>
    </w:p>
    <w:p w14:paraId="4C4CD79E" w14:textId="2B502F12" w:rsidR="0040711E" w:rsidRDefault="001A5109" w:rsidP="0023186E">
      <w:pPr>
        <w:tabs>
          <w:tab w:val="left" w:pos="6525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22A2326" wp14:editId="45074445">
            <wp:extent cx="4582160" cy="24561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9"/>
                    <a:stretch/>
                  </pic:blipFill>
                  <pic:spPr bwMode="auto">
                    <a:xfrm>
                      <a:off x="0" y="0"/>
                      <a:ext cx="4588009" cy="24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8AF6D" w14:textId="3ABC9FEE" w:rsidR="0040711E" w:rsidRDefault="001A51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Fig.</w:t>
      </w:r>
      <w:r w:rsidR="000B370D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40711E" w:rsidRPr="00716F36">
        <w:rPr>
          <w:rFonts w:ascii="Arial" w:hAnsi="Arial" w:cs="Arial"/>
          <w:b/>
          <w:bCs/>
          <w:sz w:val="24"/>
          <w:szCs w:val="24"/>
          <w:shd w:val="clear" w:color="auto" w:fill="FFFFFF"/>
        </w:rPr>
        <w:t>2</w:t>
      </w:r>
      <w:r w:rsidR="0040711E" w:rsidRPr="00716F36">
        <w:rPr>
          <w:rFonts w:ascii="Arial" w:hAnsi="Arial" w:cs="Arial"/>
          <w:b/>
          <w:sz w:val="24"/>
          <w:szCs w:val="24"/>
        </w:rPr>
        <w:t xml:space="preserve"> Schema of tissue “grid” methodology for multi</w:t>
      </w:r>
      <w:r w:rsidR="007D4334" w:rsidRPr="00716F36">
        <w:rPr>
          <w:rFonts w:ascii="Arial" w:hAnsi="Arial" w:cs="Arial"/>
          <w:b/>
          <w:sz w:val="24"/>
          <w:szCs w:val="24"/>
        </w:rPr>
        <w:t>-</w:t>
      </w:r>
      <w:r w:rsidR="0040711E" w:rsidRPr="00716F36">
        <w:rPr>
          <w:rFonts w:ascii="Arial" w:hAnsi="Arial" w:cs="Arial"/>
          <w:b/>
          <w:sz w:val="24"/>
          <w:szCs w:val="24"/>
        </w:rPr>
        <w:t>region sampling.</w:t>
      </w:r>
      <w:r w:rsidR="0040711E" w:rsidRPr="00716F36">
        <w:rPr>
          <w:rFonts w:ascii="Arial" w:hAnsi="Arial" w:cs="Arial"/>
          <w:sz w:val="24"/>
          <w:szCs w:val="24"/>
        </w:rPr>
        <w:t xml:space="preserve"> </w:t>
      </w:r>
      <w:r w:rsidR="00D77309">
        <w:rPr>
          <w:rFonts w:ascii="Arial" w:hAnsi="Arial" w:cs="Arial"/>
          <w:b/>
          <w:sz w:val="24"/>
          <w:szCs w:val="24"/>
        </w:rPr>
        <w:t>(a</w:t>
      </w:r>
      <w:r w:rsidR="0040711E" w:rsidRPr="00716F36">
        <w:rPr>
          <w:rFonts w:ascii="Arial" w:hAnsi="Arial" w:cs="Arial"/>
          <w:b/>
          <w:sz w:val="24"/>
          <w:szCs w:val="24"/>
        </w:rPr>
        <w:t>)</w:t>
      </w:r>
      <w:r w:rsidR="0040711E" w:rsidRPr="00716F36">
        <w:rPr>
          <w:rFonts w:ascii="Arial" w:hAnsi="Arial" w:cs="Arial"/>
          <w:sz w:val="24"/>
          <w:szCs w:val="24"/>
        </w:rPr>
        <w:t xml:space="preserve"> Tissue is consecutively sectioned for histology evaluation (H&amp;E), 30-50 µm </w:t>
      </w:r>
      <w:r w:rsidR="0040711E" w:rsidRPr="00716F36">
        <w:rPr>
          <w:rFonts w:ascii="Arial" w:hAnsi="Arial" w:cs="Arial"/>
          <w:sz w:val="24"/>
          <w:szCs w:val="24"/>
        </w:rPr>
        <w:lastRenderedPageBreak/>
        <w:t>section, followed by 5 µm histology sections for H</w:t>
      </w:r>
      <w:r w:rsidR="007D4334" w:rsidRPr="00716F36">
        <w:rPr>
          <w:rFonts w:ascii="Arial" w:hAnsi="Arial" w:cs="Arial"/>
          <w:sz w:val="24"/>
          <w:szCs w:val="24"/>
        </w:rPr>
        <w:t>&amp;</w:t>
      </w:r>
      <w:r w:rsidR="0040711E" w:rsidRPr="00716F36">
        <w:rPr>
          <w:rFonts w:ascii="Arial" w:hAnsi="Arial" w:cs="Arial"/>
          <w:sz w:val="24"/>
          <w:szCs w:val="24"/>
        </w:rPr>
        <w:t xml:space="preserve">E assessment. </w:t>
      </w:r>
      <w:r w:rsidR="00D77309">
        <w:rPr>
          <w:rFonts w:ascii="Arial" w:hAnsi="Arial" w:cs="Arial"/>
          <w:b/>
          <w:sz w:val="24"/>
          <w:szCs w:val="24"/>
        </w:rPr>
        <w:t>(b</w:t>
      </w:r>
      <w:r w:rsidR="0040711E" w:rsidRPr="00716F36">
        <w:rPr>
          <w:rFonts w:ascii="Arial" w:hAnsi="Arial" w:cs="Arial"/>
          <w:b/>
          <w:sz w:val="24"/>
          <w:szCs w:val="24"/>
        </w:rPr>
        <w:t>)</w:t>
      </w:r>
      <w:r w:rsidR="0040711E" w:rsidRPr="00716F36">
        <w:rPr>
          <w:rFonts w:ascii="Arial" w:hAnsi="Arial" w:cs="Arial"/>
          <w:sz w:val="24"/>
          <w:szCs w:val="24"/>
        </w:rPr>
        <w:t xml:space="preserve"> A 50µm thick section from a large lesion like surgically resected lung adenocarcinoma. A grid is superimposed between H&amp;E and thick sections to identify and select multiple spatially separated 3 x 3 mm regions (red squares) to be dissected for DNA extraction using Biobank Card system. </w:t>
      </w:r>
    </w:p>
    <w:p w14:paraId="3140A300" w14:textId="77777777" w:rsidR="001A5109" w:rsidRDefault="001A51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BA0F45" w14:textId="59E9F38A" w:rsidR="001A5109" w:rsidRPr="00716F36" w:rsidRDefault="001A51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3</w:t>
      </w:r>
    </w:p>
    <w:p w14:paraId="1486328E" w14:textId="22DF2832" w:rsidR="0040711E" w:rsidRDefault="00625703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inline distT="0" distB="0" distL="0" distR="0" wp14:anchorId="79EF036E" wp14:editId="7C66ACC9">
            <wp:extent cx="5902854" cy="416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43" cy="4164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96A55" w14:textId="12300316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40711E" w:rsidRPr="007527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2570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Non-silent mutations and copy number aberration (CNA) burden </w:t>
      </w:r>
      <w:r w:rsidR="0040711E" w:rsidRPr="007527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identified in 50 </w:t>
      </w:r>
      <w:r w:rsidR="007D4334">
        <w:rPr>
          <w:rFonts w:ascii="Arial" w:hAnsi="Arial" w:cs="Arial"/>
          <w:b/>
          <w:bCs/>
          <w:color w:val="000000" w:themeColor="text1"/>
          <w:sz w:val="24"/>
          <w:szCs w:val="24"/>
        </w:rPr>
        <w:t>small-c</w:t>
      </w:r>
      <w:r w:rsidR="007D4334" w:rsidRPr="00625703">
        <w:rPr>
          <w:rFonts w:ascii="Arial" w:hAnsi="Arial" w:cs="Arial"/>
          <w:b/>
          <w:bCs/>
          <w:color w:val="000000" w:themeColor="text1"/>
          <w:sz w:val="24"/>
          <w:szCs w:val="24"/>
        </w:rPr>
        <w:t>ell lung cancer (</w:t>
      </w:r>
      <w:r w:rsidR="0040711E" w:rsidRPr="00625703">
        <w:rPr>
          <w:rFonts w:ascii="Arial" w:hAnsi="Arial" w:cs="Arial"/>
          <w:b/>
          <w:bCs/>
          <w:color w:val="000000" w:themeColor="text1"/>
          <w:sz w:val="24"/>
          <w:szCs w:val="24"/>
        </w:rPr>
        <w:t>SCLC</w:t>
      </w:r>
      <w:r w:rsidR="007D4334" w:rsidRPr="00625703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40711E" w:rsidRPr="0062570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specimens. </w:t>
      </w:r>
      <w:r w:rsidR="00625703" w:rsidRPr="0062570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(a) </w:t>
      </w:r>
      <w:r w:rsidR="00625703" w:rsidRPr="00625703">
        <w:rPr>
          <w:rFonts w:ascii="Arial" w:hAnsi="Arial" w:cs="Arial"/>
          <w:bCs/>
          <w:color w:val="000000" w:themeColor="text1"/>
          <w:sz w:val="24"/>
          <w:szCs w:val="24"/>
        </w:rPr>
        <w:t>Total number of non-silent mutations</w:t>
      </w:r>
      <w:r w:rsidR="00625703" w:rsidRPr="00625703">
        <w:rPr>
          <w:rFonts w:ascii="Arial" w:hAnsi="Arial" w:cs="Arial"/>
          <w:bCs/>
          <w:sz w:val="24"/>
          <w:szCs w:val="24"/>
        </w:rPr>
        <w:t xml:space="preserve"> and </w:t>
      </w:r>
      <w:r w:rsidR="00625703" w:rsidRPr="00625703">
        <w:rPr>
          <w:rFonts w:ascii="Arial" w:hAnsi="Arial" w:cs="Arial"/>
          <w:b/>
          <w:bCs/>
          <w:sz w:val="24"/>
          <w:szCs w:val="24"/>
        </w:rPr>
        <w:t>(b)</w:t>
      </w:r>
      <w:r w:rsidR="00625703" w:rsidRPr="00625703">
        <w:rPr>
          <w:rFonts w:ascii="Arial" w:hAnsi="Arial" w:cs="Arial"/>
          <w:bCs/>
          <w:sz w:val="24"/>
          <w:szCs w:val="24"/>
        </w:rPr>
        <w:t xml:space="preserve"> </w:t>
      </w:r>
      <w:r w:rsidR="00625703" w:rsidRPr="00625703">
        <w:rPr>
          <w:rFonts w:ascii="Arial" w:hAnsi="Arial" w:cs="Arial"/>
          <w:color w:val="000000" w:themeColor="text1"/>
          <w:sz w:val="24"/>
          <w:szCs w:val="24"/>
        </w:rPr>
        <w:t xml:space="preserve">Copy number gain burden (number of genes in the chromosomal segments with tumor/normal log2 ratio </w:t>
      </w:r>
      <w:r w:rsidR="00625703" w:rsidRPr="00625703">
        <w:rPr>
          <w:rFonts w:ascii="Arial" w:eastAsia="MS Gothic" w:hAnsi="Arial" w:cs="Arial"/>
          <w:color w:val="000000" w:themeColor="text1"/>
          <w:sz w:val="24"/>
          <w:szCs w:val="24"/>
        </w:rPr>
        <w:t xml:space="preserve">≥ 0.6, </w:t>
      </w:r>
      <w:r w:rsidR="00625703" w:rsidRPr="00625703">
        <w:rPr>
          <w:rFonts w:ascii="Arial" w:hAnsi="Arial" w:cs="Arial"/>
          <w:color w:val="000000" w:themeColor="text1"/>
          <w:sz w:val="24"/>
          <w:szCs w:val="24"/>
        </w:rPr>
        <w:t>peach) and loss burden (number of genes in the chromosomal segments with tumor/normal log2 ratio</w:t>
      </w:r>
      <w:r w:rsidR="00625703" w:rsidRPr="00625703">
        <w:rPr>
          <w:rFonts w:ascii="Arial" w:eastAsia="MS Gothic" w:hAnsi="Arial" w:cs="Arial"/>
          <w:color w:val="000000" w:themeColor="text1"/>
          <w:sz w:val="24"/>
          <w:szCs w:val="24"/>
        </w:rPr>
        <w:t xml:space="preserve"> ≤ </w:t>
      </w:r>
      <w:r w:rsidR="00625703" w:rsidRPr="00625703">
        <w:rPr>
          <w:rFonts w:ascii="Arial" w:hAnsi="Arial" w:cs="Arial"/>
          <w:color w:val="000000" w:themeColor="text1"/>
          <w:sz w:val="24"/>
          <w:szCs w:val="24"/>
        </w:rPr>
        <w:t xml:space="preserve">-0.6, </w:t>
      </w:r>
      <w:r w:rsidR="00625703" w:rsidRPr="0062570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green) in 50 SCLC tumors. </w:t>
      </w:r>
      <w:r w:rsidR="0040711E" w:rsidRPr="00625703">
        <w:rPr>
          <w:rFonts w:ascii="Arial" w:hAnsi="Arial" w:cs="Arial"/>
          <w:bCs/>
          <w:sz w:val="24"/>
          <w:szCs w:val="24"/>
        </w:rPr>
        <w:t>Purple patient IDs = patients who were alive; Green patient IDs = patients who were deceased</w:t>
      </w:r>
      <w:r w:rsidR="0040711E" w:rsidRPr="0062570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851302C" w14:textId="77777777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B9BFE1" w14:textId="48AEC511" w:rsidR="001A5109" w:rsidRPr="001A5109" w:rsidRDefault="001A5109" w:rsidP="001A5109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4</w:t>
      </w:r>
    </w:p>
    <w:p w14:paraId="03B95CE8" w14:textId="3ED85686" w:rsidR="0040711E" w:rsidRDefault="00625703" w:rsidP="00625703">
      <w:pPr>
        <w:tabs>
          <w:tab w:val="left" w:pos="6525"/>
        </w:tabs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266B2261" wp14:editId="2D57B57D">
            <wp:extent cx="5754370" cy="5136222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75" cy="5138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67687" w14:textId="305A3BE7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Supplementary Fig.</w:t>
      </w:r>
      <w:r w:rsidR="000B370D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4</w:t>
      </w:r>
      <w:r w:rsidR="0040711E" w:rsidRPr="007D4334">
        <w:rPr>
          <w:rFonts w:ascii="Arial" w:hAnsi="Arial" w:cs="Arial"/>
          <w:b/>
          <w:bCs/>
          <w:sz w:val="24"/>
          <w:szCs w:val="24"/>
        </w:rPr>
        <w:t xml:space="preserve"> </w:t>
      </w:r>
      <w:r w:rsidR="00625703">
        <w:rPr>
          <w:rFonts w:ascii="Arial" w:hAnsi="Arial" w:cs="Arial"/>
          <w:b/>
          <w:bCs/>
          <w:sz w:val="24"/>
          <w:szCs w:val="24"/>
        </w:rPr>
        <w:t>G</w:t>
      </w:r>
      <w:r w:rsidR="0040711E" w:rsidRPr="007D4334">
        <w:rPr>
          <w:rFonts w:ascii="Arial" w:hAnsi="Arial" w:cs="Arial"/>
          <w:b/>
          <w:bCs/>
          <w:sz w:val="24"/>
          <w:szCs w:val="24"/>
        </w:rPr>
        <w:t xml:space="preserve">enomic </w:t>
      </w:r>
      <w:r w:rsidR="005D3B9A">
        <w:rPr>
          <w:rFonts w:ascii="Arial" w:hAnsi="Arial" w:cs="Arial"/>
          <w:b/>
          <w:bCs/>
          <w:sz w:val="24"/>
          <w:szCs w:val="24"/>
        </w:rPr>
        <w:t xml:space="preserve">intratumor </w:t>
      </w:r>
      <w:r w:rsidR="0040711E" w:rsidRPr="007D4334">
        <w:rPr>
          <w:rFonts w:ascii="Arial" w:hAnsi="Arial" w:cs="Arial"/>
          <w:b/>
          <w:bCs/>
          <w:sz w:val="24"/>
          <w:szCs w:val="24"/>
        </w:rPr>
        <w:t xml:space="preserve">heterogeneity </w:t>
      </w:r>
      <w:r w:rsidR="005D3B9A">
        <w:rPr>
          <w:rFonts w:ascii="Arial" w:hAnsi="Arial" w:cs="Arial"/>
          <w:b/>
          <w:bCs/>
          <w:sz w:val="24"/>
          <w:szCs w:val="24"/>
        </w:rPr>
        <w:t xml:space="preserve">(ITH) </w:t>
      </w:r>
      <w:r w:rsidR="00625703">
        <w:rPr>
          <w:rFonts w:ascii="Arial" w:hAnsi="Arial" w:cs="Arial"/>
          <w:b/>
          <w:bCs/>
          <w:sz w:val="24"/>
          <w:szCs w:val="24"/>
        </w:rPr>
        <w:t xml:space="preserve">in </w:t>
      </w:r>
      <w:r w:rsidR="007D4334">
        <w:rPr>
          <w:rFonts w:ascii="Arial" w:hAnsi="Arial" w:cs="Arial"/>
          <w:b/>
          <w:bCs/>
          <w:sz w:val="24"/>
          <w:szCs w:val="24"/>
        </w:rPr>
        <w:t>small-cell lung cancer (</w:t>
      </w:r>
      <w:r w:rsidR="0040711E" w:rsidRPr="007D4334">
        <w:rPr>
          <w:rFonts w:ascii="Arial" w:hAnsi="Arial" w:cs="Arial"/>
          <w:b/>
          <w:bCs/>
          <w:sz w:val="24"/>
          <w:szCs w:val="24"/>
        </w:rPr>
        <w:t>SC</w:t>
      </w:r>
      <w:r w:rsidR="0040711E" w:rsidRPr="005D3B9A">
        <w:rPr>
          <w:rFonts w:ascii="Arial" w:hAnsi="Arial" w:cs="Arial"/>
          <w:b/>
          <w:bCs/>
          <w:sz w:val="24"/>
          <w:szCs w:val="24"/>
        </w:rPr>
        <w:t>LC</w:t>
      </w:r>
      <w:r w:rsidR="007D4334" w:rsidRPr="005D3B9A">
        <w:rPr>
          <w:rFonts w:ascii="Arial" w:hAnsi="Arial" w:cs="Arial"/>
          <w:b/>
          <w:bCs/>
          <w:sz w:val="24"/>
          <w:szCs w:val="24"/>
        </w:rPr>
        <w:t>)</w:t>
      </w:r>
      <w:r w:rsidR="0040711E" w:rsidRPr="005D3B9A">
        <w:rPr>
          <w:rFonts w:ascii="Arial" w:hAnsi="Arial" w:cs="Arial"/>
          <w:b/>
          <w:bCs/>
          <w:sz w:val="24"/>
          <w:szCs w:val="24"/>
        </w:rPr>
        <w:t xml:space="preserve"> and </w:t>
      </w:r>
      <w:r w:rsidR="00625703" w:rsidRPr="005D3B9A">
        <w:rPr>
          <w:rFonts w:ascii="Arial" w:hAnsi="Arial" w:cs="Arial"/>
          <w:b/>
          <w:bCs/>
          <w:sz w:val="24"/>
          <w:szCs w:val="24"/>
        </w:rPr>
        <w:t xml:space="preserve">comparison with </w:t>
      </w:r>
      <w:r w:rsidR="007D4334" w:rsidRPr="005D3B9A">
        <w:rPr>
          <w:rFonts w:ascii="Arial" w:hAnsi="Arial" w:cs="Arial"/>
          <w:b/>
          <w:bCs/>
          <w:sz w:val="24"/>
          <w:szCs w:val="24"/>
        </w:rPr>
        <w:t>non-small cell lung cancer (</w:t>
      </w:r>
      <w:r w:rsidR="0040711E" w:rsidRPr="005D3B9A">
        <w:rPr>
          <w:rFonts w:ascii="Arial" w:hAnsi="Arial" w:cs="Arial"/>
          <w:b/>
          <w:bCs/>
          <w:sz w:val="24"/>
          <w:szCs w:val="24"/>
        </w:rPr>
        <w:t>NSCLC</w:t>
      </w:r>
      <w:r w:rsidR="007D4334" w:rsidRPr="005D3B9A">
        <w:rPr>
          <w:rFonts w:ascii="Arial" w:hAnsi="Arial" w:cs="Arial"/>
          <w:b/>
          <w:bCs/>
          <w:sz w:val="24"/>
          <w:szCs w:val="24"/>
        </w:rPr>
        <w:t>)</w:t>
      </w:r>
      <w:r w:rsidR="0040711E" w:rsidRPr="005D3B9A">
        <w:rPr>
          <w:rFonts w:ascii="Arial" w:hAnsi="Arial" w:cs="Arial"/>
          <w:b/>
          <w:bCs/>
          <w:sz w:val="24"/>
          <w:szCs w:val="24"/>
        </w:rPr>
        <w:t xml:space="preserve"> tumors from TRACERx cohort</w:t>
      </w:r>
      <w:r w:rsidR="00625703" w:rsidRPr="005D3B9A">
        <w:rPr>
          <w:rFonts w:ascii="Arial" w:hAnsi="Arial" w:cs="Arial"/>
          <w:b/>
          <w:bCs/>
          <w:sz w:val="24"/>
          <w:szCs w:val="24"/>
        </w:rPr>
        <w:t>. (a)</w:t>
      </w:r>
      <w:r w:rsidR="0040711E" w:rsidRPr="005D3B9A">
        <w:rPr>
          <w:rFonts w:ascii="Arial" w:hAnsi="Arial" w:cs="Arial"/>
          <w:b/>
          <w:bCs/>
          <w:sz w:val="24"/>
          <w:szCs w:val="24"/>
        </w:rPr>
        <w:t xml:space="preserve"> </w:t>
      </w:r>
      <w:r w:rsidR="005D3B9A" w:rsidRPr="005D3B9A">
        <w:rPr>
          <w:rFonts w:ascii="Arial" w:hAnsi="Arial" w:cs="Arial"/>
          <w:bCs/>
          <w:color w:val="000000" w:themeColor="text1"/>
          <w:sz w:val="24"/>
          <w:szCs w:val="24"/>
        </w:rPr>
        <w:t>Quantification of mutation ITH by Jaccard index (JI), a metric representing the proportion of shared somatic mutations between two samples.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 xml:space="preserve"> </w:t>
      </w:r>
      <w:r w:rsidR="00625703" w:rsidRPr="005D3B9A">
        <w:rPr>
          <w:rFonts w:ascii="Arial" w:hAnsi="Arial" w:cs="Arial"/>
          <w:b/>
          <w:bCs/>
          <w:sz w:val="24"/>
          <w:szCs w:val="24"/>
        </w:rPr>
        <w:t>(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>b</w:t>
      </w:r>
      <w:r w:rsidR="00625703" w:rsidRPr="005D3B9A">
        <w:rPr>
          <w:rFonts w:ascii="Arial" w:hAnsi="Arial" w:cs="Arial"/>
          <w:b/>
          <w:bCs/>
          <w:sz w:val="24"/>
          <w:szCs w:val="24"/>
        </w:rPr>
        <w:t xml:space="preserve">) </w:t>
      </w:r>
      <w:r w:rsidR="005D3B9A" w:rsidRPr="005D3B9A">
        <w:rPr>
          <w:rFonts w:ascii="Arial" w:hAnsi="Arial" w:cs="Arial"/>
          <w:sz w:val="24"/>
          <w:szCs w:val="24"/>
        </w:rPr>
        <w:t>A</w:t>
      </w:r>
      <w:r w:rsidR="0040711E" w:rsidRPr="005D3B9A">
        <w:rPr>
          <w:rFonts w:ascii="Arial" w:hAnsi="Arial" w:cs="Arial"/>
          <w:sz w:val="24"/>
          <w:szCs w:val="24"/>
        </w:rPr>
        <w:t xml:space="preserve">verage </w:t>
      </w:r>
      <w:r w:rsidR="005D3B9A" w:rsidRPr="005D3B9A">
        <w:rPr>
          <w:rFonts w:ascii="Arial" w:hAnsi="Arial" w:cs="Arial"/>
          <w:sz w:val="24"/>
          <w:szCs w:val="24"/>
        </w:rPr>
        <w:t xml:space="preserve">mutation </w:t>
      </w:r>
      <w:r w:rsidR="007D4334" w:rsidRPr="005D3B9A">
        <w:rPr>
          <w:rFonts w:ascii="Arial" w:hAnsi="Arial" w:cs="Arial"/>
          <w:sz w:val="24"/>
          <w:szCs w:val="24"/>
        </w:rPr>
        <w:t>JI</w:t>
      </w:r>
      <w:r w:rsidR="0040711E" w:rsidRPr="005D3B9A">
        <w:rPr>
          <w:rFonts w:ascii="Arial" w:hAnsi="Arial" w:cs="Arial"/>
          <w:sz w:val="24"/>
          <w:szCs w:val="24"/>
        </w:rPr>
        <w:t xml:space="preserve">, a metric representing the proportion of shared mutations between </w:t>
      </w:r>
      <w:r w:rsidR="0040711E" w:rsidRPr="005D3B9A">
        <w:rPr>
          <w:rFonts w:ascii="Arial" w:hAnsi="Arial" w:cs="Arial"/>
          <w:sz w:val="24"/>
          <w:szCs w:val="24"/>
        </w:rPr>
        <w:lastRenderedPageBreak/>
        <w:t>two samples in 18 SCLC (b</w:t>
      </w:r>
      <w:r w:rsidR="0040711E" w:rsidRPr="007D4334">
        <w:rPr>
          <w:rFonts w:ascii="Arial" w:hAnsi="Arial" w:cs="Arial"/>
          <w:sz w:val="24"/>
          <w:szCs w:val="24"/>
        </w:rPr>
        <w:t xml:space="preserve">lue) </w:t>
      </w:r>
      <w:r w:rsidR="0040711E" w:rsidRPr="007D4334">
        <w:rPr>
          <w:rFonts w:ascii="Arial" w:hAnsi="Arial" w:cs="Arial"/>
          <w:i/>
          <w:iCs/>
          <w:sz w:val="24"/>
          <w:szCs w:val="24"/>
        </w:rPr>
        <w:t xml:space="preserve">versus </w:t>
      </w:r>
      <w:r w:rsidR="0040711E" w:rsidRPr="007D4334">
        <w:rPr>
          <w:rFonts w:ascii="Arial" w:hAnsi="Arial" w:cs="Arial"/>
          <w:sz w:val="24"/>
          <w:szCs w:val="24"/>
        </w:rPr>
        <w:t>100 NSCLC tumors (red) from TRACERx with multi</w:t>
      </w:r>
      <w:r w:rsidR="007D4334">
        <w:rPr>
          <w:rFonts w:ascii="Arial" w:hAnsi="Arial" w:cs="Arial"/>
          <w:sz w:val="24"/>
          <w:szCs w:val="24"/>
        </w:rPr>
        <w:t>-region</w:t>
      </w:r>
      <w:r w:rsidR="0040711E" w:rsidRPr="007D4334">
        <w:rPr>
          <w:rFonts w:ascii="Arial" w:hAnsi="Arial" w:cs="Arial"/>
          <w:sz w:val="24"/>
          <w:szCs w:val="24"/>
        </w:rPr>
        <w:t xml:space="preserve"> genomic data.</w:t>
      </w:r>
      <w:r w:rsidR="005D3B9A">
        <w:rPr>
          <w:rFonts w:ascii="Arial" w:hAnsi="Arial" w:cs="Arial"/>
          <w:sz w:val="24"/>
          <w:szCs w:val="24"/>
        </w:rPr>
        <w:t xml:space="preserve"> 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>(</w:t>
      </w:r>
      <w:r w:rsidR="005D3B9A">
        <w:rPr>
          <w:rFonts w:ascii="Arial" w:hAnsi="Arial" w:cs="Arial"/>
          <w:b/>
          <w:bCs/>
          <w:sz w:val="24"/>
          <w:szCs w:val="24"/>
        </w:rPr>
        <w:t>c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 xml:space="preserve">) </w:t>
      </w:r>
      <w:r w:rsidR="005D3B9A" w:rsidRPr="005D3B9A">
        <w:rPr>
          <w:rFonts w:ascii="Arial" w:hAnsi="Arial" w:cs="Arial"/>
          <w:bCs/>
          <w:color w:val="000000" w:themeColor="text1"/>
          <w:sz w:val="24"/>
          <w:szCs w:val="24"/>
        </w:rPr>
        <w:t xml:space="preserve">Quantification of </w:t>
      </w:r>
      <w:r w:rsidR="005D3B9A">
        <w:rPr>
          <w:rFonts w:ascii="Arial" w:hAnsi="Arial" w:cs="Arial"/>
          <w:bCs/>
          <w:color w:val="000000" w:themeColor="text1"/>
          <w:sz w:val="24"/>
          <w:szCs w:val="24"/>
        </w:rPr>
        <w:t>copy number</w:t>
      </w:r>
      <w:r w:rsidR="005D3B9A" w:rsidRPr="005D3B9A">
        <w:rPr>
          <w:rFonts w:ascii="Arial" w:hAnsi="Arial" w:cs="Arial"/>
          <w:bCs/>
          <w:color w:val="000000" w:themeColor="text1"/>
          <w:sz w:val="24"/>
          <w:szCs w:val="24"/>
        </w:rPr>
        <w:t xml:space="preserve"> ITH by Jaccard index (JI), a metric representing the proportion of shared </w:t>
      </w:r>
      <w:r w:rsidR="005D3B9A">
        <w:rPr>
          <w:rFonts w:ascii="Arial" w:hAnsi="Arial" w:cs="Arial"/>
          <w:bCs/>
          <w:color w:val="000000" w:themeColor="text1"/>
          <w:sz w:val="24"/>
          <w:szCs w:val="24"/>
        </w:rPr>
        <w:t>copy number aberrations (CNA)</w:t>
      </w:r>
      <w:r w:rsidR="005D3B9A" w:rsidRPr="005D3B9A">
        <w:rPr>
          <w:rFonts w:ascii="Arial" w:hAnsi="Arial" w:cs="Arial"/>
          <w:bCs/>
          <w:color w:val="000000" w:themeColor="text1"/>
          <w:sz w:val="24"/>
          <w:szCs w:val="24"/>
        </w:rPr>
        <w:t xml:space="preserve"> between two samples.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 xml:space="preserve"> (</w:t>
      </w:r>
      <w:r w:rsidR="005D3B9A">
        <w:rPr>
          <w:rFonts w:ascii="Arial" w:hAnsi="Arial" w:cs="Arial"/>
          <w:b/>
          <w:bCs/>
          <w:sz w:val="24"/>
          <w:szCs w:val="24"/>
        </w:rPr>
        <w:t>d</w:t>
      </w:r>
      <w:r w:rsidR="005D3B9A" w:rsidRPr="005D3B9A">
        <w:rPr>
          <w:rFonts w:ascii="Arial" w:hAnsi="Arial" w:cs="Arial"/>
          <w:b/>
          <w:bCs/>
          <w:sz w:val="24"/>
          <w:szCs w:val="24"/>
        </w:rPr>
        <w:t xml:space="preserve">) </w:t>
      </w:r>
      <w:r w:rsidR="005D3B9A" w:rsidRPr="005D3B9A">
        <w:rPr>
          <w:rFonts w:ascii="Arial" w:hAnsi="Arial" w:cs="Arial"/>
          <w:sz w:val="24"/>
          <w:szCs w:val="24"/>
        </w:rPr>
        <w:t xml:space="preserve">Average </w:t>
      </w:r>
      <w:r w:rsidR="005D3B9A">
        <w:rPr>
          <w:rFonts w:ascii="Arial" w:hAnsi="Arial" w:cs="Arial"/>
          <w:sz w:val="24"/>
          <w:szCs w:val="24"/>
        </w:rPr>
        <w:t>copy number</w:t>
      </w:r>
      <w:r w:rsidR="005D3B9A" w:rsidRPr="005D3B9A">
        <w:rPr>
          <w:rFonts w:ascii="Arial" w:hAnsi="Arial" w:cs="Arial"/>
          <w:sz w:val="24"/>
          <w:szCs w:val="24"/>
        </w:rPr>
        <w:t xml:space="preserve"> JI, a metric representing the proportion of shared </w:t>
      </w:r>
      <w:r w:rsidR="005D3B9A">
        <w:rPr>
          <w:rFonts w:ascii="Arial" w:hAnsi="Arial" w:cs="Arial"/>
          <w:sz w:val="24"/>
          <w:szCs w:val="24"/>
        </w:rPr>
        <w:t>CNA</w:t>
      </w:r>
      <w:r w:rsidR="005D3B9A" w:rsidRPr="005D3B9A">
        <w:rPr>
          <w:rFonts w:ascii="Arial" w:hAnsi="Arial" w:cs="Arial"/>
          <w:sz w:val="24"/>
          <w:szCs w:val="24"/>
        </w:rPr>
        <w:t>s between two samples in 18 SCLC (</w:t>
      </w:r>
      <w:r w:rsidR="005D3B9A">
        <w:rPr>
          <w:rFonts w:ascii="Arial" w:hAnsi="Arial" w:cs="Arial"/>
          <w:sz w:val="24"/>
          <w:szCs w:val="24"/>
        </w:rPr>
        <w:t>red</w:t>
      </w:r>
      <w:r w:rsidR="005D3B9A" w:rsidRPr="007D4334">
        <w:rPr>
          <w:rFonts w:ascii="Arial" w:hAnsi="Arial" w:cs="Arial"/>
          <w:sz w:val="24"/>
          <w:szCs w:val="24"/>
        </w:rPr>
        <w:t xml:space="preserve">) </w:t>
      </w:r>
      <w:r w:rsidR="005D3B9A" w:rsidRPr="007D4334">
        <w:rPr>
          <w:rFonts w:ascii="Arial" w:hAnsi="Arial" w:cs="Arial"/>
          <w:i/>
          <w:iCs/>
          <w:sz w:val="24"/>
          <w:szCs w:val="24"/>
        </w:rPr>
        <w:t xml:space="preserve">versus </w:t>
      </w:r>
      <w:r w:rsidR="005D3B9A" w:rsidRPr="007D4334">
        <w:rPr>
          <w:rFonts w:ascii="Arial" w:hAnsi="Arial" w:cs="Arial"/>
          <w:sz w:val="24"/>
          <w:szCs w:val="24"/>
        </w:rPr>
        <w:t>100 NSCLC tumors (</w:t>
      </w:r>
      <w:r w:rsidR="005D3B9A">
        <w:rPr>
          <w:rFonts w:ascii="Arial" w:hAnsi="Arial" w:cs="Arial"/>
          <w:sz w:val="24"/>
          <w:szCs w:val="24"/>
        </w:rPr>
        <w:t>blue</w:t>
      </w:r>
      <w:r w:rsidR="005D3B9A" w:rsidRPr="007D4334">
        <w:rPr>
          <w:rFonts w:ascii="Arial" w:hAnsi="Arial" w:cs="Arial"/>
          <w:sz w:val="24"/>
          <w:szCs w:val="24"/>
        </w:rPr>
        <w:t>) from TRACERx with multi</w:t>
      </w:r>
      <w:r w:rsidR="005D3B9A">
        <w:rPr>
          <w:rFonts w:ascii="Arial" w:hAnsi="Arial" w:cs="Arial"/>
          <w:sz w:val="24"/>
          <w:szCs w:val="24"/>
        </w:rPr>
        <w:t>-region</w:t>
      </w:r>
      <w:r w:rsidR="005D3B9A" w:rsidRPr="007D4334">
        <w:rPr>
          <w:rFonts w:ascii="Arial" w:hAnsi="Arial" w:cs="Arial"/>
          <w:sz w:val="24"/>
          <w:szCs w:val="24"/>
        </w:rPr>
        <w:t xml:space="preserve"> genomic data.</w:t>
      </w:r>
    </w:p>
    <w:p w14:paraId="412DECE3" w14:textId="77777777" w:rsid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50E91D" w14:textId="626964BB" w:rsidR="007D4334" w:rsidRPr="001A5109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5</w:t>
      </w:r>
    </w:p>
    <w:p w14:paraId="7ABC284E" w14:textId="404B6E90" w:rsidR="0040711E" w:rsidRPr="005D3B9A" w:rsidRDefault="005D3B9A" w:rsidP="007D4334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inline distT="0" distB="0" distL="0" distR="0" wp14:anchorId="004DEEA1" wp14:editId="05D465A0">
            <wp:extent cx="5957337" cy="46570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05" cy="4660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5109">
        <w:rPr>
          <w:rFonts w:ascii="Arial" w:eastAsia="Times New Roman" w:hAnsi="Arial" w:cs="Arial"/>
          <w:b/>
          <w:sz w:val="24"/>
          <w:szCs w:val="24"/>
        </w:rPr>
        <w:t>Supplementary Fig.</w:t>
      </w:r>
      <w:r w:rsidR="000B370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0711E" w:rsidRPr="00E957F7">
        <w:rPr>
          <w:rFonts w:ascii="Arial" w:eastAsia="Times New Roman" w:hAnsi="Arial" w:cs="Arial"/>
          <w:b/>
          <w:sz w:val="24"/>
          <w:szCs w:val="24"/>
        </w:rPr>
        <w:t>5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 xml:space="preserve"> Cancer gene</w:t>
      </w:r>
      <w:r w:rsidR="008C6178">
        <w:rPr>
          <w:rFonts w:ascii="Arial" w:hAnsi="Arial" w:cs="Arial"/>
          <w:b/>
          <w:bCs/>
          <w:sz w:val="24"/>
          <w:szCs w:val="24"/>
        </w:rPr>
        <w:t xml:space="preserve"> alterations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 xml:space="preserve"> in </w:t>
      </w:r>
      <w:r w:rsidR="007D4334">
        <w:rPr>
          <w:rFonts w:ascii="Arial" w:hAnsi="Arial" w:cs="Arial"/>
          <w:b/>
          <w:bCs/>
          <w:sz w:val="24"/>
          <w:szCs w:val="24"/>
        </w:rPr>
        <w:t>small-cell lung cancer (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>SCLC</w:t>
      </w:r>
      <w:r w:rsidR="007D4334">
        <w:rPr>
          <w:rFonts w:ascii="Arial" w:hAnsi="Arial" w:cs="Arial"/>
          <w:b/>
          <w:bCs/>
          <w:sz w:val="24"/>
          <w:szCs w:val="24"/>
        </w:rPr>
        <w:t>)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 xml:space="preserve"> specimens. </w:t>
      </w:r>
      <w:r w:rsidR="0040711E" w:rsidRPr="00E957F7">
        <w:rPr>
          <w:rFonts w:ascii="Arial" w:hAnsi="Arial" w:cs="Arial"/>
          <w:sz w:val="24"/>
          <w:szCs w:val="24"/>
        </w:rPr>
        <w:t xml:space="preserve">Cancer gene mutations were defined as identical mutations previously reported in oncogene, stop-gain or frameshift mutations in tumor suppressor genes and other non-silent mutations with Combined Annotation Dependent Depletion (ACDD) </w:t>
      </w:r>
      <w:r w:rsidR="0040711E" w:rsidRPr="00E957F7">
        <w:rPr>
          <w:rFonts w:ascii="Arial" w:hAnsi="Arial" w:cs="Arial"/>
          <w:sz w:val="24"/>
          <w:szCs w:val="24"/>
        </w:rPr>
        <w:lastRenderedPageBreak/>
        <w:t xml:space="preserve">score&gt;20. Copy number alternations were defined as log2 ratio of tumor DNA &gt; 1.6 for gains or &lt; -0.4 for losses. Multi-hit is defined as presence of </w:t>
      </w:r>
      <w:r w:rsidR="0040711E" w:rsidRPr="00E957F7">
        <w:rPr>
          <w:rFonts w:ascii="Arial" w:eastAsia="Times New Roman" w:hAnsi="Arial" w:cs="Arial"/>
          <w:sz w:val="24"/>
          <w:szCs w:val="24"/>
        </w:rPr>
        <w:t xml:space="preserve">different unique mutations of the same cancer genes. </w:t>
      </w:r>
      <w:r w:rsidR="0040711E" w:rsidRPr="00E957F7">
        <w:rPr>
          <w:rFonts w:ascii="Arial" w:hAnsi="Arial" w:cs="Arial"/>
          <w:bCs/>
          <w:sz w:val="24"/>
          <w:szCs w:val="24"/>
        </w:rPr>
        <w:t>Purple patient IDs = patients who were alive; Green patient IDs = patients who were deceased</w:t>
      </w:r>
      <w:r w:rsidR="0040711E" w:rsidRPr="00E957F7">
        <w:rPr>
          <w:rFonts w:ascii="Arial" w:hAnsi="Arial" w:cs="Arial"/>
          <w:sz w:val="24"/>
          <w:szCs w:val="24"/>
        </w:rPr>
        <w:t>.</w:t>
      </w:r>
    </w:p>
    <w:p w14:paraId="42A95162" w14:textId="77777777" w:rsidR="001A5109" w:rsidRDefault="001A5109" w:rsidP="007D4334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A3F34A" w14:textId="16872B4B" w:rsidR="001A5109" w:rsidRPr="007D4334" w:rsidRDefault="001A5109" w:rsidP="007D4334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6</w:t>
      </w:r>
    </w:p>
    <w:p w14:paraId="1F6325E2" w14:textId="6EB2CAA4" w:rsidR="0040711E" w:rsidRDefault="005D3B9A" w:rsidP="0023186E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13C8BE34" wp14:editId="3F2A9965">
            <wp:extent cx="6007803" cy="25622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166" cy="256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11828" w14:textId="7375DB40" w:rsidR="008C6178" w:rsidRDefault="001A51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0711E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40711E" w:rsidRPr="00A81BC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Mutation</w:t>
      </w:r>
      <w:r w:rsidR="00F109E2">
        <w:rPr>
          <w:rFonts w:ascii="Arial" w:hAnsi="Arial" w:cs="Arial"/>
          <w:b/>
          <w:bCs/>
          <w:color w:val="000000" w:themeColor="text1"/>
          <w:sz w:val="24"/>
          <w:szCs w:val="24"/>
        </w:rPr>
        <w:t>al</w:t>
      </w:r>
      <w:r w:rsidR="0040711E" w:rsidRPr="00A81BC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spectrum in 50 </w:t>
      </w:r>
      <w:r w:rsidR="007D4334">
        <w:rPr>
          <w:rFonts w:ascii="Arial" w:hAnsi="Arial" w:cs="Arial"/>
          <w:b/>
          <w:bCs/>
          <w:color w:val="000000" w:themeColor="text1"/>
          <w:sz w:val="24"/>
          <w:szCs w:val="24"/>
        </w:rPr>
        <w:t>small-cell lung cancer (</w:t>
      </w:r>
      <w:r w:rsidR="0040711E">
        <w:rPr>
          <w:rFonts w:ascii="Arial" w:hAnsi="Arial" w:cs="Arial"/>
          <w:b/>
          <w:bCs/>
          <w:color w:val="000000" w:themeColor="text1"/>
          <w:sz w:val="24"/>
          <w:szCs w:val="24"/>
        </w:rPr>
        <w:t>SCLC</w:t>
      </w:r>
      <w:r w:rsidR="007D4334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40711E" w:rsidRPr="00A81BC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specimens.</w:t>
      </w:r>
      <w:r w:rsidR="0040711E" w:rsidRPr="00A835B7">
        <w:rPr>
          <w:rFonts w:ascii="Arial" w:hAnsi="Arial" w:cs="Arial"/>
          <w:bCs/>
          <w:sz w:val="24"/>
          <w:szCs w:val="24"/>
        </w:rPr>
        <w:t xml:space="preserve"> </w:t>
      </w:r>
      <w:r w:rsidR="0040711E" w:rsidRPr="00E957F7">
        <w:rPr>
          <w:rFonts w:ascii="Arial" w:hAnsi="Arial" w:cs="Arial"/>
          <w:bCs/>
          <w:sz w:val="24"/>
          <w:szCs w:val="24"/>
        </w:rPr>
        <w:t>Purple patient IDs = patients who were alive; Green patient IDs = patients who were deceased</w:t>
      </w:r>
      <w:r w:rsidR="0040711E" w:rsidRPr="00E957F7">
        <w:rPr>
          <w:rFonts w:ascii="Arial" w:hAnsi="Arial" w:cs="Arial"/>
          <w:sz w:val="24"/>
          <w:szCs w:val="24"/>
        </w:rPr>
        <w:t>.</w:t>
      </w:r>
    </w:p>
    <w:p w14:paraId="72749AA2" w14:textId="77777777" w:rsidR="008C6178" w:rsidRDefault="008C6178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BF68550" w14:textId="188074D4" w:rsidR="001A5109" w:rsidRDefault="001A5109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Supplementary Figure 7</w:t>
      </w:r>
    </w:p>
    <w:p w14:paraId="59F89431" w14:textId="2A48E700" w:rsidR="0040711E" w:rsidRDefault="005D3B9A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inline distT="0" distB="0" distL="0" distR="0" wp14:anchorId="43276C2B" wp14:editId="558802AA">
            <wp:extent cx="5809524" cy="46399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051" cy="4645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59F797" w14:textId="34EB78AB" w:rsidR="0040711E" w:rsidRDefault="001A5109" w:rsidP="0023186E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 xml:space="preserve"> The m</w:t>
      </w:r>
      <w:r w:rsidR="0040711E" w:rsidRPr="00700C4B">
        <w:rPr>
          <w:rFonts w:ascii="Arial" w:hAnsi="Arial" w:cs="Arial"/>
          <w:b/>
          <w:bCs/>
          <w:sz w:val="24"/>
          <w:szCs w:val="24"/>
        </w:rPr>
        <w:t>utational processes</w:t>
      </w:r>
      <w:r w:rsidR="00700C4B" w:rsidRPr="00700C4B">
        <w:rPr>
          <w:rFonts w:ascii="Arial" w:hAnsi="Arial" w:cs="Arial"/>
          <w:b/>
          <w:bCs/>
          <w:sz w:val="24"/>
          <w:szCs w:val="24"/>
        </w:rPr>
        <w:t xml:space="preserve"> during clonal expansion versus subclonal diversification of</w:t>
      </w:r>
      <w:r w:rsidR="007D4334" w:rsidRPr="00700C4B">
        <w:rPr>
          <w:rFonts w:ascii="Arial" w:hAnsi="Arial" w:cs="Arial"/>
          <w:b/>
          <w:bCs/>
          <w:sz w:val="24"/>
          <w:szCs w:val="24"/>
        </w:rPr>
        <w:t xml:space="preserve"> s</w:t>
      </w:r>
      <w:r w:rsidR="007D4334">
        <w:rPr>
          <w:rFonts w:ascii="Arial" w:hAnsi="Arial" w:cs="Arial"/>
          <w:b/>
          <w:bCs/>
          <w:sz w:val="24"/>
          <w:szCs w:val="24"/>
        </w:rPr>
        <w:t>mall-cell lung cancer (SCLC)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>.</w:t>
      </w:r>
      <w:r w:rsidR="0040711E" w:rsidRPr="00E957F7">
        <w:rPr>
          <w:rFonts w:ascii="Arial" w:hAnsi="Arial" w:cs="Arial"/>
          <w:bCs/>
          <w:sz w:val="24"/>
          <w:szCs w:val="24"/>
        </w:rPr>
        <w:t xml:space="preserve"> </w:t>
      </w:r>
      <w:r w:rsidR="00D77309">
        <w:rPr>
          <w:rFonts w:ascii="Arial" w:hAnsi="Arial" w:cs="Arial"/>
          <w:b/>
          <w:bCs/>
          <w:sz w:val="24"/>
          <w:szCs w:val="24"/>
        </w:rPr>
        <w:t>(a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>)</w:t>
      </w:r>
      <w:r w:rsidR="0040711E" w:rsidRPr="00E957F7">
        <w:rPr>
          <w:rFonts w:ascii="Arial" w:hAnsi="Arial" w:cs="Arial"/>
          <w:bCs/>
          <w:sz w:val="24"/>
          <w:szCs w:val="24"/>
        </w:rPr>
        <w:t xml:space="preserve"> The top 5 COSMIC mutational signatures in 50 SCLC specimens. </w:t>
      </w:r>
      <w:r w:rsidR="00D77309">
        <w:rPr>
          <w:rFonts w:ascii="Arial" w:hAnsi="Arial" w:cs="Arial"/>
          <w:b/>
          <w:bCs/>
          <w:sz w:val="24"/>
          <w:szCs w:val="24"/>
        </w:rPr>
        <w:t>(b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>)</w:t>
      </w:r>
      <w:r w:rsidR="0040711E" w:rsidRPr="00E957F7">
        <w:rPr>
          <w:rFonts w:ascii="Arial" w:hAnsi="Arial" w:cs="Arial"/>
          <w:bCs/>
          <w:sz w:val="24"/>
          <w:szCs w:val="24"/>
        </w:rPr>
        <w:t xml:space="preserve"> The top 5 COSMIC mutational signatures associated with trunk mutations. Bar chart on the left: top signatures associated with trunk mutations in each patient. Pie chart on the right: the average of contribution</w:t>
      </w:r>
      <w:r>
        <w:rPr>
          <w:rFonts w:ascii="Arial" w:hAnsi="Arial" w:cs="Arial"/>
          <w:bCs/>
          <w:sz w:val="24"/>
          <w:szCs w:val="24"/>
        </w:rPr>
        <w:t xml:space="preserve"> of each signature across the</w:t>
      </w:r>
      <w:r w:rsidR="0040711E" w:rsidRPr="00E957F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18 </w:t>
      </w:r>
      <w:r w:rsidR="00D77309">
        <w:rPr>
          <w:rFonts w:ascii="Arial" w:hAnsi="Arial" w:cs="Arial"/>
          <w:bCs/>
          <w:sz w:val="24"/>
          <w:szCs w:val="24"/>
        </w:rPr>
        <w:t>patients.</w:t>
      </w:r>
      <w:r w:rsidR="0040711E" w:rsidRPr="00E957F7">
        <w:rPr>
          <w:rFonts w:ascii="Arial" w:hAnsi="Arial" w:cs="Arial"/>
          <w:bCs/>
          <w:sz w:val="24"/>
          <w:szCs w:val="24"/>
        </w:rPr>
        <w:t> </w:t>
      </w:r>
      <w:r w:rsidR="00D77309">
        <w:rPr>
          <w:rFonts w:ascii="Arial" w:hAnsi="Arial" w:cs="Arial"/>
          <w:b/>
          <w:bCs/>
          <w:sz w:val="24"/>
          <w:szCs w:val="24"/>
        </w:rPr>
        <w:t>(c</w:t>
      </w:r>
      <w:r w:rsidR="0040711E" w:rsidRPr="00E957F7">
        <w:rPr>
          <w:rFonts w:ascii="Arial" w:hAnsi="Arial" w:cs="Arial"/>
          <w:b/>
          <w:bCs/>
          <w:sz w:val="24"/>
          <w:szCs w:val="24"/>
        </w:rPr>
        <w:t>)</w:t>
      </w:r>
      <w:r w:rsidR="0040711E" w:rsidRPr="00E957F7">
        <w:rPr>
          <w:rFonts w:ascii="Arial" w:hAnsi="Arial" w:cs="Arial"/>
          <w:bCs/>
          <w:sz w:val="24"/>
          <w:szCs w:val="24"/>
        </w:rPr>
        <w:t xml:space="preserve"> The top 5 COSMIC mutational signatures associated with non-trunk mutations. Bar chart on the left: top signatures associated with non-trunk mutations in each patient. Pie chart on the right: the average of contribution of top signatures across the 18 patients. Purple patient IDs = patients who were alive; Green patient IDs = patients who were deceased</w:t>
      </w:r>
      <w:r w:rsidR="0040711E" w:rsidRPr="00E957F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5CBD258" w14:textId="77777777" w:rsidR="0093426B" w:rsidRDefault="0093426B" w:rsidP="0023186E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AF86C11" w14:textId="77777777" w:rsidR="00AA6DBF" w:rsidRDefault="00AA6DBF" w:rsidP="0023186E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67C22E4" w14:textId="3A7D10C0" w:rsidR="0040711E" w:rsidRPr="00E957F7" w:rsidRDefault="001A5109" w:rsidP="0023186E">
      <w:pPr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Supplementary Figure 8</w:t>
      </w:r>
    </w:p>
    <w:p w14:paraId="63533FCB" w14:textId="6F257835" w:rsidR="0040711E" w:rsidRDefault="00FC365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1D30226" wp14:editId="59C1DBCF">
            <wp:extent cx="5935960" cy="40745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13" cy="40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75281" w14:textId="21487D21" w:rsidR="00D03BCC" w:rsidRDefault="001A5109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="0040711E" w:rsidRPr="00D03B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03BCC" w:rsidRPr="00D03BCC">
        <w:rPr>
          <w:rFonts w:ascii="Arial" w:hAnsi="Arial" w:cs="Arial"/>
          <w:b/>
          <w:bCs/>
          <w:color w:val="000000" w:themeColor="text1"/>
          <w:sz w:val="24"/>
          <w:szCs w:val="24"/>
        </w:rPr>
        <w:t>T cell receptor (TCR) repertoire landscape of s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mall-cell lung cancer (SCLC). (a</w:t>
      </w:r>
      <w:r w:rsidR="00D03BCC" w:rsidRPr="00D03B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T-cell density (red) 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  <w:lang w:val="mr-IN"/>
        </w:rPr>
        <w:t>–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 an estimate of the proportion of T cells in a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>tumor specimen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03BCC" w:rsidRPr="00D03BCC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="00D03BCC" w:rsidRPr="00D03B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) </w:t>
      </w:r>
      <w:r w:rsidR="00D03BCC" w:rsidRPr="00D03BCC">
        <w:rPr>
          <w:rFonts w:ascii="Arial" w:hAnsi="Arial" w:cs="Arial"/>
          <w:bCs/>
          <w:color w:val="000000" w:themeColor="text1"/>
          <w:sz w:val="24"/>
          <w:szCs w:val="24"/>
        </w:rPr>
        <w:t>T-cell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 richness (green) - a measure of T-cell diversity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>tumor specimen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03BCC" w:rsidRPr="00D03BCC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D03BCC" w:rsidRPr="00D03BC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 T-cell clonality (blue) - a metric indicating T-cell expansion and reactivity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>tumor specimen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03BCC" w:rsidRPr="00D03BCC">
        <w:rPr>
          <w:rFonts w:ascii="Arial" w:hAnsi="Arial" w:cs="Arial"/>
          <w:bCs/>
          <w:sz w:val="24"/>
          <w:szCs w:val="24"/>
        </w:rPr>
        <w:t xml:space="preserve">Purple patient IDs = patients who were alive; Green patient IDs = patients who were deceased; </w:t>
      </w:r>
      <w:r w:rsidR="00D03BCC" w:rsidRPr="00D03BCC">
        <w:rPr>
          <w:rFonts w:ascii="Arial" w:hAnsi="Arial" w:cs="Arial"/>
          <w:color w:val="000000" w:themeColor="text1"/>
          <w:sz w:val="24"/>
          <w:szCs w:val="24"/>
        </w:rPr>
        <w:t xml:space="preserve">median follow up time: 53 months.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 xml:space="preserve">T-cell </w:t>
      </w:r>
      <w:r w:rsidR="00D03BCC" w:rsidRPr="00AB3DED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D03BCC" w:rsidRPr="00CF76D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D03BCC" w:rsidRPr="00611D8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>density,</w:t>
      </w:r>
      <w:r w:rsidR="00D03BCC" w:rsidRPr="00611D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BCC" w:rsidRPr="00AB3DED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e</w:t>
      </w:r>
      <w:r w:rsidR="00D03BCC" w:rsidRPr="00CF76D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D03BCC" w:rsidRPr="00611D8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>r</w:t>
      </w:r>
      <w:r w:rsidR="00D03BCC" w:rsidRPr="00611D82">
        <w:rPr>
          <w:rFonts w:ascii="Arial" w:hAnsi="Arial" w:cs="Arial"/>
          <w:color w:val="000000" w:themeColor="text1"/>
          <w:sz w:val="24"/>
          <w:szCs w:val="24"/>
        </w:rPr>
        <w:t>ichness and</w:t>
      </w:r>
      <w:r w:rsidR="00D03BCC" w:rsidRPr="00611D8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77309">
        <w:rPr>
          <w:rFonts w:ascii="Arial" w:hAnsi="Arial" w:cs="Arial"/>
          <w:b/>
          <w:bCs/>
          <w:color w:val="000000" w:themeColor="text1"/>
          <w:sz w:val="24"/>
          <w:szCs w:val="24"/>
        </w:rPr>
        <w:t>(f</w:t>
      </w:r>
      <w:r w:rsidR="00D03BCC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D03BCC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="00D03BCC" w:rsidRPr="00611D82">
        <w:rPr>
          <w:rFonts w:ascii="Arial" w:hAnsi="Arial" w:cs="Arial"/>
          <w:color w:val="000000" w:themeColor="text1"/>
          <w:sz w:val="24"/>
          <w:szCs w:val="24"/>
        </w:rPr>
        <w:t xml:space="preserve">lonality in tumors (red) </w:t>
      </w:r>
      <w:r w:rsidR="00D03BCC" w:rsidRPr="00611D82">
        <w:rPr>
          <w:rFonts w:ascii="Arial" w:hAnsi="Arial" w:cs="Arial"/>
          <w:i/>
          <w:iCs/>
          <w:color w:val="000000" w:themeColor="text1"/>
          <w:sz w:val="24"/>
          <w:szCs w:val="24"/>
        </w:rPr>
        <w:t>versus</w:t>
      </w:r>
      <w:r w:rsidR="00D03BCC" w:rsidRPr="00611D82">
        <w:rPr>
          <w:rFonts w:ascii="Arial" w:hAnsi="Arial" w:cs="Arial"/>
          <w:color w:val="000000" w:themeColor="text1"/>
          <w:sz w:val="24"/>
          <w:szCs w:val="24"/>
        </w:rPr>
        <w:t xml:space="preserve"> normal tissues (green).</w:t>
      </w:r>
    </w:p>
    <w:p w14:paraId="4C64C653" w14:textId="77777777" w:rsidR="00716F36" w:rsidRDefault="00716F36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B264BE" w14:textId="77777777" w:rsidR="00D77309" w:rsidRDefault="00D77309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CFB83F" w14:textId="77777777" w:rsidR="00D77309" w:rsidRDefault="00D77309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DC2007" w14:textId="77777777" w:rsidR="00D77309" w:rsidRDefault="00D77309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C58FE5" w14:textId="77777777" w:rsidR="00D77309" w:rsidRPr="00716F36" w:rsidRDefault="00D77309" w:rsidP="00716F36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E0B074" w14:textId="5F5B20C0" w:rsidR="00716F36" w:rsidRDefault="001A5109" w:rsidP="00716F3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9</w:t>
      </w:r>
    </w:p>
    <w:p w14:paraId="2DEC5A90" w14:textId="536F0CA0" w:rsidR="001A5109" w:rsidRPr="00716F36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2FF1C7" wp14:editId="7CE86688">
            <wp:extent cx="5862834" cy="420516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22" cy="4210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B3AA" w14:textId="57EA2B9F" w:rsidR="00D03BCC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Fig.</w:t>
      </w:r>
      <w:r w:rsidR="000B370D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8C6178" w:rsidRPr="00716F36">
        <w:rPr>
          <w:rFonts w:ascii="Arial" w:hAnsi="Arial" w:cs="Arial"/>
          <w:b/>
          <w:bCs/>
          <w:sz w:val="24"/>
          <w:szCs w:val="24"/>
          <w:shd w:val="clear" w:color="auto" w:fill="FFFFFF"/>
        </w:rPr>
        <w:t>9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 xml:space="preserve"> Comparison of TCR metrics between SCLCs tumors and normal lung tissues </w:t>
      </w:r>
      <w:r>
        <w:rPr>
          <w:rFonts w:ascii="Arial" w:hAnsi="Arial" w:cs="Arial"/>
          <w:b/>
          <w:bCs/>
          <w:sz w:val="24"/>
          <w:szCs w:val="24"/>
        </w:rPr>
        <w:t>and c</w:t>
      </w:r>
      <w:r w:rsidRPr="00716F36">
        <w:rPr>
          <w:rFonts w:ascii="Arial" w:hAnsi="Arial" w:cs="Arial"/>
          <w:b/>
          <w:bCs/>
          <w:sz w:val="24"/>
          <w:szCs w:val="24"/>
        </w:rPr>
        <w:t xml:space="preserve">orrelations between CNA burden with TCR metrics in SCLCs 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 xml:space="preserve">without the outlier P13. </w:t>
      </w:r>
      <w:r w:rsidR="008C6178" w:rsidRPr="00716F36">
        <w:rPr>
          <w:rFonts w:ascii="Arial" w:hAnsi="Arial" w:cs="Arial"/>
          <w:sz w:val="24"/>
          <w:szCs w:val="24"/>
        </w:rPr>
        <w:t xml:space="preserve">T-cell </w:t>
      </w:r>
      <w:r w:rsidR="008C6178" w:rsidRPr="00716F36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 xml:space="preserve">) </w:t>
      </w:r>
      <w:r w:rsidR="008C6178" w:rsidRPr="00716F36">
        <w:rPr>
          <w:rFonts w:ascii="Arial" w:hAnsi="Arial" w:cs="Arial"/>
          <w:sz w:val="24"/>
          <w:szCs w:val="24"/>
        </w:rPr>
        <w:t xml:space="preserve">density, </w:t>
      </w:r>
      <w:r w:rsidR="008C6178" w:rsidRPr="00716F36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 xml:space="preserve">) </w:t>
      </w:r>
      <w:r w:rsidR="008C6178" w:rsidRPr="00716F36">
        <w:rPr>
          <w:rFonts w:ascii="Arial" w:hAnsi="Arial" w:cs="Arial"/>
          <w:sz w:val="24"/>
          <w:szCs w:val="24"/>
        </w:rPr>
        <w:t>richness and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="008C6178" w:rsidRPr="00716F36">
        <w:rPr>
          <w:rFonts w:ascii="Arial" w:hAnsi="Arial" w:cs="Arial"/>
          <w:b/>
          <w:bCs/>
          <w:sz w:val="24"/>
          <w:szCs w:val="24"/>
        </w:rPr>
        <w:t>)</w:t>
      </w:r>
      <w:r w:rsidR="008C6178" w:rsidRPr="00716F36">
        <w:rPr>
          <w:rFonts w:ascii="Arial" w:hAnsi="Arial" w:cs="Arial"/>
          <w:sz w:val="24"/>
          <w:szCs w:val="24"/>
        </w:rPr>
        <w:t xml:space="preserve"> clonality in tumors (red) </w:t>
      </w:r>
      <w:r w:rsidR="008C6178" w:rsidRPr="00716F36">
        <w:rPr>
          <w:rFonts w:ascii="Arial" w:hAnsi="Arial" w:cs="Arial"/>
          <w:i/>
          <w:iCs/>
          <w:sz w:val="24"/>
          <w:szCs w:val="24"/>
        </w:rPr>
        <w:t>versus</w:t>
      </w:r>
      <w:r w:rsidR="008C6178" w:rsidRPr="00716F36">
        <w:rPr>
          <w:rFonts w:ascii="Arial" w:hAnsi="Arial" w:cs="Arial"/>
          <w:sz w:val="24"/>
          <w:szCs w:val="24"/>
        </w:rPr>
        <w:t xml:space="preserve"> normal tissues (green) with P13 excluded.</w:t>
      </w:r>
      <w:r w:rsidR="008C6178">
        <w:rPr>
          <w:rFonts w:ascii="Arial" w:hAnsi="Arial" w:cs="Arial"/>
          <w:sz w:val="24"/>
          <w:szCs w:val="24"/>
        </w:rPr>
        <w:t xml:space="preserve"> </w:t>
      </w:r>
      <w:r w:rsidR="00D03BCC" w:rsidRPr="00716F36">
        <w:rPr>
          <w:rFonts w:ascii="Arial" w:hAnsi="Arial" w:cs="Arial"/>
          <w:sz w:val="24"/>
          <w:szCs w:val="24"/>
        </w:rPr>
        <w:t xml:space="preserve">Correlations of CNA burden with </w:t>
      </w:r>
      <w:r w:rsidR="00D03BCC" w:rsidRPr="00716F36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D03BCC" w:rsidRPr="00716F36">
        <w:rPr>
          <w:rFonts w:ascii="Arial" w:hAnsi="Arial" w:cs="Arial"/>
          <w:b/>
          <w:bCs/>
          <w:sz w:val="24"/>
          <w:szCs w:val="24"/>
        </w:rPr>
        <w:t xml:space="preserve">) </w:t>
      </w:r>
      <w:r w:rsidR="00D03BCC" w:rsidRPr="00716F36">
        <w:rPr>
          <w:rFonts w:ascii="Arial" w:hAnsi="Arial" w:cs="Arial"/>
          <w:sz w:val="24"/>
          <w:szCs w:val="24"/>
        </w:rPr>
        <w:t xml:space="preserve">T-cell density, </w:t>
      </w:r>
      <w:r w:rsidR="00D03BCC" w:rsidRPr="00716F36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D03BCC" w:rsidRPr="00716F36">
        <w:rPr>
          <w:rFonts w:ascii="Arial" w:hAnsi="Arial" w:cs="Arial"/>
          <w:b/>
          <w:bCs/>
          <w:sz w:val="24"/>
          <w:szCs w:val="24"/>
        </w:rPr>
        <w:t xml:space="preserve">) </w:t>
      </w:r>
      <w:r w:rsidR="00D03BCC" w:rsidRPr="00716F36">
        <w:rPr>
          <w:rFonts w:ascii="Arial" w:hAnsi="Arial" w:cs="Arial"/>
          <w:bCs/>
          <w:sz w:val="24"/>
          <w:szCs w:val="24"/>
        </w:rPr>
        <w:t xml:space="preserve">T-cell </w:t>
      </w:r>
      <w:r w:rsidR="00D03BCC" w:rsidRPr="00716F36">
        <w:rPr>
          <w:rFonts w:ascii="Arial" w:hAnsi="Arial" w:cs="Arial"/>
          <w:sz w:val="24"/>
          <w:szCs w:val="24"/>
        </w:rPr>
        <w:t>richness and</w:t>
      </w:r>
      <w:r w:rsidR="00D03BCC" w:rsidRPr="00716F36"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="00D03BCC" w:rsidRPr="00716F36">
        <w:rPr>
          <w:rFonts w:ascii="Arial" w:hAnsi="Arial" w:cs="Arial"/>
          <w:b/>
          <w:bCs/>
          <w:sz w:val="24"/>
          <w:szCs w:val="24"/>
        </w:rPr>
        <w:t>)</w:t>
      </w:r>
      <w:r w:rsidR="00D03BCC" w:rsidRPr="00716F36">
        <w:rPr>
          <w:rFonts w:ascii="Arial" w:hAnsi="Arial" w:cs="Arial"/>
          <w:sz w:val="24"/>
          <w:szCs w:val="24"/>
        </w:rPr>
        <w:t xml:space="preserve"> </w:t>
      </w:r>
      <w:r w:rsidR="00D03BCC" w:rsidRPr="00716F36">
        <w:rPr>
          <w:rFonts w:ascii="Arial" w:hAnsi="Arial" w:cs="Arial"/>
          <w:bCs/>
          <w:sz w:val="24"/>
          <w:szCs w:val="24"/>
        </w:rPr>
        <w:t xml:space="preserve">T-cell </w:t>
      </w:r>
      <w:r w:rsidR="00D03BCC" w:rsidRPr="00716F36">
        <w:rPr>
          <w:rFonts w:ascii="Arial" w:hAnsi="Arial" w:cs="Arial"/>
          <w:sz w:val="24"/>
          <w:szCs w:val="24"/>
        </w:rPr>
        <w:t>clonality</w:t>
      </w:r>
      <w:r w:rsidR="00716F36" w:rsidRPr="00716F36">
        <w:rPr>
          <w:rFonts w:ascii="Arial" w:hAnsi="Arial" w:cs="Arial"/>
          <w:sz w:val="24"/>
          <w:szCs w:val="24"/>
        </w:rPr>
        <w:t xml:space="preserve"> </w:t>
      </w:r>
      <w:r w:rsidR="00D03BCC" w:rsidRPr="00716F36">
        <w:rPr>
          <w:rFonts w:ascii="Arial" w:hAnsi="Arial" w:cs="Arial"/>
          <w:sz w:val="24"/>
          <w:szCs w:val="24"/>
        </w:rPr>
        <w:t>with P13 excluded.</w:t>
      </w:r>
    </w:p>
    <w:p w14:paraId="60497B9E" w14:textId="77777777" w:rsidR="00D77309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1838EE" w14:textId="77777777" w:rsidR="00D77309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4D0F2E" w14:textId="77777777" w:rsidR="00D77309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4C0FFB" w14:textId="77777777" w:rsidR="00D77309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0DF9D6" w14:textId="77777777" w:rsidR="00D77309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7D78CF" w14:textId="21AE78DB" w:rsidR="00D77309" w:rsidRDefault="00D77309" w:rsidP="00D7730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10</w:t>
      </w:r>
    </w:p>
    <w:p w14:paraId="2E8BAB37" w14:textId="77777777" w:rsidR="00883BE7" w:rsidRDefault="00883BE7" w:rsidP="00883BE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883BE7">
        <w:rPr>
          <w:noProof/>
        </w:rPr>
        <w:drawing>
          <wp:inline distT="0" distB="0" distL="0" distR="0" wp14:anchorId="01B99E6B" wp14:editId="0936CF67">
            <wp:extent cx="4191000" cy="34766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3CEE" w14:textId="77524AA8" w:rsidR="00D77309" w:rsidRPr="00D77309" w:rsidRDefault="00D77309" w:rsidP="00883BE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Supplementary Fig. 10 </w:t>
      </w:r>
      <w:r w:rsidRPr="00D77309">
        <w:rPr>
          <w:rFonts w:ascii="Arial" w:hAnsi="Arial" w:cs="Arial"/>
          <w:b/>
          <w:bCs/>
          <w:sz w:val="24"/>
          <w:szCs w:val="24"/>
          <w:shd w:val="clear" w:color="auto" w:fill="FFFFFF"/>
        </w:rPr>
        <w:t>Comparison of TCR templates between SCLCs and NSCLC tumors from PROSPECT cohort.</w:t>
      </w:r>
      <w:r w:rsidRPr="00D7730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T-cell templates were derived from 19 SCLCs (</w:t>
      </w:r>
      <w:r w:rsidR="00883BE7">
        <w:rPr>
          <w:rFonts w:ascii="Arial" w:hAnsi="Arial" w:cs="Arial"/>
          <w:bCs/>
          <w:sz w:val="24"/>
          <w:szCs w:val="24"/>
          <w:shd w:val="clear" w:color="auto" w:fill="FFFFFF"/>
        </w:rPr>
        <w:t>red</w:t>
      </w:r>
      <w:r w:rsidRPr="00D7730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) </w:t>
      </w:r>
      <w:r w:rsidRPr="00D77309">
        <w:rPr>
          <w:rFonts w:ascii="Arial" w:hAnsi="Arial" w:cs="Arial"/>
          <w:bCs/>
          <w:i/>
          <w:iCs/>
          <w:sz w:val="24"/>
          <w:szCs w:val="24"/>
          <w:shd w:val="clear" w:color="auto" w:fill="FFFFFF"/>
        </w:rPr>
        <w:t>versus</w:t>
      </w:r>
      <w:r w:rsidR="00883BE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236 NSCLCs (blue</w:t>
      </w:r>
      <w:r w:rsidRPr="00D77309">
        <w:rPr>
          <w:rFonts w:ascii="Arial" w:hAnsi="Arial" w:cs="Arial"/>
          <w:bCs/>
          <w:sz w:val="24"/>
          <w:szCs w:val="24"/>
          <w:shd w:val="clear" w:color="auto" w:fill="FFFFFF"/>
        </w:rPr>
        <w:t>) from PROSPECT cohort.</w:t>
      </w:r>
    </w:p>
    <w:p w14:paraId="1B015E87" w14:textId="77777777" w:rsidR="00D77309" w:rsidRDefault="00D77309" w:rsidP="00D7730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9365591" w14:textId="77777777" w:rsidR="00D77309" w:rsidRPr="00716F36" w:rsidRDefault="00D77309" w:rsidP="00716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8ADBB5" w14:textId="77777777" w:rsidR="00D03BCC" w:rsidRDefault="00D03BCC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7D2EB7CC" w14:textId="77777777" w:rsidR="00D77309" w:rsidRDefault="00D77309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044E0466" w14:textId="77777777" w:rsidR="00D77309" w:rsidRDefault="00D77309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400B7720" w14:textId="77777777" w:rsidR="00D77309" w:rsidRDefault="00D77309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12E5D7B3" w14:textId="77777777" w:rsidR="00D77309" w:rsidRDefault="00D77309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1690B609" w14:textId="77777777" w:rsidR="00D77309" w:rsidRDefault="00D77309" w:rsidP="0023186E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48A4401A" w14:textId="7BFDD1DE" w:rsidR="00D77309" w:rsidRPr="00D77309" w:rsidRDefault="00D77309" w:rsidP="00D7730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11</w:t>
      </w:r>
    </w:p>
    <w:p w14:paraId="264AC144" w14:textId="77777777" w:rsidR="0040711E" w:rsidRDefault="0040711E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noProof/>
          <w:color w:val="2F5496" w:themeColor="accent5" w:themeShade="BF"/>
          <w:sz w:val="24"/>
          <w:szCs w:val="24"/>
        </w:rPr>
        <w:drawing>
          <wp:inline distT="0" distB="0" distL="0" distR="0" wp14:anchorId="0A42D302" wp14:editId="40A5A687">
            <wp:extent cx="5895975" cy="362285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04" cy="362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5024E" w14:textId="3E42AAA5" w:rsidR="0040711E" w:rsidRDefault="000B370D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</w:t>
      </w:r>
      <w:r w:rsidR="00D77309">
        <w:rPr>
          <w:rFonts w:ascii="Arial" w:hAnsi="Arial" w:cs="Arial"/>
          <w:b/>
          <w:bCs/>
          <w:sz w:val="24"/>
          <w:szCs w:val="24"/>
        </w:rPr>
        <w:t>ary Fig.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77309">
        <w:rPr>
          <w:rFonts w:ascii="Arial" w:hAnsi="Arial" w:cs="Arial"/>
          <w:b/>
          <w:bCs/>
          <w:sz w:val="24"/>
          <w:szCs w:val="24"/>
        </w:rPr>
        <w:t>11</w:t>
      </w:r>
      <w:r w:rsidR="0040711E" w:rsidRPr="00F0297F">
        <w:rPr>
          <w:rFonts w:ascii="Arial" w:hAnsi="Arial" w:cs="Arial"/>
          <w:sz w:val="24"/>
          <w:szCs w:val="24"/>
        </w:rPr>
        <w:t xml:space="preserve"> </w:t>
      </w:r>
      <w:r w:rsidR="0040711E" w:rsidRPr="00F0297F">
        <w:rPr>
          <w:rFonts w:ascii="Arial" w:hAnsi="Arial" w:cs="Arial"/>
          <w:b/>
          <w:sz w:val="24"/>
          <w:szCs w:val="24"/>
        </w:rPr>
        <w:t xml:space="preserve">Expression of CD3 in tumor infiltrated lymphocytes (TILs) and PD-L1 in small cell lung cancer (SCLC) and non-small cell lung cancer (NSCLC) respectively. </w:t>
      </w:r>
      <w:r w:rsidR="0040711E" w:rsidRPr="00F0297F">
        <w:rPr>
          <w:rFonts w:ascii="Arial" w:hAnsi="Arial" w:cs="Arial"/>
          <w:sz w:val="24"/>
          <w:szCs w:val="24"/>
        </w:rPr>
        <w:t>S1~3 and N1~3 indicates for three independent cases for SCLC and NSCLC. All the pictures were taken under 100× power phase.</w:t>
      </w:r>
    </w:p>
    <w:p w14:paraId="53692809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31BAD0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D8735D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CE7A4C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368257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330E17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B02A98" w14:textId="77777777" w:rsidR="00D77309" w:rsidRDefault="00D77309" w:rsidP="002318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963172" w14:textId="7D467490" w:rsidR="0040711E" w:rsidRPr="00D77309" w:rsidRDefault="00D77309" w:rsidP="00D7730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12</w:t>
      </w:r>
    </w:p>
    <w:p w14:paraId="54F3A45A" w14:textId="108F8CE2" w:rsidR="0040711E" w:rsidRDefault="00D77309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07CA98BF" wp14:editId="043E4040">
            <wp:extent cx="5852755" cy="410446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09" cy="410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4E48B" w14:textId="60BCF8CD" w:rsidR="0040711E" w:rsidRPr="00B470AC" w:rsidRDefault="00D77309" w:rsidP="0023186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 xml:space="preserve"> Correlations of </w:t>
      </w:r>
      <w:r w:rsidR="0040711E" w:rsidRPr="00B470AC">
        <w:rPr>
          <w:rFonts w:ascii="Arial" w:eastAsia="Times New Roman" w:hAnsi="Arial" w:cs="Arial"/>
          <w:b/>
          <w:sz w:val="24"/>
          <w:szCs w:val="24"/>
        </w:rPr>
        <w:t xml:space="preserve">TCR metrics with TCR </w:t>
      </w:r>
      <w:r w:rsidR="00D526CD">
        <w:rPr>
          <w:rFonts w:ascii="Arial" w:eastAsia="Times New Roman" w:hAnsi="Arial" w:cs="Arial"/>
          <w:b/>
          <w:sz w:val="24"/>
          <w:szCs w:val="24"/>
        </w:rPr>
        <w:t>Jaccard index (</w:t>
      </w:r>
      <w:r w:rsidR="0040711E" w:rsidRPr="00B470AC">
        <w:rPr>
          <w:rFonts w:ascii="Arial" w:eastAsia="Times New Roman" w:hAnsi="Arial" w:cs="Arial"/>
          <w:b/>
          <w:sz w:val="24"/>
          <w:szCs w:val="24"/>
        </w:rPr>
        <w:t>JI</w:t>
      </w:r>
      <w:r w:rsidR="00D526CD">
        <w:rPr>
          <w:rFonts w:ascii="Arial" w:eastAsia="Times New Roman" w:hAnsi="Arial" w:cs="Arial"/>
          <w:b/>
          <w:sz w:val="24"/>
          <w:szCs w:val="24"/>
        </w:rPr>
        <w:t>)</w:t>
      </w:r>
      <w:r w:rsidR="0040711E" w:rsidRPr="00B470AC">
        <w:rPr>
          <w:rFonts w:ascii="Arial" w:eastAsia="Times New Roman" w:hAnsi="Arial" w:cs="Arial"/>
          <w:b/>
          <w:sz w:val="24"/>
          <w:szCs w:val="24"/>
        </w:rPr>
        <w:t xml:space="preserve"> and their associations with overall survival (OS)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 xml:space="preserve">. 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Positive </w:t>
      </w:r>
      <w:r w:rsidR="007D4334">
        <w:rPr>
          <w:rFonts w:ascii="Arial" w:hAnsi="Arial" w:cs="Arial"/>
          <w:bCs/>
          <w:sz w:val="24"/>
          <w:szCs w:val="24"/>
        </w:rPr>
        <w:t>c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orrelations of </w:t>
      </w:r>
      <w:r w:rsidR="0040711E" w:rsidRPr="00B470AC">
        <w:rPr>
          <w:rFonts w:ascii="Arial" w:eastAsia="Times New Roman" w:hAnsi="Arial" w:cs="Arial"/>
          <w:sz w:val="24"/>
          <w:szCs w:val="24"/>
        </w:rPr>
        <w:t>TCR JI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 with </w:t>
      </w:r>
      <w:r w:rsidR="00CB58D5">
        <w:rPr>
          <w:rFonts w:ascii="Arial" w:hAnsi="Arial" w:cs="Arial"/>
          <w:bCs/>
          <w:sz w:val="24"/>
          <w:szCs w:val="24"/>
        </w:rPr>
        <w:t xml:space="preserve">T-cell </w:t>
      </w:r>
      <w:r>
        <w:rPr>
          <w:rFonts w:ascii="Arial" w:hAnsi="Arial" w:cs="Arial"/>
          <w:b/>
          <w:bCs/>
          <w:sz w:val="24"/>
          <w:szCs w:val="24"/>
        </w:rPr>
        <w:t>(a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>)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 density,</w:t>
      </w:r>
      <w:r w:rsidR="0040711E" w:rsidRPr="00B470AC">
        <w:rPr>
          <w:rFonts w:ascii="Arial" w:eastAsia="Times New Roman" w:hAnsi="Arial" w:cs="Arial"/>
          <w:sz w:val="24"/>
          <w:szCs w:val="24"/>
        </w:rPr>
        <w:t xml:space="preserve"> </w:t>
      </w:r>
      <w:r w:rsidR="0040711E" w:rsidRPr="00B470AC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>)</w:t>
      </w:r>
      <w:r w:rsidR="0040711E" w:rsidRPr="00B470AC">
        <w:rPr>
          <w:rFonts w:ascii="Arial" w:hAnsi="Arial" w:cs="Arial"/>
          <w:sz w:val="24"/>
          <w:szCs w:val="24"/>
        </w:rPr>
        <w:t xml:space="preserve"> richness and </w:t>
      </w:r>
      <w:r>
        <w:rPr>
          <w:rFonts w:ascii="Arial" w:hAnsi="Arial" w:cs="Arial"/>
          <w:b/>
          <w:sz w:val="24"/>
          <w:szCs w:val="24"/>
        </w:rPr>
        <w:t>(c</w:t>
      </w:r>
      <w:r w:rsidR="0040711E" w:rsidRPr="00B470AC">
        <w:rPr>
          <w:rFonts w:ascii="Arial" w:hAnsi="Arial" w:cs="Arial"/>
          <w:b/>
          <w:sz w:val="24"/>
          <w:szCs w:val="24"/>
        </w:rPr>
        <w:t>)</w:t>
      </w:r>
      <w:r w:rsidR="00CB58D5">
        <w:rPr>
          <w:rFonts w:ascii="Arial" w:hAnsi="Arial" w:cs="Arial"/>
          <w:sz w:val="24"/>
          <w:szCs w:val="24"/>
        </w:rPr>
        <w:t xml:space="preserve"> </w:t>
      </w:r>
      <w:r w:rsidR="0040711E" w:rsidRPr="00B470AC">
        <w:rPr>
          <w:rFonts w:ascii="Arial" w:hAnsi="Arial" w:cs="Arial"/>
          <w:sz w:val="24"/>
          <w:szCs w:val="24"/>
        </w:rPr>
        <w:t xml:space="preserve">clonality. 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Associations of OS with </w:t>
      </w:r>
      <w:r w:rsidR="00CB58D5">
        <w:rPr>
          <w:rFonts w:ascii="Arial" w:hAnsi="Arial" w:cs="Arial"/>
          <w:bCs/>
          <w:sz w:val="24"/>
          <w:szCs w:val="24"/>
        </w:rPr>
        <w:t xml:space="preserve">T-cell </w:t>
      </w:r>
      <w:r>
        <w:rPr>
          <w:rFonts w:ascii="Arial" w:hAnsi="Arial" w:cs="Arial"/>
          <w:b/>
          <w:bCs/>
          <w:sz w:val="24"/>
          <w:szCs w:val="24"/>
        </w:rPr>
        <w:t>(d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>)</w:t>
      </w:r>
      <w:r w:rsidR="00CB58D5">
        <w:rPr>
          <w:rFonts w:ascii="Arial" w:hAnsi="Arial" w:cs="Arial"/>
          <w:bCs/>
          <w:sz w:val="24"/>
          <w:szCs w:val="24"/>
        </w:rPr>
        <w:t xml:space="preserve"> 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density, </w:t>
      </w:r>
      <w:r>
        <w:rPr>
          <w:rFonts w:ascii="Arial" w:hAnsi="Arial" w:cs="Arial"/>
          <w:b/>
          <w:bCs/>
          <w:sz w:val="24"/>
          <w:szCs w:val="24"/>
        </w:rPr>
        <w:t>(e</w:t>
      </w:r>
      <w:r w:rsidR="00CB58D5">
        <w:rPr>
          <w:rFonts w:ascii="Arial" w:hAnsi="Arial" w:cs="Arial"/>
          <w:b/>
          <w:bCs/>
          <w:sz w:val="24"/>
          <w:szCs w:val="24"/>
        </w:rPr>
        <w:t xml:space="preserve">) 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richness and </w:t>
      </w:r>
      <w:r>
        <w:rPr>
          <w:rFonts w:ascii="Arial" w:hAnsi="Arial" w:cs="Arial"/>
          <w:b/>
          <w:bCs/>
          <w:sz w:val="24"/>
          <w:szCs w:val="24"/>
        </w:rPr>
        <w:t>(f</w:t>
      </w:r>
      <w:r w:rsidR="0040711E" w:rsidRPr="00B470AC">
        <w:rPr>
          <w:rFonts w:ascii="Arial" w:hAnsi="Arial" w:cs="Arial"/>
          <w:b/>
          <w:bCs/>
          <w:sz w:val="24"/>
          <w:szCs w:val="24"/>
        </w:rPr>
        <w:t>)</w:t>
      </w:r>
      <w:r w:rsidR="0040711E" w:rsidRPr="00B470AC">
        <w:rPr>
          <w:rFonts w:ascii="Arial" w:hAnsi="Arial" w:cs="Arial"/>
          <w:bCs/>
          <w:sz w:val="24"/>
          <w:szCs w:val="24"/>
        </w:rPr>
        <w:t xml:space="preserve"> clonality.</w:t>
      </w:r>
    </w:p>
    <w:p w14:paraId="4AF065C9" w14:textId="77777777" w:rsidR="0040711E" w:rsidRDefault="0040711E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6F4BA870" w14:textId="77777777" w:rsidR="00CB58D5" w:rsidRDefault="00CB58D5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4489B64A" w14:textId="77777777" w:rsidR="00CB58D5" w:rsidRDefault="00CB58D5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72231A68" w14:textId="77777777" w:rsidR="00CB58D5" w:rsidRDefault="00CB58D5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47B90CB4" w14:textId="77777777" w:rsidR="00CB58D5" w:rsidRDefault="00CB58D5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21293839" w14:textId="77777777" w:rsidR="00CB58D5" w:rsidRDefault="00CB58D5" w:rsidP="0023186E">
      <w:pPr>
        <w:spacing w:line="360" w:lineRule="auto"/>
        <w:jc w:val="both"/>
        <w:rPr>
          <w:rFonts w:ascii="Arial" w:hAnsi="Arial" w:cs="Arial"/>
          <w:color w:val="2F5496" w:themeColor="accent5" w:themeShade="BF"/>
          <w:sz w:val="24"/>
          <w:szCs w:val="24"/>
        </w:rPr>
      </w:pPr>
    </w:p>
    <w:p w14:paraId="455EAC96" w14:textId="54355F66" w:rsidR="00CB58D5" w:rsidRPr="00CB58D5" w:rsidRDefault="00CB58D5" w:rsidP="0023186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Supplementary Figure 13</w:t>
      </w:r>
    </w:p>
    <w:p w14:paraId="037DC031" w14:textId="02CA0D3E" w:rsidR="0040711E" w:rsidRDefault="00FC365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bookmarkStart w:id="0" w:name="_GoBack"/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A9D8BEC" wp14:editId="691E474B">
            <wp:extent cx="5977516" cy="46119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07" cy="4614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A42C80F" w14:textId="660789E4" w:rsidR="0040711E" w:rsidRPr="005B5350" w:rsidRDefault="00CB58D5" w:rsidP="0023186E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13</w:t>
      </w:r>
      <w:r w:rsidR="0040711E" w:rsidRPr="005B5350">
        <w:rPr>
          <w:rFonts w:ascii="Arial" w:hAnsi="Arial" w:cs="Arial"/>
          <w:b/>
          <w:bCs/>
          <w:sz w:val="24"/>
          <w:szCs w:val="24"/>
        </w:rPr>
        <w:t xml:space="preserve"> Predicted neoantigen in sma</w:t>
      </w:r>
      <w:r>
        <w:rPr>
          <w:rFonts w:ascii="Arial" w:hAnsi="Arial" w:cs="Arial"/>
          <w:b/>
          <w:bCs/>
          <w:sz w:val="24"/>
          <w:szCs w:val="24"/>
        </w:rPr>
        <w:t>ll-cell lung cancers (SCLCs). (a</w:t>
      </w:r>
      <w:r w:rsidR="0040711E" w:rsidRPr="005B5350">
        <w:rPr>
          <w:rFonts w:ascii="Arial" w:hAnsi="Arial" w:cs="Arial"/>
          <w:b/>
          <w:bCs/>
          <w:sz w:val="24"/>
          <w:szCs w:val="24"/>
        </w:rPr>
        <w:t xml:space="preserve">) </w:t>
      </w:r>
      <w:r w:rsidR="0040711E" w:rsidRPr="005B5350">
        <w:rPr>
          <w:rFonts w:ascii="Arial" w:hAnsi="Arial" w:cs="Arial"/>
          <w:sz w:val="24"/>
          <w:szCs w:val="24"/>
        </w:rPr>
        <w:t xml:space="preserve">Predicted neoantigens in SCLCs. </w:t>
      </w:r>
      <w:r w:rsidR="0040711E" w:rsidRPr="005B5350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="0040711E" w:rsidRPr="005B5350">
        <w:rPr>
          <w:rFonts w:ascii="Arial" w:hAnsi="Arial" w:cs="Arial"/>
          <w:b/>
          <w:bCs/>
          <w:sz w:val="24"/>
          <w:szCs w:val="24"/>
        </w:rPr>
        <w:t>)</w:t>
      </w:r>
      <w:r w:rsidR="0040711E" w:rsidRPr="005B5350">
        <w:rPr>
          <w:rFonts w:ascii="Arial" w:hAnsi="Arial" w:cs="Arial"/>
          <w:sz w:val="24"/>
          <w:szCs w:val="24"/>
        </w:rPr>
        <w:t xml:space="preserve"> Proportion of predicted neoantigens associated with </w:t>
      </w:r>
      <w:r w:rsidR="00264041">
        <w:rPr>
          <w:rFonts w:ascii="Arial" w:hAnsi="Arial" w:cs="Arial"/>
          <w:sz w:val="24"/>
          <w:szCs w:val="24"/>
        </w:rPr>
        <w:t xml:space="preserve">trunk mutations detected in all tumor regions of a given tumor </w:t>
      </w:r>
      <w:r w:rsidR="0040711E" w:rsidRPr="005B5350">
        <w:rPr>
          <w:rFonts w:ascii="Arial" w:hAnsi="Arial" w:cs="Arial"/>
          <w:sz w:val="24"/>
          <w:szCs w:val="24"/>
        </w:rPr>
        <w:t xml:space="preserve">(blue) </w:t>
      </w:r>
      <w:r w:rsidR="0040711E" w:rsidRPr="005B5350">
        <w:rPr>
          <w:rFonts w:ascii="Arial" w:hAnsi="Arial" w:cs="Arial"/>
          <w:i/>
          <w:sz w:val="24"/>
          <w:szCs w:val="24"/>
        </w:rPr>
        <w:t>versus</w:t>
      </w:r>
      <w:r w:rsidR="0040711E" w:rsidRPr="005B5350">
        <w:rPr>
          <w:rFonts w:ascii="Arial" w:hAnsi="Arial" w:cs="Arial"/>
          <w:sz w:val="24"/>
          <w:szCs w:val="24"/>
        </w:rPr>
        <w:t xml:space="preserve"> </w:t>
      </w:r>
      <w:r w:rsidR="00264041">
        <w:rPr>
          <w:rFonts w:ascii="Arial" w:hAnsi="Arial" w:cs="Arial"/>
          <w:sz w:val="24"/>
          <w:szCs w:val="24"/>
        </w:rPr>
        <w:t>non-trunk mutations</w:t>
      </w:r>
      <w:r w:rsidR="00264041" w:rsidRPr="005B5350">
        <w:rPr>
          <w:rFonts w:ascii="Arial" w:hAnsi="Arial" w:cs="Arial"/>
          <w:sz w:val="24"/>
          <w:szCs w:val="24"/>
        </w:rPr>
        <w:t xml:space="preserve"> </w:t>
      </w:r>
      <w:r w:rsidR="0040711E" w:rsidRPr="005B5350">
        <w:rPr>
          <w:rFonts w:ascii="Arial" w:hAnsi="Arial" w:cs="Arial"/>
          <w:sz w:val="24"/>
          <w:szCs w:val="24"/>
        </w:rPr>
        <w:t xml:space="preserve">(orange) mutations in 18 SCLCs with multiregional exome sequencing data available. </w:t>
      </w:r>
      <w:r>
        <w:rPr>
          <w:rFonts w:ascii="Arial" w:hAnsi="Arial" w:cs="Arial"/>
          <w:b/>
          <w:sz w:val="24"/>
          <w:szCs w:val="24"/>
        </w:rPr>
        <w:t>(c</w:t>
      </w:r>
      <w:r w:rsidR="0040711E" w:rsidRPr="005B5350">
        <w:rPr>
          <w:rFonts w:ascii="Arial" w:hAnsi="Arial" w:cs="Arial"/>
          <w:b/>
          <w:sz w:val="24"/>
          <w:szCs w:val="24"/>
        </w:rPr>
        <w:t xml:space="preserve">) </w:t>
      </w:r>
      <w:r w:rsidR="0040711E" w:rsidRPr="005B5350">
        <w:rPr>
          <w:rFonts w:ascii="Arial" w:hAnsi="Arial" w:cs="Arial"/>
          <w:sz w:val="24"/>
          <w:szCs w:val="24"/>
        </w:rPr>
        <w:t xml:space="preserve">Proportion of predicted neoantigens associated with clonal (blue) </w:t>
      </w:r>
      <w:r w:rsidR="0040711E" w:rsidRPr="005B5350">
        <w:rPr>
          <w:rFonts w:ascii="Arial" w:hAnsi="Arial" w:cs="Arial"/>
          <w:i/>
          <w:sz w:val="24"/>
          <w:szCs w:val="24"/>
        </w:rPr>
        <w:t>versus</w:t>
      </w:r>
      <w:r w:rsidR="0040711E" w:rsidRPr="005B5350">
        <w:rPr>
          <w:rFonts w:ascii="Arial" w:hAnsi="Arial" w:cs="Arial"/>
          <w:sz w:val="24"/>
          <w:szCs w:val="24"/>
        </w:rPr>
        <w:t xml:space="preserve"> subclonal (orange) mutations in SCLCs </w:t>
      </w:r>
      <w:r w:rsidR="0040711E" w:rsidRPr="005B5350">
        <w:rPr>
          <w:rFonts w:ascii="Arial" w:hAnsi="Arial" w:cs="Arial"/>
          <w:spacing w:val="3"/>
          <w:sz w:val="24"/>
          <w:szCs w:val="24"/>
          <w:shd w:val="clear" w:color="auto" w:fill="FFFFFF"/>
        </w:rPr>
        <w:t>using PyClone</w:t>
      </w:r>
      <w:r w:rsidR="007D4334" w:rsidRPr="007D4334">
        <w:rPr>
          <w:rFonts w:ascii="Arial" w:hAnsi="Arial" w:cs="Arial"/>
          <w:sz w:val="24"/>
          <w:szCs w:val="24"/>
        </w:rPr>
        <w:t>. M</w:t>
      </w:r>
      <w:r w:rsidR="0040711E" w:rsidRPr="007D4334">
        <w:rPr>
          <w:rFonts w:ascii="Arial" w:hAnsi="Arial" w:cs="Arial"/>
          <w:spacing w:val="3"/>
          <w:sz w:val="24"/>
          <w:szCs w:val="24"/>
          <w:shd w:val="clear" w:color="auto" w:fill="FFFFFF"/>
        </w:rPr>
        <w:t>uta</w:t>
      </w:r>
      <w:r w:rsidR="0040711E" w:rsidRPr="005B5350">
        <w:rPr>
          <w:rFonts w:ascii="Arial" w:hAnsi="Arial" w:cs="Arial"/>
          <w:spacing w:val="3"/>
          <w:sz w:val="24"/>
          <w:szCs w:val="24"/>
          <w:shd w:val="clear" w:color="auto" w:fill="FFFFFF"/>
        </w:rPr>
        <w:t>tions as clonal,</w:t>
      </w:r>
      <w:r w:rsidR="0040711E" w:rsidRPr="005B5350">
        <w:rPr>
          <w:rFonts w:ascii="Arial" w:hAnsi="Arial" w:cs="Arial"/>
          <w:sz w:val="24"/>
          <w:szCs w:val="24"/>
          <w:shd w:val="clear" w:color="auto" w:fill="FFFFFF"/>
        </w:rPr>
        <w:t xml:space="preserve"> defined as estimated cancer cell fraction (CCF) =1 (indicating mutations present in all cancer cells) </w:t>
      </w:r>
      <w:r w:rsidR="0040711E" w:rsidRPr="005B5350">
        <w:rPr>
          <w:rFonts w:ascii="Arial" w:hAnsi="Arial" w:cs="Arial"/>
          <w:spacing w:val="3"/>
          <w:sz w:val="24"/>
          <w:szCs w:val="24"/>
          <w:shd w:val="clear" w:color="auto" w:fill="FFFFFF"/>
        </w:rPr>
        <w:t xml:space="preserve">or subclonal, </w:t>
      </w:r>
      <w:r w:rsidR="0040711E" w:rsidRPr="005B5350">
        <w:rPr>
          <w:rFonts w:ascii="Arial" w:hAnsi="Arial" w:cs="Arial"/>
          <w:sz w:val="24"/>
          <w:szCs w:val="24"/>
          <w:shd w:val="clear" w:color="auto" w:fill="FFFFFF"/>
        </w:rPr>
        <w:t>defined as estimated CCF&lt;1 (indicating mutations only present in a subset of cancer cells)</w:t>
      </w:r>
      <w:r w:rsidR="0040711E" w:rsidRPr="005B5350">
        <w:rPr>
          <w:rFonts w:ascii="Arial" w:hAnsi="Arial" w:cs="Arial"/>
          <w:spacing w:val="3"/>
          <w:sz w:val="24"/>
          <w:szCs w:val="24"/>
          <w:shd w:val="clear" w:color="auto" w:fill="FFFFFF"/>
        </w:rPr>
        <w:t xml:space="preserve"> in each tumor </w:t>
      </w:r>
      <w:r w:rsidR="0040711E" w:rsidRPr="005B5350">
        <w:rPr>
          <w:rFonts w:ascii="Arial" w:hAnsi="Arial" w:cs="Arial"/>
          <w:sz w:val="24"/>
          <w:szCs w:val="24"/>
          <w:shd w:val="clear" w:color="auto" w:fill="FFFFFF"/>
        </w:rPr>
        <w:t xml:space="preserve">specimen. </w:t>
      </w:r>
      <w:r w:rsidR="0040711E" w:rsidRPr="005B5350">
        <w:rPr>
          <w:rFonts w:ascii="Arial" w:hAnsi="Arial" w:cs="Arial"/>
          <w:bCs/>
          <w:sz w:val="24"/>
          <w:szCs w:val="24"/>
        </w:rPr>
        <w:t>Purple patient IDs = patients who were alive; Green patient IDs = patients who were deceased.</w:t>
      </w:r>
    </w:p>
    <w:p w14:paraId="3F019A07" w14:textId="77777777" w:rsidR="0040711E" w:rsidRDefault="0040711E" w:rsidP="0023186E">
      <w:pPr>
        <w:spacing w:line="360" w:lineRule="auto"/>
        <w:jc w:val="both"/>
        <w:rPr>
          <w:rFonts w:ascii="Arial" w:hAnsi="Arial" w:cs="Arial"/>
          <w:b/>
          <w:color w:val="2F5496" w:themeColor="accent5" w:themeShade="BF"/>
          <w:sz w:val="24"/>
          <w:szCs w:val="24"/>
        </w:rPr>
      </w:pPr>
    </w:p>
    <w:p w14:paraId="57B0D1F6" w14:textId="33CDB021" w:rsidR="00CB58D5" w:rsidRPr="00125E64" w:rsidRDefault="00CB58D5" w:rsidP="0023186E">
      <w:pPr>
        <w:spacing w:line="360" w:lineRule="auto"/>
        <w:jc w:val="both"/>
        <w:rPr>
          <w:rFonts w:ascii="Arial" w:hAnsi="Arial" w:cs="Arial"/>
          <w:b/>
          <w:color w:val="2F5496" w:themeColor="accent5" w:themeShade="BF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Figure 14</w:t>
      </w:r>
    </w:p>
    <w:p w14:paraId="3B7EC952" w14:textId="77777777" w:rsidR="0040711E" w:rsidRPr="00A835B7" w:rsidRDefault="0040711E" w:rsidP="0023186E">
      <w:pPr>
        <w:tabs>
          <w:tab w:val="left" w:pos="6525"/>
        </w:tabs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B5350">
        <w:rPr>
          <w:noProof/>
        </w:rPr>
        <w:drawing>
          <wp:inline distT="0" distB="0" distL="0" distR="0" wp14:anchorId="2B4195FD" wp14:editId="0E23DAF0">
            <wp:extent cx="4777339" cy="304083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513" cy="30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3346" w14:textId="286B13AB" w:rsidR="0040711E" w:rsidRDefault="00CB58D5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Fig.</w:t>
      </w:r>
      <w:r w:rsidR="000B370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0711E">
        <w:rPr>
          <w:rFonts w:ascii="Arial" w:hAnsi="Arial" w:cs="Arial"/>
          <w:b/>
          <w:bCs/>
          <w:color w:val="000000" w:themeColor="text1"/>
          <w:sz w:val="24"/>
          <w:szCs w:val="24"/>
        </w:rPr>
        <w:t>14</w:t>
      </w:r>
      <w:r w:rsidR="0040711E" w:rsidRPr="002132C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0711E">
        <w:rPr>
          <w:rFonts w:ascii="Arial" w:hAnsi="Arial" w:cs="Arial"/>
          <w:b/>
          <w:bCs/>
          <w:color w:val="000000" w:themeColor="text1"/>
          <w:sz w:val="24"/>
          <w:szCs w:val="24"/>
        </w:rPr>
        <w:t>TCR metric features in three different regions of patient P09.</w:t>
      </w:r>
      <w:r w:rsidR="0040711E" w:rsidRPr="005B5350">
        <w:rPr>
          <w:rFonts w:ascii="Arial" w:hAnsi="Arial" w:cs="Arial"/>
          <w:bCs/>
          <w:color w:val="000000" w:themeColor="text1"/>
          <w:sz w:val="24"/>
          <w:szCs w:val="24"/>
        </w:rPr>
        <w:t xml:space="preserve"> T-cell density, richness and clonality were lower in P09-T1 than those of P09-T2 and P09-T3.</w:t>
      </w:r>
    </w:p>
    <w:p w14:paraId="683E0F93" w14:textId="77777777" w:rsidR="00CB58D5" w:rsidRDefault="00CB58D5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428B54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BA33819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337D48C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5560FC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785C55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AD9365E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23C5F7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771074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801A7CB" w14:textId="35E60164" w:rsidR="0040711E" w:rsidRPr="005B5350" w:rsidRDefault="00CB58D5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Figure 15</w:t>
      </w:r>
    </w:p>
    <w:p w14:paraId="74E94B9C" w14:textId="3530485B" w:rsidR="0040711E" w:rsidRPr="003B5B35" w:rsidRDefault="003B5B35" w:rsidP="0023186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00CBDFAB" wp14:editId="315F6EF4">
            <wp:extent cx="5907486" cy="3057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95" cy="305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58D5">
        <w:rPr>
          <w:rFonts w:ascii="Arial" w:hAnsi="Arial" w:cs="Arial"/>
          <w:b/>
          <w:sz w:val="24"/>
          <w:szCs w:val="24"/>
        </w:rPr>
        <w:t>Supplementary Fig.</w:t>
      </w:r>
      <w:r w:rsidR="000B370D">
        <w:rPr>
          <w:rFonts w:ascii="Arial" w:hAnsi="Arial" w:cs="Arial"/>
          <w:b/>
          <w:sz w:val="24"/>
          <w:szCs w:val="24"/>
        </w:rPr>
        <w:t xml:space="preserve"> </w:t>
      </w:r>
      <w:r w:rsidR="00CB58D5">
        <w:rPr>
          <w:rFonts w:ascii="Arial" w:hAnsi="Arial" w:cs="Arial"/>
          <w:b/>
          <w:sz w:val="24"/>
          <w:szCs w:val="24"/>
        </w:rPr>
        <w:t>15</w:t>
      </w:r>
      <w:r w:rsidR="0040711E" w:rsidRPr="009753B1">
        <w:rPr>
          <w:rFonts w:ascii="Arial" w:hAnsi="Arial" w:cs="Arial"/>
          <w:b/>
          <w:sz w:val="24"/>
          <w:szCs w:val="24"/>
        </w:rPr>
        <w:t xml:space="preserve"> Association of CD3</w:t>
      </w:r>
      <w:r w:rsidR="00716F36">
        <w:rPr>
          <w:rFonts w:ascii="Arial" w:hAnsi="Arial" w:cs="Arial"/>
          <w:b/>
          <w:sz w:val="24"/>
          <w:szCs w:val="24"/>
        </w:rPr>
        <w:t xml:space="preserve"> </w:t>
      </w:r>
      <w:r w:rsidR="00883BE7">
        <w:rPr>
          <w:rFonts w:ascii="Arial" w:hAnsi="Arial" w:cs="Arial"/>
          <w:b/>
          <w:sz w:val="24"/>
          <w:szCs w:val="24"/>
        </w:rPr>
        <w:t>tumor infiltrating lymphocytes (</w:t>
      </w:r>
      <w:r w:rsidR="00716F36">
        <w:rPr>
          <w:rFonts w:ascii="Arial" w:hAnsi="Arial" w:cs="Arial"/>
          <w:b/>
          <w:sz w:val="24"/>
          <w:szCs w:val="24"/>
        </w:rPr>
        <w:t>TIL</w:t>
      </w:r>
      <w:r w:rsidR="00883BE7">
        <w:rPr>
          <w:rFonts w:ascii="Arial" w:hAnsi="Arial" w:cs="Arial"/>
          <w:b/>
          <w:sz w:val="24"/>
          <w:szCs w:val="24"/>
        </w:rPr>
        <w:t>s)</w:t>
      </w:r>
      <w:r w:rsidR="00716F36">
        <w:rPr>
          <w:rFonts w:ascii="Arial" w:hAnsi="Arial" w:cs="Arial"/>
          <w:b/>
          <w:sz w:val="24"/>
          <w:szCs w:val="24"/>
        </w:rPr>
        <w:t xml:space="preserve"> and PD-L1 expressions with </w:t>
      </w:r>
      <w:r w:rsidR="0040711E" w:rsidRPr="009753B1">
        <w:rPr>
          <w:rFonts w:ascii="Arial" w:hAnsi="Arial" w:cs="Arial"/>
          <w:b/>
          <w:sz w:val="24"/>
          <w:szCs w:val="24"/>
        </w:rPr>
        <w:t xml:space="preserve">disease-free survival (DFS). </w:t>
      </w:r>
      <w:r w:rsidR="00CB58D5">
        <w:rPr>
          <w:rFonts w:ascii="Arial" w:hAnsi="Arial" w:cs="Arial"/>
          <w:b/>
          <w:sz w:val="24"/>
          <w:szCs w:val="24"/>
        </w:rPr>
        <w:t>(a</w:t>
      </w:r>
      <w:r w:rsidR="0040711E" w:rsidRPr="009753B1">
        <w:rPr>
          <w:rFonts w:ascii="Arial" w:hAnsi="Arial" w:cs="Arial"/>
          <w:b/>
          <w:sz w:val="24"/>
          <w:szCs w:val="24"/>
        </w:rPr>
        <w:t xml:space="preserve">) 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DFS </w:t>
      </w:r>
      <w:r w:rsidR="00264041">
        <w:rPr>
          <w:rFonts w:ascii="Arial" w:hAnsi="Arial" w:cs="Arial"/>
          <w:bCs/>
          <w:sz w:val="24"/>
          <w:szCs w:val="24"/>
        </w:rPr>
        <w:t>in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 patients with tumors of </w:t>
      </w:r>
      <w:r w:rsidR="00883BE7">
        <w:rPr>
          <w:rFonts w:ascii="Arial" w:hAnsi="Arial" w:cs="Arial"/>
          <w:bCs/>
          <w:sz w:val="24"/>
          <w:szCs w:val="24"/>
        </w:rPr>
        <w:t>higher (no less than median, blue</w:t>
      </w:r>
      <w:r w:rsidR="0040711E" w:rsidRPr="009753B1">
        <w:rPr>
          <w:rFonts w:ascii="Arial" w:hAnsi="Arial" w:cs="Arial"/>
          <w:bCs/>
          <w:sz w:val="24"/>
          <w:szCs w:val="24"/>
        </w:rPr>
        <w:t>) CD3</w:t>
      </w:r>
      <w:r w:rsidR="00264041">
        <w:rPr>
          <w:rFonts w:ascii="Arial" w:hAnsi="Arial" w:cs="Arial"/>
          <w:bCs/>
          <w:sz w:val="24"/>
          <w:szCs w:val="24"/>
        </w:rPr>
        <w:t>+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 TILs </w:t>
      </w:r>
      <w:r w:rsidR="00264041">
        <w:rPr>
          <w:rFonts w:ascii="Arial" w:hAnsi="Arial" w:cs="Arial"/>
          <w:bCs/>
          <w:sz w:val="24"/>
          <w:szCs w:val="24"/>
        </w:rPr>
        <w:t xml:space="preserve">versus </w:t>
      </w:r>
      <w:r w:rsidR="0040711E" w:rsidRPr="009753B1">
        <w:rPr>
          <w:rFonts w:ascii="Arial" w:hAnsi="Arial" w:cs="Arial"/>
          <w:bCs/>
          <w:sz w:val="24"/>
          <w:szCs w:val="24"/>
        </w:rPr>
        <w:t>patients with tum</w:t>
      </w:r>
      <w:r w:rsidR="00883BE7">
        <w:rPr>
          <w:rFonts w:ascii="Arial" w:hAnsi="Arial" w:cs="Arial"/>
          <w:bCs/>
          <w:sz w:val="24"/>
          <w:szCs w:val="24"/>
        </w:rPr>
        <w:t>ors of lower (below median, red</w:t>
      </w:r>
      <w:r w:rsidR="0040711E" w:rsidRPr="009753B1">
        <w:rPr>
          <w:rFonts w:ascii="Arial" w:hAnsi="Arial" w:cs="Arial"/>
          <w:bCs/>
          <w:sz w:val="24"/>
          <w:szCs w:val="24"/>
        </w:rPr>
        <w:t>) CD3</w:t>
      </w:r>
      <w:r w:rsidR="00264041">
        <w:rPr>
          <w:rFonts w:ascii="Arial" w:hAnsi="Arial" w:cs="Arial"/>
          <w:bCs/>
          <w:sz w:val="24"/>
          <w:szCs w:val="24"/>
        </w:rPr>
        <w:t>+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 TILs. </w:t>
      </w:r>
      <w:r w:rsidR="00CB58D5">
        <w:rPr>
          <w:rFonts w:ascii="Arial" w:hAnsi="Arial" w:cs="Arial"/>
          <w:b/>
          <w:sz w:val="24"/>
          <w:szCs w:val="24"/>
        </w:rPr>
        <w:t>(</w:t>
      </w:r>
      <w:r w:rsidR="00AA6DBF">
        <w:rPr>
          <w:rFonts w:ascii="Arial" w:hAnsi="Arial" w:cs="Arial"/>
          <w:b/>
          <w:sz w:val="24"/>
          <w:szCs w:val="24"/>
        </w:rPr>
        <w:t>b</w:t>
      </w:r>
      <w:r w:rsidR="0040711E" w:rsidRPr="009753B1">
        <w:rPr>
          <w:rFonts w:ascii="Arial" w:hAnsi="Arial" w:cs="Arial"/>
          <w:b/>
          <w:sz w:val="24"/>
          <w:szCs w:val="24"/>
        </w:rPr>
        <w:t xml:space="preserve">) 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DFS in patients with tumors of </w:t>
      </w:r>
      <w:r w:rsidR="00264041">
        <w:rPr>
          <w:rFonts w:ascii="Arial" w:hAnsi="Arial" w:cs="Arial"/>
          <w:bCs/>
          <w:sz w:val="24"/>
          <w:szCs w:val="24"/>
        </w:rPr>
        <w:t>positive</w:t>
      </w:r>
      <w:r w:rsidR="00264041" w:rsidRPr="009753B1">
        <w:rPr>
          <w:rFonts w:ascii="Arial" w:hAnsi="Arial" w:cs="Arial"/>
          <w:bCs/>
          <w:sz w:val="24"/>
          <w:szCs w:val="24"/>
        </w:rPr>
        <w:t xml:space="preserve"> </w:t>
      </w:r>
      <w:r w:rsidR="00883BE7">
        <w:rPr>
          <w:rFonts w:ascii="Arial" w:hAnsi="Arial" w:cs="Arial"/>
          <w:bCs/>
          <w:sz w:val="24"/>
          <w:szCs w:val="24"/>
        </w:rPr>
        <w:t>(above 0, blue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) PD-L1 expression </w:t>
      </w:r>
      <w:r w:rsidR="00264041">
        <w:rPr>
          <w:rFonts w:ascii="Arial" w:hAnsi="Arial" w:cs="Arial"/>
          <w:bCs/>
          <w:sz w:val="24"/>
          <w:szCs w:val="24"/>
        </w:rPr>
        <w:t>versus</w:t>
      </w:r>
      <w:r w:rsidR="00264041" w:rsidRPr="009753B1">
        <w:rPr>
          <w:rFonts w:ascii="Arial" w:hAnsi="Arial" w:cs="Arial"/>
          <w:bCs/>
          <w:sz w:val="24"/>
          <w:szCs w:val="24"/>
        </w:rPr>
        <w:t xml:space="preserve"> 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patients with tumors of </w:t>
      </w:r>
      <w:r w:rsidR="00264041">
        <w:rPr>
          <w:rFonts w:ascii="Arial" w:hAnsi="Arial" w:cs="Arial"/>
          <w:bCs/>
          <w:sz w:val="24"/>
          <w:szCs w:val="24"/>
        </w:rPr>
        <w:t>negative</w:t>
      </w:r>
      <w:r w:rsidR="00264041" w:rsidRPr="009753B1">
        <w:rPr>
          <w:rFonts w:ascii="Arial" w:hAnsi="Arial" w:cs="Arial"/>
          <w:bCs/>
          <w:sz w:val="24"/>
          <w:szCs w:val="24"/>
        </w:rPr>
        <w:t xml:space="preserve"> </w:t>
      </w:r>
      <w:r w:rsidR="0040711E" w:rsidRPr="009753B1">
        <w:rPr>
          <w:rFonts w:ascii="Arial" w:hAnsi="Arial" w:cs="Arial"/>
          <w:bCs/>
          <w:sz w:val="24"/>
          <w:szCs w:val="24"/>
        </w:rPr>
        <w:t xml:space="preserve">(equal </w:t>
      </w:r>
      <w:r w:rsidR="00883BE7">
        <w:rPr>
          <w:rFonts w:ascii="Arial" w:hAnsi="Arial" w:cs="Arial"/>
          <w:bCs/>
          <w:sz w:val="24"/>
          <w:szCs w:val="24"/>
        </w:rPr>
        <w:t>0, red</w:t>
      </w:r>
      <w:r w:rsidR="0040711E" w:rsidRPr="009753B1">
        <w:rPr>
          <w:rFonts w:ascii="Arial" w:hAnsi="Arial" w:cs="Arial"/>
          <w:bCs/>
          <w:sz w:val="24"/>
          <w:szCs w:val="24"/>
        </w:rPr>
        <w:t>) PD-L1 expression</w:t>
      </w:r>
      <w:r w:rsidR="0040711E">
        <w:rPr>
          <w:rFonts w:ascii="Arial" w:hAnsi="Arial" w:cs="Arial"/>
          <w:bCs/>
          <w:sz w:val="24"/>
          <w:szCs w:val="24"/>
        </w:rPr>
        <w:t>.</w:t>
      </w:r>
    </w:p>
    <w:p w14:paraId="572E30AE" w14:textId="77777777" w:rsidR="0093426B" w:rsidRDefault="0093426B" w:rsidP="0023186E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57A85DA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86DBD63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507337D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4F28EA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E15F11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C08E2A5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EBBB1E" w14:textId="77777777" w:rsidR="005F700F" w:rsidRDefault="005F700F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D175364" w14:textId="7E3EEBA7" w:rsidR="0040686F" w:rsidRDefault="0019567B" w:rsidP="005F700F">
      <w:pPr>
        <w:tabs>
          <w:tab w:val="left" w:pos="6525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</w:t>
      </w:r>
      <w:r w:rsidR="005F700F">
        <w:rPr>
          <w:rFonts w:ascii="Arial" w:hAnsi="Arial" w:cs="Arial"/>
          <w:b/>
          <w:color w:val="000000" w:themeColor="text1"/>
          <w:sz w:val="24"/>
          <w:szCs w:val="24"/>
        </w:rPr>
        <w:t>Table 1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5F700F">
        <w:rPr>
          <w:rFonts w:ascii="Arial" w:hAnsi="Arial" w:cs="Arial"/>
          <w:b/>
          <w:color w:val="000000" w:themeColor="text1"/>
          <w:sz w:val="24"/>
          <w:szCs w:val="24"/>
        </w:rPr>
        <w:t>Clinical characteristic</w:t>
      </w:r>
      <w:r w:rsidR="00C40E16">
        <w:rPr>
          <w:rFonts w:ascii="Arial" w:hAnsi="Arial" w:cs="Arial"/>
          <w:b/>
          <w:color w:val="000000" w:themeColor="text1"/>
          <w:sz w:val="24"/>
          <w:szCs w:val="24"/>
        </w:rPr>
        <w:t xml:space="preserve">s </w:t>
      </w:r>
      <w:r w:rsidR="005F700F">
        <w:rPr>
          <w:rFonts w:ascii="Arial" w:hAnsi="Arial" w:cs="Arial"/>
          <w:b/>
          <w:color w:val="000000" w:themeColor="text1"/>
          <w:sz w:val="24"/>
          <w:szCs w:val="24"/>
        </w:rPr>
        <w:t>of</w:t>
      </w:r>
      <w:r w:rsidRPr="0019567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0E16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AA6DBF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C40E16">
        <w:rPr>
          <w:rFonts w:ascii="Arial" w:hAnsi="Arial" w:cs="Arial"/>
          <w:b/>
          <w:color w:val="000000" w:themeColor="text1"/>
          <w:sz w:val="24"/>
          <w:szCs w:val="24"/>
        </w:rPr>
        <w:t xml:space="preserve"> LS-</w:t>
      </w:r>
      <w:r w:rsidRPr="0019567B">
        <w:rPr>
          <w:rFonts w:ascii="Arial" w:hAnsi="Arial" w:cs="Arial"/>
          <w:b/>
          <w:color w:val="000000" w:themeColor="text1"/>
          <w:sz w:val="24"/>
          <w:szCs w:val="24"/>
        </w:rPr>
        <w:t xml:space="preserve">SCLC </w:t>
      </w:r>
      <w:r w:rsidR="00C40E16" w:rsidRPr="00BF6BAE">
        <w:rPr>
          <w:rFonts w:ascii="Arial" w:hAnsi="Arial" w:cs="Arial"/>
          <w:b/>
          <w:i/>
          <w:color w:val="000000" w:themeColor="text1"/>
          <w:sz w:val="24"/>
          <w:szCs w:val="24"/>
        </w:rPr>
        <w:t>versus</w:t>
      </w:r>
      <w:r w:rsidR="00C40E16" w:rsidRPr="0019567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0E16">
        <w:rPr>
          <w:rFonts w:ascii="Arial" w:hAnsi="Arial" w:cs="Arial"/>
          <w:b/>
          <w:color w:val="000000" w:themeColor="text1"/>
          <w:sz w:val="24"/>
          <w:szCs w:val="24"/>
        </w:rPr>
        <w:t xml:space="preserve">68 localized </w:t>
      </w:r>
      <w:r w:rsidRPr="0019567B">
        <w:rPr>
          <w:rFonts w:ascii="Arial" w:hAnsi="Arial" w:cs="Arial"/>
          <w:b/>
          <w:color w:val="000000" w:themeColor="text1"/>
          <w:sz w:val="24"/>
          <w:szCs w:val="24"/>
        </w:rPr>
        <w:t>NSCLC patients</w:t>
      </w:r>
    </w:p>
    <w:tbl>
      <w:tblPr>
        <w:tblStyle w:val="ListTable2-Accent3"/>
        <w:tblW w:w="8199" w:type="dxa"/>
        <w:jc w:val="center"/>
        <w:tblLook w:val="04A0" w:firstRow="1" w:lastRow="0" w:firstColumn="1" w:lastColumn="0" w:noHBand="0" w:noVBand="1"/>
      </w:tblPr>
      <w:tblGrid>
        <w:gridCol w:w="3749"/>
        <w:gridCol w:w="1660"/>
        <w:gridCol w:w="1710"/>
        <w:gridCol w:w="1080"/>
      </w:tblGrid>
      <w:tr w:rsidR="005F700F" w:rsidRPr="005F700F" w14:paraId="3ACCC74E" w14:textId="77777777" w:rsidTr="003B5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53745CAA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noWrap/>
            <w:hideMark/>
          </w:tcPr>
          <w:p w14:paraId="3213CD89" w14:textId="77777777" w:rsidR="005F700F" w:rsidRPr="005F700F" w:rsidRDefault="005F700F" w:rsidP="005F700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SCLC (n=67)</w:t>
            </w:r>
          </w:p>
        </w:tc>
        <w:tc>
          <w:tcPr>
            <w:tcW w:w="1710" w:type="dxa"/>
            <w:noWrap/>
            <w:hideMark/>
          </w:tcPr>
          <w:p w14:paraId="3CC0CA33" w14:textId="77777777" w:rsidR="005F700F" w:rsidRPr="005F700F" w:rsidRDefault="005F700F" w:rsidP="005F700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NSCLC (n=68)</w:t>
            </w:r>
          </w:p>
        </w:tc>
        <w:tc>
          <w:tcPr>
            <w:tcW w:w="1080" w:type="dxa"/>
            <w:noWrap/>
            <w:hideMark/>
          </w:tcPr>
          <w:p w14:paraId="4B19E0AA" w14:textId="17723C1B" w:rsidR="005F700F" w:rsidRPr="005F700F" w:rsidRDefault="005F700F" w:rsidP="005F700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p value</w:t>
            </w:r>
            <w:r w:rsidR="00274363">
              <w:rPr>
                <w:rFonts w:ascii="Arial" w:eastAsia="Times New Roman" w:hAnsi="Arial" w:cs="Arial"/>
                <w:color w:val="000000"/>
              </w:rPr>
              <w:t>*</w:t>
            </w:r>
          </w:p>
        </w:tc>
      </w:tr>
      <w:tr w:rsidR="005F700F" w:rsidRPr="005F700F" w14:paraId="6CCF5231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5D06C43D" w14:textId="3E3E3F98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Age (median</w:t>
            </w:r>
            <w:r w:rsidR="009A4589">
              <w:rPr>
                <w:rFonts w:ascii="Arial" w:eastAsia="Times New Roman" w:hAnsi="Arial" w:cs="Arial"/>
                <w:color w:val="000000"/>
              </w:rPr>
              <w:t xml:space="preserve"> (range)</w:t>
            </w:r>
            <w:r w:rsidRPr="005F700F">
              <w:rPr>
                <w:rFonts w:ascii="Arial" w:eastAsia="Times New Roman" w:hAnsi="Arial" w:cs="Arial"/>
                <w:color w:val="000000"/>
              </w:rPr>
              <w:t>) (yrs)</w:t>
            </w:r>
          </w:p>
        </w:tc>
        <w:tc>
          <w:tcPr>
            <w:tcW w:w="1660" w:type="dxa"/>
            <w:noWrap/>
            <w:hideMark/>
          </w:tcPr>
          <w:p w14:paraId="67A34E3F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64 (38-83)</w:t>
            </w:r>
          </w:p>
        </w:tc>
        <w:tc>
          <w:tcPr>
            <w:tcW w:w="1710" w:type="dxa"/>
            <w:noWrap/>
            <w:hideMark/>
          </w:tcPr>
          <w:p w14:paraId="7EFDAAEA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64 (36-79)</w:t>
            </w:r>
          </w:p>
        </w:tc>
        <w:tc>
          <w:tcPr>
            <w:tcW w:w="1080" w:type="dxa"/>
            <w:noWrap/>
            <w:hideMark/>
          </w:tcPr>
          <w:p w14:paraId="6492BFA7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70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0.9659</w:t>
            </w:r>
          </w:p>
        </w:tc>
      </w:tr>
      <w:tr w:rsidR="005F700F" w:rsidRPr="005F700F" w14:paraId="2810C66D" w14:textId="77777777" w:rsidTr="003B5B3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68910A8C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Gender</w:t>
            </w:r>
          </w:p>
        </w:tc>
        <w:tc>
          <w:tcPr>
            <w:tcW w:w="1660" w:type="dxa"/>
            <w:noWrap/>
            <w:hideMark/>
          </w:tcPr>
          <w:p w14:paraId="1F4E9AAB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10" w:type="dxa"/>
            <w:noWrap/>
            <w:hideMark/>
          </w:tcPr>
          <w:p w14:paraId="259044A0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14:paraId="2AA571F0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70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0.155</w:t>
            </w:r>
          </w:p>
        </w:tc>
      </w:tr>
      <w:tr w:rsidR="005F700F" w:rsidRPr="005F700F" w14:paraId="71F451F4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26990CF4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Female</w:t>
            </w:r>
          </w:p>
        </w:tc>
        <w:tc>
          <w:tcPr>
            <w:tcW w:w="1660" w:type="dxa"/>
            <w:noWrap/>
            <w:hideMark/>
          </w:tcPr>
          <w:p w14:paraId="5892BFCF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710" w:type="dxa"/>
            <w:noWrap/>
            <w:hideMark/>
          </w:tcPr>
          <w:p w14:paraId="10D559DE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080" w:type="dxa"/>
            <w:noWrap/>
            <w:hideMark/>
          </w:tcPr>
          <w:p w14:paraId="63E5622D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F700F" w:rsidRPr="005F700F" w14:paraId="6DE11C40" w14:textId="77777777" w:rsidTr="003B5B3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44F8F646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Male</w:t>
            </w:r>
          </w:p>
        </w:tc>
        <w:tc>
          <w:tcPr>
            <w:tcW w:w="1660" w:type="dxa"/>
            <w:noWrap/>
            <w:hideMark/>
          </w:tcPr>
          <w:p w14:paraId="1E0CC65B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710" w:type="dxa"/>
            <w:noWrap/>
            <w:hideMark/>
          </w:tcPr>
          <w:p w14:paraId="6B224C40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080" w:type="dxa"/>
            <w:noWrap/>
            <w:hideMark/>
          </w:tcPr>
          <w:p w14:paraId="1DD42020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F700F" w:rsidRPr="005F700F" w14:paraId="56615385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7005BF07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Smoking status</w:t>
            </w:r>
          </w:p>
        </w:tc>
        <w:tc>
          <w:tcPr>
            <w:tcW w:w="1660" w:type="dxa"/>
            <w:noWrap/>
            <w:hideMark/>
          </w:tcPr>
          <w:p w14:paraId="277E7272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10" w:type="dxa"/>
            <w:noWrap/>
            <w:hideMark/>
          </w:tcPr>
          <w:p w14:paraId="38F93F7A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14:paraId="4D0510C6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70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0.2025</w:t>
            </w:r>
          </w:p>
        </w:tc>
      </w:tr>
      <w:tr w:rsidR="005F700F" w:rsidRPr="005F700F" w14:paraId="13A87AF4" w14:textId="77777777" w:rsidTr="003B5B3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6ECDFC1E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Never smokers</w:t>
            </w:r>
          </w:p>
        </w:tc>
        <w:tc>
          <w:tcPr>
            <w:tcW w:w="1660" w:type="dxa"/>
            <w:noWrap/>
            <w:hideMark/>
          </w:tcPr>
          <w:p w14:paraId="6F4DECD4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710" w:type="dxa"/>
            <w:noWrap/>
            <w:hideMark/>
          </w:tcPr>
          <w:p w14:paraId="1B836A71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080" w:type="dxa"/>
            <w:noWrap/>
            <w:hideMark/>
          </w:tcPr>
          <w:p w14:paraId="1B973A68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F700F" w:rsidRPr="005F700F" w14:paraId="1D117689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4181ADF2" w14:textId="77777777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Smokers</w:t>
            </w:r>
          </w:p>
        </w:tc>
        <w:tc>
          <w:tcPr>
            <w:tcW w:w="1660" w:type="dxa"/>
            <w:noWrap/>
            <w:hideMark/>
          </w:tcPr>
          <w:p w14:paraId="26FAE572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710" w:type="dxa"/>
            <w:noWrap/>
            <w:hideMark/>
          </w:tcPr>
          <w:p w14:paraId="024119AA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080" w:type="dxa"/>
            <w:noWrap/>
            <w:hideMark/>
          </w:tcPr>
          <w:p w14:paraId="16823AAB" w14:textId="77777777" w:rsidR="005F700F" w:rsidRPr="005F700F" w:rsidRDefault="005F700F" w:rsidP="005F700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5F700F" w:rsidRPr="005F700F" w14:paraId="513AB6C9" w14:textId="77777777" w:rsidTr="003B5B3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9" w:type="dxa"/>
            <w:noWrap/>
            <w:hideMark/>
          </w:tcPr>
          <w:p w14:paraId="41FD2A08" w14:textId="05D8D73D" w:rsidR="005F700F" w:rsidRPr="005F700F" w:rsidRDefault="005F700F" w:rsidP="005F700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Tumor size (median</w:t>
            </w:r>
            <w:r w:rsidR="00274363">
              <w:rPr>
                <w:rFonts w:ascii="Arial" w:eastAsia="Times New Roman" w:hAnsi="Arial" w:cs="Arial"/>
                <w:color w:val="000000"/>
              </w:rPr>
              <w:t xml:space="preserve"> (range)</w:t>
            </w:r>
            <w:r w:rsidRPr="005F700F">
              <w:rPr>
                <w:rFonts w:ascii="Arial" w:eastAsia="Times New Roman" w:hAnsi="Arial" w:cs="Arial"/>
                <w:color w:val="000000"/>
              </w:rPr>
              <w:t>) (cm)</w:t>
            </w:r>
          </w:p>
        </w:tc>
        <w:tc>
          <w:tcPr>
            <w:tcW w:w="1660" w:type="dxa"/>
            <w:noWrap/>
            <w:hideMark/>
          </w:tcPr>
          <w:p w14:paraId="28423A97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2.8 (1-10)</w:t>
            </w:r>
          </w:p>
        </w:tc>
        <w:tc>
          <w:tcPr>
            <w:tcW w:w="1710" w:type="dxa"/>
            <w:noWrap/>
            <w:hideMark/>
          </w:tcPr>
          <w:p w14:paraId="0FCE89DA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5F700F">
              <w:rPr>
                <w:rFonts w:ascii="Arial" w:eastAsia="Times New Roman" w:hAnsi="Arial" w:cs="Arial"/>
                <w:color w:val="000000"/>
              </w:rPr>
              <w:t>3 (1-8.5)</w:t>
            </w:r>
          </w:p>
        </w:tc>
        <w:tc>
          <w:tcPr>
            <w:tcW w:w="1080" w:type="dxa"/>
            <w:noWrap/>
            <w:hideMark/>
          </w:tcPr>
          <w:p w14:paraId="018B1F41" w14:textId="77777777" w:rsidR="005F700F" w:rsidRPr="005F700F" w:rsidRDefault="005F700F" w:rsidP="005F700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F700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0.6205</w:t>
            </w:r>
          </w:p>
        </w:tc>
      </w:tr>
    </w:tbl>
    <w:p w14:paraId="21C2C6FD" w14:textId="729E97E6" w:rsidR="0096346C" w:rsidRPr="0070343F" w:rsidRDefault="00274363" w:rsidP="0096346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*</w:t>
      </w:r>
      <w:r w:rsidR="0096346C" w:rsidRPr="0070343F">
        <w:rPr>
          <w:rFonts w:ascii="Arial" w:hAnsi="Arial" w:cs="Arial"/>
          <w:color w:val="000000" w:themeColor="text1"/>
          <w:sz w:val="24"/>
          <w:szCs w:val="24"/>
        </w:rPr>
        <w:t>The p values were calculated by Mann-Whitney test for age, Chi-squared test for gender, Chi-squared test for smoking status and Mann-Whitney test for tumor size.</w:t>
      </w:r>
    </w:p>
    <w:p w14:paraId="1A6B1855" w14:textId="77777777" w:rsidR="00A1788D" w:rsidRDefault="00A1788D" w:rsidP="0019567B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A0D1E54" w14:textId="46AA959E" w:rsidR="0040686F" w:rsidRDefault="0019567B" w:rsidP="005F700F">
      <w:pPr>
        <w:tabs>
          <w:tab w:val="left" w:pos="6525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</w:t>
      </w:r>
      <w:r w:rsidR="005F700F">
        <w:rPr>
          <w:rFonts w:ascii="Arial" w:hAnsi="Arial" w:cs="Arial"/>
          <w:b/>
          <w:color w:val="000000" w:themeColor="text1"/>
          <w:sz w:val="24"/>
          <w:szCs w:val="24"/>
        </w:rPr>
        <w:t>Table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F700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19567B">
        <w:rPr>
          <w:rFonts w:ascii="Arial" w:hAnsi="Arial" w:cs="Arial"/>
          <w:b/>
          <w:color w:val="000000" w:themeColor="text1"/>
          <w:sz w:val="24"/>
          <w:szCs w:val="24"/>
        </w:rPr>
        <w:t>Immunogenomic characteristics in P09</w:t>
      </w:r>
    </w:p>
    <w:tbl>
      <w:tblPr>
        <w:tblStyle w:val="ListTable2-Accent3"/>
        <w:tblW w:w="8905" w:type="dxa"/>
        <w:tblLook w:val="04A0" w:firstRow="1" w:lastRow="0" w:firstColumn="1" w:lastColumn="0" w:noHBand="0" w:noVBand="1"/>
      </w:tblPr>
      <w:tblGrid>
        <w:gridCol w:w="960"/>
        <w:gridCol w:w="1015"/>
        <w:gridCol w:w="1170"/>
        <w:gridCol w:w="990"/>
        <w:gridCol w:w="1260"/>
        <w:gridCol w:w="1530"/>
        <w:gridCol w:w="1980"/>
      </w:tblGrid>
      <w:tr w:rsidR="0040686F" w:rsidRPr="0040686F" w14:paraId="786FD519" w14:textId="77777777" w:rsidTr="003B5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469A76" w14:textId="77777777" w:rsidR="0040686F" w:rsidRPr="0040686F" w:rsidRDefault="0040686F" w:rsidP="004068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ID</w:t>
            </w:r>
          </w:p>
        </w:tc>
        <w:tc>
          <w:tcPr>
            <w:tcW w:w="1015" w:type="dxa"/>
            <w:noWrap/>
            <w:hideMark/>
          </w:tcPr>
          <w:p w14:paraId="61A09A53" w14:textId="581ACE89" w:rsidR="0040686F" w:rsidRPr="0040686F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Tumor</w:t>
            </w:r>
            <w:r w:rsidR="00274363">
              <w:rPr>
                <w:rFonts w:ascii="Calibri" w:eastAsia="Times New Roman" w:hAnsi="Calibri" w:cs="Times New Roman"/>
                <w:color w:val="000000"/>
              </w:rPr>
              <w:t>*</w:t>
            </w:r>
            <w:r w:rsidRPr="0040686F">
              <w:rPr>
                <w:rFonts w:ascii="Calibri" w:eastAsia="Times New Roman" w:hAnsi="Calibri" w:cs="Times New Roman"/>
                <w:color w:val="000000"/>
              </w:rPr>
              <w:t xml:space="preserve"> purity</w:t>
            </w:r>
          </w:p>
        </w:tc>
        <w:tc>
          <w:tcPr>
            <w:tcW w:w="1170" w:type="dxa"/>
            <w:noWrap/>
            <w:hideMark/>
          </w:tcPr>
          <w:p w14:paraId="694D4CD9" w14:textId="77777777" w:rsidR="0040686F" w:rsidRPr="0040686F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T-cell density</w:t>
            </w:r>
          </w:p>
        </w:tc>
        <w:tc>
          <w:tcPr>
            <w:tcW w:w="990" w:type="dxa"/>
            <w:noWrap/>
            <w:hideMark/>
          </w:tcPr>
          <w:p w14:paraId="558A13D9" w14:textId="77777777" w:rsidR="0040686F" w:rsidRPr="0040686F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T-cell richness</w:t>
            </w:r>
          </w:p>
        </w:tc>
        <w:tc>
          <w:tcPr>
            <w:tcW w:w="1260" w:type="dxa"/>
            <w:noWrap/>
            <w:hideMark/>
          </w:tcPr>
          <w:p w14:paraId="2D283EB4" w14:textId="77777777" w:rsidR="0040686F" w:rsidRPr="0040686F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T-cell clonality</w:t>
            </w:r>
          </w:p>
        </w:tc>
        <w:tc>
          <w:tcPr>
            <w:tcW w:w="1530" w:type="dxa"/>
            <w:noWrap/>
            <w:hideMark/>
          </w:tcPr>
          <w:p w14:paraId="5D82A32D" w14:textId="77777777" w:rsidR="00274363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Nonsilent</w:t>
            </w:r>
          </w:p>
          <w:p w14:paraId="7BFA552E" w14:textId="10B3EA8B" w:rsidR="0040686F" w:rsidRPr="0040686F" w:rsidRDefault="00274363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TMB</w:t>
            </w:r>
          </w:p>
        </w:tc>
        <w:tc>
          <w:tcPr>
            <w:tcW w:w="1980" w:type="dxa"/>
            <w:noWrap/>
            <w:hideMark/>
          </w:tcPr>
          <w:p w14:paraId="4DA2C517" w14:textId="77777777" w:rsidR="0040686F" w:rsidRPr="0040686F" w:rsidRDefault="0040686F" w:rsidP="0040686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Loss of predicted neoantigens</w:t>
            </w:r>
          </w:p>
        </w:tc>
      </w:tr>
      <w:tr w:rsidR="0040686F" w:rsidRPr="0040686F" w14:paraId="5DF86CF0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4F26CD" w14:textId="77777777" w:rsidR="0040686F" w:rsidRPr="0040686F" w:rsidRDefault="0040686F" w:rsidP="004068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P09-T1</w:t>
            </w:r>
          </w:p>
        </w:tc>
        <w:tc>
          <w:tcPr>
            <w:tcW w:w="1015" w:type="dxa"/>
            <w:noWrap/>
            <w:hideMark/>
          </w:tcPr>
          <w:p w14:paraId="78907716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1170" w:type="dxa"/>
            <w:noWrap/>
            <w:hideMark/>
          </w:tcPr>
          <w:p w14:paraId="5935877E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0.035675</w:t>
            </w:r>
          </w:p>
        </w:tc>
        <w:tc>
          <w:tcPr>
            <w:tcW w:w="990" w:type="dxa"/>
            <w:noWrap/>
            <w:hideMark/>
          </w:tcPr>
          <w:p w14:paraId="759BDA64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705</w:t>
            </w:r>
          </w:p>
        </w:tc>
        <w:tc>
          <w:tcPr>
            <w:tcW w:w="1260" w:type="dxa"/>
            <w:noWrap/>
            <w:hideMark/>
          </w:tcPr>
          <w:p w14:paraId="77162490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0.004099</w:t>
            </w:r>
          </w:p>
        </w:tc>
        <w:tc>
          <w:tcPr>
            <w:tcW w:w="1530" w:type="dxa"/>
            <w:noWrap/>
            <w:hideMark/>
          </w:tcPr>
          <w:p w14:paraId="27859A6E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6.119075</w:t>
            </w:r>
          </w:p>
        </w:tc>
        <w:tc>
          <w:tcPr>
            <w:tcW w:w="1980" w:type="dxa"/>
            <w:noWrap/>
            <w:hideMark/>
          </w:tcPr>
          <w:p w14:paraId="4B823A03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6 of 115</w:t>
            </w:r>
          </w:p>
        </w:tc>
      </w:tr>
      <w:tr w:rsidR="0040686F" w:rsidRPr="0040686F" w14:paraId="30B160D0" w14:textId="77777777" w:rsidTr="003B5B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7829F4" w14:textId="77777777" w:rsidR="0040686F" w:rsidRPr="0040686F" w:rsidRDefault="0040686F" w:rsidP="004068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P09-T2</w:t>
            </w:r>
          </w:p>
        </w:tc>
        <w:tc>
          <w:tcPr>
            <w:tcW w:w="1015" w:type="dxa"/>
            <w:noWrap/>
            <w:hideMark/>
          </w:tcPr>
          <w:p w14:paraId="02EE254D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1170" w:type="dxa"/>
            <w:noWrap/>
            <w:hideMark/>
          </w:tcPr>
          <w:p w14:paraId="05199C2B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0.089212</w:t>
            </w:r>
          </w:p>
        </w:tc>
        <w:tc>
          <w:tcPr>
            <w:tcW w:w="990" w:type="dxa"/>
            <w:noWrap/>
            <w:hideMark/>
          </w:tcPr>
          <w:p w14:paraId="4288E302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2805</w:t>
            </w:r>
          </w:p>
        </w:tc>
        <w:tc>
          <w:tcPr>
            <w:tcW w:w="1260" w:type="dxa"/>
            <w:noWrap/>
            <w:hideMark/>
          </w:tcPr>
          <w:p w14:paraId="187995D7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0.079597</w:t>
            </w:r>
          </w:p>
        </w:tc>
        <w:tc>
          <w:tcPr>
            <w:tcW w:w="1530" w:type="dxa"/>
            <w:noWrap/>
            <w:hideMark/>
          </w:tcPr>
          <w:p w14:paraId="0B7626A9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6.545087</w:t>
            </w:r>
          </w:p>
        </w:tc>
        <w:tc>
          <w:tcPr>
            <w:tcW w:w="1980" w:type="dxa"/>
            <w:noWrap/>
            <w:hideMark/>
          </w:tcPr>
          <w:p w14:paraId="4EB5D4CB" w14:textId="77777777" w:rsidR="0040686F" w:rsidRPr="0040686F" w:rsidRDefault="0040686F" w:rsidP="004068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 of 124</w:t>
            </w:r>
          </w:p>
        </w:tc>
      </w:tr>
      <w:tr w:rsidR="0040686F" w:rsidRPr="0040686F" w14:paraId="6691314A" w14:textId="77777777" w:rsidTr="003B5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DBE913" w14:textId="77777777" w:rsidR="0040686F" w:rsidRPr="0040686F" w:rsidRDefault="0040686F" w:rsidP="004068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P09-T3</w:t>
            </w:r>
          </w:p>
        </w:tc>
        <w:tc>
          <w:tcPr>
            <w:tcW w:w="1015" w:type="dxa"/>
            <w:noWrap/>
            <w:hideMark/>
          </w:tcPr>
          <w:p w14:paraId="52894BC1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782BFA62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0.038293</w:t>
            </w:r>
          </w:p>
        </w:tc>
        <w:tc>
          <w:tcPr>
            <w:tcW w:w="990" w:type="dxa"/>
            <w:noWrap/>
            <w:hideMark/>
          </w:tcPr>
          <w:p w14:paraId="4A31888C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1707</w:t>
            </w:r>
          </w:p>
        </w:tc>
        <w:tc>
          <w:tcPr>
            <w:tcW w:w="1260" w:type="dxa"/>
            <w:noWrap/>
            <w:hideMark/>
          </w:tcPr>
          <w:p w14:paraId="695041F1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0.021012</w:t>
            </w:r>
          </w:p>
        </w:tc>
        <w:tc>
          <w:tcPr>
            <w:tcW w:w="1530" w:type="dxa"/>
            <w:noWrap/>
            <w:hideMark/>
          </w:tcPr>
          <w:p w14:paraId="46FEA7A5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6.622543</w:t>
            </w:r>
          </w:p>
        </w:tc>
        <w:tc>
          <w:tcPr>
            <w:tcW w:w="1980" w:type="dxa"/>
            <w:noWrap/>
            <w:hideMark/>
          </w:tcPr>
          <w:p w14:paraId="327250C4" w14:textId="77777777" w:rsidR="0040686F" w:rsidRPr="0040686F" w:rsidRDefault="0040686F" w:rsidP="004068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0686F">
              <w:rPr>
                <w:rFonts w:ascii="Calibri" w:eastAsia="Times New Roman" w:hAnsi="Calibri" w:cs="Times New Roman"/>
                <w:color w:val="000000"/>
              </w:rPr>
              <w:t>0 of 129</w:t>
            </w:r>
          </w:p>
        </w:tc>
      </w:tr>
    </w:tbl>
    <w:p w14:paraId="35EACC9F" w14:textId="600EB03C" w:rsidR="00A1788D" w:rsidRDefault="00274363" w:rsidP="00274363">
      <w:pPr>
        <w:tabs>
          <w:tab w:val="left" w:pos="6525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B5B35">
        <w:rPr>
          <w:rFonts w:ascii="Arial" w:hAnsi="Arial" w:cs="Arial"/>
          <w:bCs/>
          <w:color w:val="000000" w:themeColor="text1"/>
          <w:sz w:val="24"/>
          <w:szCs w:val="24"/>
        </w:rPr>
        <w:t>*Tumor purity was assessed by Sequenza on whole exome sequencing data. TMB: total mutation burden.</w:t>
      </w:r>
    </w:p>
    <w:p w14:paraId="613993F0" w14:textId="77777777" w:rsidR="003B5B35" w:rsidRPr="003B5B35" w:rsidRDefault="003B5B35" w:rsidP="00274363">
      <w:pPr>
        <w:tabs>
          <w:tab w:val="left" w:pos="6525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F890EDD" w14:textId="77777777" w:rsidR="005F700F" w:rsidRDefault="005F700F" w:rsidP="005F700F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Supplementary Data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 1. Clinical characteristics and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key immunogenomic features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of</w:t>
      </w:r>
      <w:r w:rsidRPr="0023186E">
        <w:rPr>
          <w:rFonts w:ascii="Arial" w:hAnsi="Arial" w:cs="Arial"/>
          <w:b/>
          <w:color w:val="000000" w:themeColor="text1"/>
          <w:sz w:val="24"/>
          <w:szCs w:val="24"/>
        </w:rPr>
        <w:t xml:space="preserve"> SCLCs (n=67) and NSCLCs (n=68)</w:t>
      </w:r>
    </w:p>
    <w:p w14:paraId="480C2880" w14:textId="77777777" w:rsidR="005F700F" w:rsidRDefault="005F700F" w:rsidP="005F700F">
      <w:pPr>
        <w:tabs>
          <w:tab w:val="left" w:pos="652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Supplementary Data 2</w:t>
      </w:r>
      <w:r w:rsidRPr="00A02534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Somatic mutations in 50 SCLC tumor specimens</w:t>
      </w:r>
    </w:p>
    <w:p w14:paraId="4EB8AE28" w14:textId="77777777" w:rsidR="00A44631" w:rsidRDefault="00925162" w:rsidP="0023186E">
      <w:pPr>
        <w:spacing w:line="360" w:lineRule="auto"/>
      </w:pPr>
    </w:p>
    <w:sectPr w:rsidR="00A44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707EE" w16cex:dateUtc="2021-01-11T2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8072AD" w16cid:durableId="23A707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EFB93" w14:textId="77777777" w:rsidR="00925162" w:rsidRDefault="00925162" w:rsidP="00C85BB5">
      <w:pPr>
        <w:spacing w:after="0" w:line="240" w:lineRule="auto"/>
      </w:pPr>
      <w:r>
        <w:separator/>
      </w:r>
    </w:p>
  </w:endnote>
  <w:endnote w:type="continuationSeparator" w:id="0">
    <w:p w14:paraId="67F2E8FA" w14:textId="77777777" w:rsidR="00925162" w:rsidRDefault="00925162" w:rsidP="00C8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D1C85" w14:textId="77777777" w:rsidR="00925162" w:rsidRDefault="00925162" w:rsidP="00C85BB5">
      <w:pPr>
        <w:spacing w:after="0" w:line="240" w:lineRule="auto"/>
      </w:pPr>
      <w:r>
        <w:separator/>
      </w:r>
    </w:p>
  </w:footnote>
  <w:footnote w:type="continuationSeparator" w:id="0">
    <w:p w14:paraId="34F6B8A8" w14:textId="77777777" w:rsidR="00925162" w:rsidRDefault="00925162" w:rsidP="00C85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F48C1"/>
    <w:multiLevelType w:val="hybridMultilevel"/>
    <w:tmpl w:val="B69E3E72"/>
    <w:lvl w:ilvl="0" w:tplc="2D8E1B4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1E"/>
    <w:rsid w:val="000B370D"/>
    <w:rsid w:val="000E0D5D"/>
    <w:rsid w:val="00157AC2"/>
    <w:rsid w:val="0019567B"/>
    <w:rsid w:val="001A5109"/>
    <w:rsid w:val="001A6746"/>
    <w:rsid w:val="001E279D"/>
    <w:rsid w:val="0023186E"/>
    <w:rsid w:val="00264041"/>
    <w:rsid w:val="00274363"/>
    <w:rsid w:val="002B7758"/>
    <w:rsid w:val="003B5B35"/>
    <w:rsid w:val="00404264"/>
    <w:rsid w:val="0040686F"/>
    <w:rsid w:val="0040711E"/>
    <w:rsid w:val="004C7767"/>
    <w:rsid w:val="004D2DB0"/>
    <w:rsid w:val="005731AB"/>
    <w:rsid w:val="005926B8"/>
    <w:rsid w:val="005D3B9A"/>
    <w:rsid w:val="005F700F"/>
    <w:rsid w:val="00625703"/>
    <w:rsid w:val="006769ED"/>
    <w:rsid w:val="006D500B"/>
    <w:rsid w:val="00700C4B"/>
    <w:rsid w:val="00716F36"/>
    <w:rsid w:val="007C4FC5"/>
    <w:rsid w:val="007D4334"/>
    <w:rsid w:val="00852807"/>
    <w:rsid w:val="00883BE7"/>
    <w:rsid w:val="00897391"/>
    <w:rsid w:val="008C6178"/>
    <w:rsid w:val="00925162"/>
    <w:rsid w:val="0093426B"/>
    <w:rsid w:val="009412CB"/>
    <w:rsid w:val="0096346C"/>
    <w:rsid w:val="009A4589"/>
    <w:rsid w:val="009D5E3F"/>
    <w:rsid w:val="00A1788D"/>
    <w:rsid w:val="00A70B90"/>
    <w:rsid w:val="00AA6DBF"/>
    <w:rsid w:val="00B35655"/>
    <w:rsid w:val="00B40DFD"/>
    <w:rsid w:val="00BA0C09"/>
    <w:rsid w:val="00BF17C8"/>
    <w:rsid w:val="00BF6BAE"/>
    <w:rsid w:val="00C40E16"/>
    <w:rsid w:val="00C67226"/>
    <w:rsid w:val="00C85BB5"/>
    <w:rsid w:val="00CB58D5"/>
    <w:rsid w:val="00D03BCC"/>
    <w:rsid w:val="00D45807"/>
    <w:rsid w:val="00D526CD"/>
    <w:rsid w:val="00D77309"/>
    <w:rsid w:val="00E745F3"/>
    <w:rsid w:val="00E77BAA"/>
    <w:rsid w:val="00EB4846"/>
    <w:rsid w:val="00F109E2"/>
    <w:rsid w:val="00FC0F0B"/>
    <w:rsid w:val="00FC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D1A30"/>
  <w15:chartTrackingRefBased/>
  <w15:docId w15:val="{82007AC6-B581-46B3-B624-02AE2FA2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D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0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0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C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C6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5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5BB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5B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5BB5"/>
    <w:rPr>
      <w:sz w:val="18"/>
      <w:szCs w:val="18"/>
    </w:rPr>
  </w:style>
  <w:style w:type="table" w:styleId="ListTable2-Accent3">
    <w:name w:val="List Table 2 Accent 3"/>
    <w:basedOn w:val="TableNormal"/>
    <w:uiPriority w:val="47"/>
    <w:rsid w:val="0027436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2743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16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Chen,Runzhe</dc:creator>
  <cp:keywords/>
  <dc:description/>
  <cp:lastModifiedBy>Chen,Runzhe</cp:lastModifiedBy>
  <cp:revision>41</cp:revision>
  <dcterms:created xsi:type="dcterms:W3CDTF">2020-12-21T20:00:00Z</dcterms:created>
  <dcterms:modified xsi:type="dcterms:W3CDTF">2021-01-13T23:31:00Z</dcterms:modified>
</cp:coreProperties>
</file>