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22F" w:rsidRPr="00052A85" w:rsidRDefault="0041222F" w:rsidP="0041222F">
      <w:pPr>
        <w:pStyle w:val="Heading1"/>
        <w:numPr>
          <w:ilvl w:val="0"/>
          <w:numId w:val="0"/>
        </w:numPr>
        <w:spacing w:line="480" w:lineRule="auto"/>
        <w:ind w:left="432" w:hanging="432"/>
        <w:rPr>
          <w:lang w:val="en-US"/>
        </w:rPr>
      </w:pPr>
      <w:r w:rsidRPr="00052A85">
        <w:rPr>
          <w:lang w:val="en-US"/>
        </w:rPr>
        <w:t>Appendix</w:t>
      </w:r>
    </w:p>
    <w:p w:rsidR="0041222F" w:rsidRPr="0077701E" w:rsidRDefault="0041222F" w:rsidP="0041222F">
      <w:pPr>
        <w:pStyle w:val="Caption"/>
        <w:keepNext/>
        <w:spacing w:line="480" w:lineRule="auto"/>
        <w:jc w:val="center"/>
        <w:rPr>
          <w:i w:val="0"/>
          <w:iCs w:val="0"/>
          <w:color w:val="000000" w:themeColor="text1"/>
          <w:sz w:val="20"/>
          <w:szCs w:val="20"/>
          <w:lang w:val="en-US"/>
        </w:rPr>
      </w:pPr>
      <w:r w:rsidRPr="0077701E">
        <w:rPr>
          <w:i w:val="0"/>
          <w:iCs w:val="0"/>
          <w:color w:val="000000" w:themeColor="text1"/>
          <w:sz w:val="20"/>
          <w:szCs w:val="20"/>
          <w:lang w:val="en-US"/>
        </w:rPr>
        <w:t xml:space="preserve">Table </w:t>
      </w:r>
      <w:r w:rsidRPr="0077701E">
        <w:rPr>
          <w:i w:val="0"/>
          <w:iCs w:val="0"/>
          <w:color w:val="000000" w:themeColor="text1"/>
          <w:sz w:val="20"/>
          <w:szCs w:val="20"/>
          <w:lang w:val="en-US"/>
        </w:rPr>
        <w:fldChar w:fldCharType="begin"/>
      </w:r>
      <w:r w:rsidRPr="0077701E">
        <w:rPr>
          <w:i w:val="0"/>
          <w:iCs w:val="0"/>
          <w:color w:val="000000" w:themeColor="text1"/>
          <w:sz w:val="20"/>
          <w:szCs w:val="20"/>
          <w:lang w:val="en-US"/>
        </w:rPr>
        <w:instrText xml:space="preserve"> SEQ Table \* ARABIC </w:instrText>
      </w:r>
      <w:r w:rsidRPr="0077701E">
        <w:rPr>
          <w:i w:val="0"/>
          <w:iCs w:val="0"/>
          <w:color w:val="000000" w:themeColor="text1"/>
          <w:sz w:val="20"/>
          <w:szCs w:val="20"/>
          <w:lang w:val="en-US"/>
        </w:rPr>
        <w:fldChar w:fldCharType="separate"/>
      </w:r>
      <w:r w:rsidRPr="0077701E">
        <w:rPr>
          <w:i w:val="0"/>
          <w:iCs w:val="0"/>
          <w:noProof/>
          <w:color w:val="000000" w:themeColor="text1"/>
          <w:sz w:val="20"/>
          <w:szCs w:val="20"/>
          <w:lang w:val="en-US"/>
        </w:rPr>
        <w:t>8</w:t>
      </w:r>
      <w:r w:rsidRPr="0077701E">
        <w:rPr>
          <w:i w:val="0"/>
          <w:iCs w:val="0"/>
          <w:color w:val="000000" w:themeColor="text1"/>
          <w:sz w:val="20"/>
          <w:szCs w:val="20"/>
          <w:lang w:val="en-US"/>
        </w:rPr>
        <w:fldChar w:fldCharType="end"/>
      </w:r>
      <w:r w:rsidRPr="0077701E">
        <w:rPr>
          <w:i w:val="0"/>
          <w:iCs w:val="0"/>
          <w:color w:val="000000" w:themeColor="text1"/>
          <w:sz w:val="20"/>
          <w:szCs w:val="20"/>
          <w:lang w:val="en-US"/>
        </w:rPr>
        <w:t>: Data by Country/Region</w:t>
      </w:r>
    </w:p>
    <w:tbl>
      <w:tblPr>
        <w:tblStyle w:val="Tablaconcuadrcula1"/>
        <w:tblW w:w="9792" w:type="dxa"/>
        <w:jc w:val="center"/>
        <w:tblLook w:val="04A0" w:firstRow="1" w:lastRow="0" w:firstColumn="1" w:lastColumn="0" w:noHBand="0" w:noVBand="1"/>
      </w:tblPr>
      <w:tblGrid>
        <w:gridCol w:w="1406"/>
        <w:gridCol w:w="647"/>
        <w:gridCol w:w="1061"/>
        <w:gridCol w:w="850"/>
        <w:gridCol w:w="851"/>
        <w:gridCol w:w="1417"/>
        <w:gridCol w:w="723"/>
        <w:gridCol w:w="978"/>
        <w:gridCol w:w="1035"/>
        <w:gridCol w:w="824"/>
      </w:tblGrid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b/>
                <w:bCs/>
                <w:sz w:val="16"/>
                <w:szCs w:val="16"/>
                <w:lang w:val="en-US" w:eastAsia="es-ES"/>
              </w:rPr>
            </w:pPr>
            <w:r w:rsidRPr="00A51049">
              <w:rPr>
                <w:b/>
                <w:bCs/>
                <w:sz w:val="16"/>
                <w:szCs w:val="16"/>
                <w:lang w:val="en-US" w:eastAsia="es-ES"/>
              </w:rPr>
              <w:t>Country/Region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US" w:eastAsia="es-ES"/>
              </w:rPr>
            </w:pPr>
            <w:r w:rsidRPr="00A51049">
              <w:rPr>
                <w:b/>
                <w:bCs/>
                <w:sz w:val="16"/>
                <w:szCs w:val="16"/>
                <w:lang w:val="en-US" w:eastAsia="es-ES"/>
              </w:rPr>
              <w:t>Week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US" w:eastAsia="es-ES"/>
              </w:rPr>
            </w:pPr>
            <w:r w:rsidRPr="00A51049">
              <w:rPr>
                <w:b/>
                <w:bCs/>
                <w:sz w:val="16"/>
                <w:szCs w:val="16"/>
                <w:lang w:val="en-US" w:eastAsia="es-ES"/>
              </w:rPr>
              <w:t>CH population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US" w:eastAsia="es-ES"/>
              </w:rPr>
            </w:pPr>
            <w:r w:rsidRPr="00A51049">
              <w:rPr>
                <w:b/>
                <w:bCs/>
                <w:sz w:val="16"/>
                <w:szCs w:val="16"/>
                <w:lang w:val="en-US" w:eastAsia="es-ES"/>
              </w:rPr>
              <w:t>Measure approach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US" w:eastAsia="es-ES"/>
              </w:rPr>
            </w:pPr>
            <w:r w:rsidRPr="00A51049">
              <w:rPr>
                <w:b/>
                <w:bCs/>
                <w:sz w:val="16"/>
                <w:szCs w:val="16"/>
                <w:lang w:val="en-US" w:eastAsia="es-ES"/>
              </w:rPr>
              <w:t>CH mortality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US" w:eastAsia="es-ES"/>
              </w:rPr>
            </w:pPr>
            <w:r w:rsidRPr="00A51049">
              <w:rPr>
                <w:b/>
                <w:bCs/>
                <w:sz w:val="16"/>
                <w:szCs w:val="16"/>
                <w:lang w:val="en-US" w:eastAsia="es-ES"/>
              </w:rPr>
              <w:t>Non-CH mortality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US" w:eastAsia="es-ES"/>
              </w:rPr>
            </w:pPr>
            <w:r w:rsidRPr="00A51049">
              <w:rPr>
                <w:b/>
                <w:bCs/>
                <w:sz w:val="16"/>
                <w:szCs w:val="16"/>
                <w:lang w:val="en-US" w:eastAsia="es-ES"/>
              </w:rPr>
              <w:t xml:space="preserve">Total </w:t>
            </w:r>
            <w:r>
              <w:rPr>
                <w:b/>
                <w:bCs/>
                <w:sz w:val="16"/>
                <w:szCs w:val="16"/>
                <w:lang w:val="en-US" w:eastAsia="es-ES"/>
              </w:rPr>
              <w:t>COVID</w:t>
            </w:r>
            <w:r w:rsidRPr="00A51049">
              <w:rPr>
                <w:b/>
                <w:bCs/>
                <w:sz w:val="16"/>
                <w:szCs w:val="16"/>
                <w:lang w:val="en-US" w:eastAsia="es-ES"/>
              </w:rPr>
              <w:t xml:space="preserve"> deaths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US" w:eastAsia="es-ES"/>
              </w:rPr>
            </w:pPr>
            <w:r w:rsidRPr="00A51049">
              <w:rPr>
                <w:b/>
                <w:bCs/>
                <w:sz w:val="16"/>
                <w:szCs w:val="16"/>
                <w:lang w:val="en-US" w:eastAsia="es-ES"/>
              </w:rPr>
              <w:t>CH-</w:t>
            </w:r>
            <w:r>
              <w:rPr>
                <w:b/>
                <w:bCs/>
                <w:sz w:val="16"/>
                <w:szCs w:val="16"/>
                <w:lang w:val="en-US" w:eastAsia="es-ES"/>
              </w:rPr>
              <w:t>COVID</w:t>
            </w:r>
            <w:r w:rsidRPr="00A51049">
              <w:rPr>
                <w:b/>
                <w:bCs/>
                <w:sz w:val="16"/>
                <w:szCs w:val="16"/>
                <w:lang w:val="en-US" w:eastAsia="es-ES"/>
              </w:rPr>
              <w:t xml:space="preserve"> deaths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US" w:eastAsia="es-ES"/>
              </w:rPr>
            </w:pPr>
            <w:r w:rsidRPr="00A51049">
              <w:rPr>
                <w:b/>
                <w:bCs/>
                <w:sz w:val="16"/>
                <w:szCs w:val="16"/>
                <w:lang w:val="en-US" w:eastAsia="es-ES"/>
              </w:rPr>
              <w:t>Population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US" w:eastAsia="es-ES"/>
              </w:rPr>
            </w:pPr>
            <w:r w:rsidRPr="00A51049">
              <w:rPr>
                <w:b/>
                <w:bCs/>
                <w:sz w:val="16"/>
                <w:szCs w:val="16"/>
                <w:lang w:val="en-US" w:eastAsia="es-ES"/>
              </w:rPr>
              <w:t>GDPPC (PPP)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Alabama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20546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0.059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0.0003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2788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1209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4,903,185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$37,261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Alaska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672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0.004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0.0001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67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731,545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$63,971</w:t>
            </w:r>
          </w:p>
        </w:tc>
      </w:tr>
      <w:tr w:rsidR="0041222F" w:rsidRPr="00A51049" w:rsidTr="00FA4121">
        <w:trPr>
          <w:trHeight w:val="270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Aragon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44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22000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0.044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0.0005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1613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971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1,307,984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$33,351</w:t>
            </w:r>
          </w:p>
        </w:tc>
      </w:tr>
      <w:tr w:rsidR="0041222F" w:rsidRPr="00A51049" w:rsidTr="00FA4121">
        <w:trPr>
          <w:trHeight w:val="28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Arizona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10179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0.062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0.0007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5827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634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7,278,717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$38,590</w:t>
            </w:r>
          </w:p>
        </w:tc>
      </w:tr>
      <w:tr w:rsidR="0041222F" w:rsidRPr="00A51049" w:rsidTr="00FA4121">
        <w:trPr>
          <w:trHeight w:val="270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Arkansas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15880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0.047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0.0003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1704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743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3,017,804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$36,368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Australia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41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213397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0.003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0.0000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898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677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25,499,884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$53,320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Austria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38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69730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0.004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0.0001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771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276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9,006,398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$50,078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Belgium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41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125000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0.050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0.0003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10175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6249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11,589,623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$54,545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California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86453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0.051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0.0003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16943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4452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39,512,223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$58,619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Canada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40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425755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0.017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0.0001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9319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7411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37,742,154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$51,342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Castilla y Leon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44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44300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0.066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0.0003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3528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2930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2,407,650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$28,470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Cataluña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44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64093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0.066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0.0002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5968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4214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7,675,217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$36,047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Chile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19114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0.066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0.0009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18690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1258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19,458,310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$25,155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Colorado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14527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0.039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0.0003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2176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572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5,758,736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$52,795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Connecticut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18127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0.105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0.0007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4542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1902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3,565,287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$64,511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DC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1990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0.047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0.0008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641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93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705,749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$174,140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Delaware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3469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0.074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0.0004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666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257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973,764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$63,664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Denmark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41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40000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0.006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0.0001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663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232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5,792,202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$59,830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England &amp; Wales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38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449174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0.050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0.0005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49982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22287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59,439,840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$36,138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Florida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64380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0.051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0.0006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15967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3267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21,477,737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$39,543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France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41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605061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0.025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0.0003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32365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14955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65,273,511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$49,435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Georgia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28779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0.066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0.0005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7638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1893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10,617,423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$44,723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Germany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41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818000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0.005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0.0001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9615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3752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83,783,942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$56,052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Guam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0.0004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63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165,768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$35,600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lastRenderedPageBreak/>
              <w:t>Hawaii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3503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0.015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0.0001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187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51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1,415,872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$51,277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Hong Kong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39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74500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0.0000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105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30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7,496,981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$62,375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Hungary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35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55170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0.003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0.0000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612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142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9,660,351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$33,979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Idaho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3869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0.027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0.0002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528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106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1,787,065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$35,466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 xml:space="preserve">Illinois 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57976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0.058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0.0005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9474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3385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12,671,821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$54,091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Indiana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35053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0.003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0.0001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528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106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6,732,219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$45,317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Iowa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21348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0.036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0.0002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1528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764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3,155,070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$50,315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Israel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41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70000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0.010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0.0001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1824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704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8,655,535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$42,194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Jordan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39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850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0.0000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9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10,203,134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$10,316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Kansas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16072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0.023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0.0002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859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364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2,913,314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$46,982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Kentucky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21209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0.036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0.0001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1317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772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4,467,673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$38,985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Louisiana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22085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0.082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0.0009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5750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1811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4,648,794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$43,917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Madrid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44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42000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0.144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0.0006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10327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6038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6,747,425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$41,514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Maine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5462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0.010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0.0001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146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55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1,344,212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$38,921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Maryland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19973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0.065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0.0005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4041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1289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6,045,680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$55,404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Massachusetts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30472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0.121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0.0009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9725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3701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6,892,503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$65,545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Michigan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31583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0.050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0.0006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7317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1592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9,986,857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$43,372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Minnesota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21504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0.045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0.0002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2292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971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5,639,632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$53,704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Mississippi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14346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0.070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0.0007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3171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1009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2,976,149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$31,881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Missouri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35366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0.037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0.0002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2582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1298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6,137,428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$43,317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Montana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3703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0.011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0.0002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241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40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1,068,778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$39,356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Nebraska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10243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0.026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0.0001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548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264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1,934,408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$53,114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Nevada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5123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0.038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0.0005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1757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195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3,080,156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$43,820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New Hampshire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5821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0.047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0.0001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467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271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1,359,711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$51,794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New Jersey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34209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0.121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0.0014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16211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4137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8,882,190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$57,084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New Mexico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4886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0.044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0.0003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934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215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2,096,829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$41,348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New York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88074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0.053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0.0015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33089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4637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19,453,561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$64,579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North Carolina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33187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0.047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0.0002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3934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1559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10,488,084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$44,325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North Dakota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4921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0.035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0.0003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408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170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762,062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$62,837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Northern Ireland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39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14935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0.029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0.0002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900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437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1,893,667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$27,893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Ohio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64650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0.035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0.0002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5067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2245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11,689,100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$47,567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Oklahoma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16821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0.025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0.0002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1161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418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3,956,971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$44,623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lastRenderedPageBreak/>
              <w:t>Oregon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6692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0.016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0.0001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620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110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4,217,737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$50,582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Pennsylvania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65077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0.064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0.0003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8492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4180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12,801,989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$50,997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Portugal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18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89666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0.005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0.0001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1125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450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10,196,709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$36,471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Puerto Rico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96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0.0002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769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3,193,694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$31,651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Rhode Island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6352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0.096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0.0005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1152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612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1,059,361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$47,639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Scotland (UK)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37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35989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0.055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0.0004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4236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1996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5,463,300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$38,603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Singapore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41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5112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0.001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0.0000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27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5,639,000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$101,376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Slovenia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40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18500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0.007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0.0000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149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121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2,078,938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$40,657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South Carolina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15711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0.067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0.0005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3650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1050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5,148,714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$37,063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South Dakota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5343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0.023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0.0002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323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121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884,659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$48,076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South Korea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36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156862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0.0000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336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27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51,269,185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$43,029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Spain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41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322000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0.064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0.0003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32929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20649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46,754,778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$42,214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Sweden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24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82217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0.033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0.0003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5863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2714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10,099,265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$55,815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Tennessee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24895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0.030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0.0003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2909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741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6,829,174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$43,267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Texas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81770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0.050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0.0004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17014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4096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28,995,881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$53,795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Utah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5076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0.032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0.0001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543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163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3,205,958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$44,636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Vermont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2220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0.015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0.0000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58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33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623,989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$43,946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Virginia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24596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0.043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0.0003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3457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1057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8,535,519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$51,736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Washington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13542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0.038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0.0002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2239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520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7,614,893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$56,831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West Virginia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8856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0.018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0.0001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399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161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1,792,147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$36,315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Wisconsin</w:t>
            </w:r>
          </w:p>
        </w:tc>
        <w:tc>
          <w:tcPr>
            <w:tcW w:w="64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19893</w:t>
            </w:r>
          </w:p>
        </w:tc>
        <w:tc>
          <w:tcPr>
            <w:tcW w:w="8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0.016</w:t>
            </w:r>
          </w:p>
        </w:tc>
        <w:tc>
          <w:tcPr>
            <w:tcW w:w="1417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0.0002</w:t>
            </w:r>
          </w:p>
        </w:tc>
        <w:tc>
          <w:tcPr>
            <w:tcW w:w="72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1588</w:t>
            </w:r>
          </w:p>
        </w:tc>
        <w:tc>
          <w:tcPr>
            <w:tcW w:w="978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325</w:t>
            </w:r>
          </w:p>
        </w:tc>
        <w:tc>
          <w:tcPr>
            <w:tcW w:w="10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5,822,434</w:t>
            </w:r>
          </w:p>
        </w:tc>
        <w:tc>
          <w:tcPr>
            <w:tcW w:w="824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$47,266</w:t>
            </w:r>
          </w:p>
        </w:tc>
      </w:tr>
      <w:tr w:rsidR="0041222F" w:rsidRPr="00A51049" w:rsidTr="00FA4121">
        <w:trPr>
          <w:trHeight w:val="255"/>
          <w:jc w:val="center"/>
        </w:trPr>
        <w:tc>
          <w:tcPr>
            <w:tcW w:w="1406" w:type="dxa"/>
            <w:tcBorders>
              <w:bottom w:val="single" w:sz="4" w:space="0" w:color="auto"/>
            </w:tcBorders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Wyoming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2203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0.0001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57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10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578,759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$58,821</w:t>
            </w:r>
          </w:p>
        </w:tc>
      </w:tr>
    </w:tbl>
    <w:tbl>
      <w:tblPr>
        <w:tblW w:w="9776" w:type="dxa"/>
        <w:tblLook w:val="04A0" w:firstRow="1" w:lastRow="0" w:firstColumn="1" w:lastColumn="0" w:noHBand="0" w:noVBand="1"/>
      </w:tblPr>
      <w:tblGrid>
        <w:gridCol w:w="9776"/>
      </w:tblGrid>
      <w:tr w:rsidR="0041222F" w:rsidRPr="006B4ECC" w:rsidTr="00FA4121">
        <w:trPr>
          <w:trHeight w:val="255"/>
        </w:trPr>
        <w:tc>
          <w:tcPr>
            <w:tcW w:w="9776" w:type="dxa"/>
            <w:tcBorders>
              <w:left w:val="nil"/>
              <w:bottom w:val="nil"/>
              <w:right w:val="nil"/>
            </w:tcBorders>
            <w:noWrap/>
          </w:tcPr>
          <w:p w:rsidR="0041222F" w:rsidRPr="00A51049" w:rsidRDefault="0041222F" w:rsidP="00FA4121">
            <w:pPr>
              <w:spacing w:after="0"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b/>
                <w:bCs/>
                <w:sz w:val="16"/>
                <w:szCs w:val="16"/>
                <w:lang w:val="en-US" w:eastAsia="es-ES"/>
              </w:rPr>
              <w:t xml:space="preserve">Notes: </w:t>
            </w:r>
            <w:r w:rsidRPr="00A51049">
              <w:rPr>
                <w:sz w:val="16"/>
                <w:szCs w:val="16"/>
                <w:lang w:val="en-US" w:eastAsia="es-ES"/>
              </w:rPr>
              <w:t xml:space="preserve">“Week” indicates the Epidemiological week of each country/region (weeks since the first confirmed case of </w:t>
            </w:r>
            <w:r>
              <w:rPr>
                <w:sz w:val="16"/>
                <w:szCs w:val="16"/>
                <w:lang w:val="en-US" w:eastAsia="es-ES"/>
              </w:rPr>
              <w:t>COVID</w:t>
            </w:r>
            <w:r w:rsidRPr="00A51049">
              <w:rPr>
                <w:sz w:val="16"/>
                <w:szCs w:val="16"/>
                <w:lang w:val="en-US" w:eastAsia="es-ES"/>
              </w:rPr>
              <w:t xml:space="preserve">-19). “CH” is an acronym for Care Home. Measurement approach is equal to 1 if confirmed and probable </w:t>
            </w:r>
            <w:r>
              <w:rPr>
                <w:sz w:val="16"/>
                <w:szCs w:val="16"/>
                <w:lang w:val="en-US" w:eastAsia="es-ES"/>
              </w:rPr>
              <w:t>COVID</w:t>
            </w:r>
            <w:r w:rsidRPr="00A51049">
              <w:rPr>
                <w:sz w:val="16"/>
                <w:szCs w:val="16"/>
                <w:lang w:val="en-US" w:eastAsia="es-ES"/>
              </w:rPr>
              <w:t xml:space="preserve">-19 deaths are included and 0 in any other case. “GDPPC (PPP)” displays the Gross Domestic Product Per Capita, adjusted for Purchasing Power Parity.  </w:t>
            </w:r>
          </w:p>
        </w:tc>
      </w:tr>
    </w:tbl>
    <w:p w:rsidR="0041222F" w:rsidRPr="00A51049" w:rsidRDefault="0041222F" w:rsidP="0041222F">
      <w:pPr>
        <w:spacing w:line="480" w:lineRule="auto"/>
        <w:rPr>
          <w:lang w:val="en-US" w:eastAsia="es-ES"/>
        </w:rPr>
      </w:pPr>
    </w:p>
    <w:p w:rsidR="0041222F" w:rsidRPr="00A51049" w:rsidRDefault="0041222F" w:rsidP="0041222F">
      <w:pPr>
        <w:spacing w:line="480" w:lineRule="auto"/>
        <w:rPr>
          <w:lang w:val="en-US" w:eastAsia="es-ES"/>
        </w:rPr>
      </w:pPr>
    </w:p>
    <w:p w:rsidR="0041222F" w:rsidRPr="00A51049" w:rsidRDefault="0041222F" w:rsidP="0041222F">
      <w:pPr>
        <w:spacing w:line="480" w:lineRule="auto"/>
        <w:rPr>
          <w:lang w:val="en-US" w:eastAsia="es-ES"/>
        </w:rPr>
      </w:pPr>
    </w:p>
    <w:p w:rsidR="0041222F" w:rsidRPr="00A51049" w:rsidRDefault="0041222F" w:rsidP="0041222F">
      <w:pPr>
        <w:spacing w:line="480" w:lineRule="auto"/>
        <w:rPr>
          <w:lang w:val="en-US" w:eastAsia="es-ES"/>
        </w:rPr>
      </w:pPr>
    </w:p>
    <w:p w:rsidR="0041222F" w:rsidRPr="00A51049" w:rsidRDefault="0041222F" w:rsidP="0041222F">
      <w:pPr>
        <w:spacing w:line="480" w:lineRule="auto"/>
        <w:rPr>
          <w:lang w:val="en-US" w:eastAsia="es-ES"/>
        </w:rPr>
      </w:pPr>
    </w:p>
    <w:p w:rsidR="0041222F" w:rsidRPr="00A51049" w:rsidRDefault="0041222F" w:rsidP="0041222F">
      <w:pPr>
        <w:spacing w:line="480" w:lineRule="auto"/>
        <w:rPr>
          <w:lang w:val="en-US" w:eastAsia="es-ES"/>
        </w:rPr>
      </w:pPr>
    </w:p>
    <w:p w:rsidR="0041222F" w:rsidRPr="0077701E" w:rsidRDefault="0041222F" w:rsidP="0041222F">
      <w:pPr>
        <w:pStyle w:val="Caption"/>
        <w:keepNext/>
        <w:spacing w:line="480" w:lineRule="auto"/>
        <w:jc w:val="center"/>
        <w:rPr>
          <w:i w:val="0"/>
          <w:iCs w:val="0"/>
          <w:color w:val="000000" w:themeColor="text1"/>
          <w:sz w:val="20"/>
          <w:szCs w:val="20"/>
          <w:lang w:val="en-US"/>
        </w:rPr>
      </w:pPr>
      <w:r w:rsidRPr="0077701E">
        <w:rPr>
          <w:i w:val="0"/>
          <w:iCs w:val="0"/>
          <w:color w:val="000000" w:themeColor="text1"/>
          <w:sz w:val="20"/>
          <w:szCs w:val="20"/>
          <w:lang w:val="en-US"/>
        </w:rPr>
        <w:t xml:space="preserve">Table </w:t>
      </w:r>
      <w:r w:rsidRPr="0077701E">
        <w:rPr>
          <w:i w:val="0"/>
          <w:iCs w:val="0"/>
          <w:color w:val="000000" w:themeColor="text1"/>
          <w:sz w:val="20"/>
          <w:szCs w:val="20"/>
          <w:lang w:val="en-US"/>
        </w:rPr>
        <w:fldChar w:fldCharType="begin"/>
      </w:r>
      <w:r w:rsidRPr="0077701E">
        <w:rPr>
          <w:i w:val="0"/>
          <w:iCs w:val="0"/>
          <w:color w:val="000000" w:themeColor="text1"/>
          <w:sz w:val="20"/>
          <w:szCs w:val="20"/>
          <w:lang w:val="en-US"/>
        </w:rPr>
        <w:instrText xml:space="preserve"> SEQ Table \* ARABIC </w:instrText>
      </w:r>
      <w:r w:rsidRPr="0077701E">
        <w:rPr>
          <w:i w:val="0"/>
          <w:iCs w:val="0"/>
          <w:color w:val="000000" w:themeColor="text1"/>
          <w:sz w:val="20"/>
          <w:szCs w:val="20"/>
          <w:lang w:val="en-US"/>
        </w:rPr>
        <w:fldChar w:fldCharType="separate"/>
      </w:r>
      <w:r w:rsidRPr="0077701E">
        <w:rPr>
          <w:i w:val="0"/>
          <w:iCs w:val="0"/>
          <w:noProof/>
          <w:color w:val="000000" w:themeColor="text1"/>
          <w:sz w:val="20"/>
          <w:szCs w:val="20"/>
          <w:lang w:val="en-US"/>
        </w:rPr>
        <w:t>9</w:t>
      </w:r>
      <w:r w:rsidRPr="0077701E">
        <w:rPr>
          <w:i w:val="0"/>
          <w:iCs w:val="0"/>
          <w:color w:val="000000" w:themeColor="text1"/>
          <w:sz w:val="20"/>
          <w:szCs w:val="20"/>
          <w:lang w:val="en-US"/>
        </w:rPr>
        <w:fldChar w:fldCharType="end"/>
      </w:r>
      <w:r w:rsidRPr="0077701E">
        <w:rPr>
          <w:i w:val="0"/>
          <w:iCs w:val="0"/>
          <w:color w:val="000000" w:themeColor="text1"/>
          <w:sz w:val="20"/>
          <w:szCs w:val="20"/>
          <w:lang w:val="en-US"/>
        </w:rPr>
        <w:t>: Quadratic and Exponential model predictions by Country/Region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433"/>
        <w:gridCol w:w="1601"/>
        <w:gridCol w:w="1150"/>
        <w:gridCol w:w="1129"/>
        <w:gridCol w:w="1210"/>
        <w:gridCol w:w="1209"/>
        <w:gridCol w:w="1335"/>
      </w:tblGrid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b/>
                <w:bCs/>
                <w:sz w:val="16"/>
                <w:szCs w:val="16"/>
                <w:lang w:val="en-US" w:eastAsia="es-ES"/>
              </w:rPr>
            </w:pPr>
            <w:r w:rsidRPr="00A51049">
              <w:rPr>
                <w:b/>
                <w:bCs/>
                <w:sz w:val="16"/>
                <w:szCs w:val="16"/>
                <w:lang w:val="en-US" w:eastAsia="es-ES"/>
              </w:rPr>
              <w:t>Country/Region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US" w:eastAsia="es-ES"/>
              </w:rPr>
            </w:pPr>
            <w:r w:rsidRPr="00A51049">
              <w:rPr>
                <w:b/>
                <w:bCs/>
                <w:sz w:val="16"/>
                <w:szCs w:val="16"/>
                <w:lang w:val="en-US" w:eastAsia="es-ES"/>
              </w:rPr>
              <w:t>Quadratic prediction:</w:t>
            </w:r>
          </w:p>
          <w:p w:rsidR="0041222F" w:rsidRPr="00A51049" w:rsidRDefault="0041222F" w:rsidP="00FA4121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US" w:eastAsia="es-ES"/>
              </w:rPr>
            </w:pPr>
            <w:r w:rsidRPr="00A51049">
              <w:rPr>
                <w:b/>
                <w:bCs/>
                <w:sz w:val="16"/>
                <w:szCs w:val="16"/>
                <w:lang w:val="en-US" w:eastAsia="es-ES"/>
              </w:rPr>
              <w:t>CH mortality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US" w:eastAsia="es-ES"/>
              </w:rPr>
            </w:pPr>
            <w:r w:rsidRPr="00A51049">
              <w:rPr>
                <w:b/>
                <w:bCs/>
                <w:sz w:val="16"/>
                <w:szCs w:val="16"/>
                <w:lang w:val="en-US" w:eastAsia="es-ES"/>
              </w:rPr>
              <w:t>Quadratic prediction:</w:t>
            </w:r>
          </w:p>
          <w:p w:rsidR="0041222F" w:rsidRPr="00A51049" w:rsidRDefault="0041222F" w:rsidP="00FA4121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US" w:eastAsia="es-ES"/>
              </w:rPr>
            </w:pPr>
            <w:r w:rsidRPr="00A51049">
              <w:rPr>
                <w:b/>
                <w:bCs/>
                <w:sz w:val="16"/>
                <w:szCs w:val="16"/>
                <w:lang w:val="en-US" w:eastAsia="es-ES"/>
              </w:rPr>
              <w:t>Saved lives</w:t>
            </w:r>
          </w:p>
          <w:p w:rsidR="0041222F" w:rsidRPr="00A51049" w:rsidRDefault="0041222F" w:rsidP="00FA4121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US" w:eastAsia="es-ES"/>
              </w:rPr>
            </w:pP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US" w:eastAsia="es-ES"/>
              </w:rPr>
            </w:pPr>
            <w:r w:rsidRPr="00A51049">
              <w:rPr>
                <w:b/>
                <w:bCs/>
                <w:sz w:val="16"/>
                <w:szCs w:val="16"/>
                <w:lang w:val="en-US" w:eastAsia="es-ES"/>
              </w:rPr>
              <w:t>Quadratic prediction:</w:t>
            </w:r>
          </w:p>
          <w:p w:rsidR="0041222F" w:rsidRPr="00A51049" w:rsidRDefault="0041222F" w:rsidP="00FA4121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US" w:eastAsia="es-ES"/>
              </w:rPr>
            </w:pPr>
            <w:r w:rsidRPr="00A51049">
              <w:rPr>
                <w:b/>
                <w:bCs/>
                <w:sz w:val="16"/>
                <w:szCs w:val="16"/>
                <w:lang w:val="en-US" w:eastAsia="es-ES"/>
              </w:rPr>
              <w:t>Ranking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US" w:eastAsia="es-ES"/>
              </w:rPr>
            </w:pPr>
            <w:r w:rsidRPr="00A51049">
              <w:rPr>
                <w:b/>
                <w:bCs/>
                <w:sz w:val="16"/>
                <w:szCs w:val="16"/>
                <w:lang w:val="en-US" w:eastAsia="es-ES"/>
              </w:rPr>
              <w:t>Exponential prediction:</w:t>
            </w:r>
          </w:p>
          <w:p w:rsidR="0041222F" w:rsidRPr="00A51049" w:rsidRDefault="0041222F" w:rsidP="00FA4121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US" w:eastAsia="es-ES"/>
              </w:rPr>
            </w:pPr>
            <w:r w:rsidRPr="00A51049">
              <w:rPr>
                <w:b/>
                <w:bCs/>
                <w:sz w:val="16"/>
                <w:szCs w:val="16"/>
                <w:lang w:val="en-US" w:eastAsia="es-ES"/>
              </w:rPr>
              <w:t>CH mortality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US" w:eastAsia="es-ES"/>
              </w:rPr>
            </w:pPr>
            <w:r w:rsidRPr="00A51049">
              <w:rPr>
                <w:b/>
                <w:bCs/>
                <w:sz w:val="16"/>
                <w:szCs w:val="16"/>
                <w:lang w:val="en-US" w:eastAsia="es-ES"/>
              </w:rPr>
              <w:t>Exponential prediction: Saved lives</w:t>
            </w:r>
          </w:p>
          <w:p w:rsidR="0041222F" w:rsidRPr="00A51049" w:rsidRDefault="0041222F" w:rsidP="00FA4121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US" w:eastAsia="es-ES"/>
              </w:rPr>
            </w:pP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US" w:eastAsia="es-ES"/>
              </w:rPr>
            </w:pPr>
            <w:r w:rsidRPr="00A51049">
              <w:rPr>
                <w:b/>
                <w:bCs/>
                <w:sz w:val="16"/>
                <w:szCs w:val="16"/>
                <w:lang w:val="en-US" w:eastAsia="es-ES"/>
              </w:rPr>
              <w:t>Exponential prediction:</w:t>
            </w:r>
          </w:p>
          <w:p w:rsidR="0041222F" w:rsidRPr="00A51049" w:rsidRDefault="0041222F" w:rsidP="00FA4121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US" w:eastAsia="es-ES"/>
              </w:rPr>
            </w:pPr>
            <w:r w:rsidRPr="00A51049">
              <w:rPr>
                <w:b/>
                <w:bCs/>
                <w:sz w:val="16"/>
                <w:szCs w:val="16"/>
                <w:lang w:val="en-US" w:eastAsia="es-ES"/>
              </w:rPr>
              <w:t>Ranking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Alabama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0.045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-291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63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0.039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-408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67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Alaska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0.014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6***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19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0.014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6***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12</w:t>
            </w:r>
          </w:p>
        </w:tc>
      </w:tr>
      <w:tr w:rsidR="0041222F" w:rsidRPr="00A51049" w:rsidTr="00FA4121">
        <w:trPr>
          <w:trHeight w:val="270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Aragon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0.063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408***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7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0.092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1050**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</w:t>
            </w:r>
          </w:p>
        </w:tc>
      </w:tr>
      <w:tr w:rsidR="0041222F" w:rsidRPr="00A51049" w:rsidTr="00FA4121">
        <w:trPr>
          <w:trHeight w:val="28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Arizona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0.079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166***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9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0.073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107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11</w:t>
            </w:r>
          </w:p>
        </w:tc>
      </w:tr>
      <w:tr w:rsidR="0041222F" w:rsidRPr="00A51049" w:rsidTr="00FA4121">
        <w:trPr>
          <w:trHeight w:val="270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Arkansas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0.044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-39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48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0.039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-129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54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Australia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0.001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-384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47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0.001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-405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43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Austria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0.009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331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29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0.004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8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36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Belgium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0.047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-391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49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0.050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62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30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California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0.044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-653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57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0.038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-1137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60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Canada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0.008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-3987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59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0.027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3946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13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Castilla y Leon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0.036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-1324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70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0.054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-547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59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Cataluña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0.033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-2074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71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0.050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-1011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64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Chile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0.087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402***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0.087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405**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Colorado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0.039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43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0.035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-68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48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Connecticut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0.080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-447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67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0.075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-540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72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DC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0.082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70***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0.078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62***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Delaware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0.055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-65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66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0.048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-90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71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Denmark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0.012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235*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26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0.007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45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26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England &amp; Wales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0.060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4640***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15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0.048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-618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Florida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0.070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1268***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0.063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778**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9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France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0.038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8195***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12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0.042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10318*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Georgia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0.066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39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0.059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-207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51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Germany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0.011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5271**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24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0.007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1661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21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lastRenderedPageBreak/>
              <w:t>Guam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0.051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1***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0.044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0***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Hawaii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0.015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41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0.015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31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Hong Kong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0.002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88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37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0.001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19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32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Hungary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0.008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283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28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0.003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38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Idaho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0.034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26***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23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0.030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12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20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 xml:space="preserve">Illinois 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0.061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162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34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0.053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-288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50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Indiana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0.010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240**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22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0.011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271***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16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Iowa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0.035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-15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45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0.031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-98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47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Israel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0.020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684***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16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0.011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47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28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Jordan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0**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Kansas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0.025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46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33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0.024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15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27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Kentucky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0.019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-375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64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0.018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-387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66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Louisiana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0.085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71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30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0.084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34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23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Madrid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0.074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-2938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75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0.112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-1347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73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Maine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0.011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40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0.011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7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24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Maryland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0.059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-116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55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0.051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-268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61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Massachusetts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0.086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-1074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74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0.086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-1094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74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Michigan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0.069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589***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0.061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345**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10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Minnesota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0.034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-240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60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0.030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-319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63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Mississippi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0.079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131**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17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0.074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52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18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Missouri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0.031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-209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56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0.028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-316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55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Montana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0.028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63***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8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0.025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54***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7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Nebraska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0.022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-36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52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0.021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-49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49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Nevada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0.063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130***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0.056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90***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New Hampshire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0.022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-144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68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0.021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-151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70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New Jersey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0.086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-1196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73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0.121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33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New Mexico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0.047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15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32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0.041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-15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45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New York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0.081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2536**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0.128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6669***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North Carolina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0.033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-465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62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0.030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-580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65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North Dakota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0.044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45***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18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0.038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18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19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Northern Ireland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0.035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92***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25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0.018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-169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57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Ohio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0.035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15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0.031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-235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46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lastRenderedPageBreak/>
              <w:t>Oklahoma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0.028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51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31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0.025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11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29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Oregon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0.018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14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36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0.018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10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22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Pennsylvania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0.046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-1159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65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0.040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-1551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69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Portugal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0.010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486*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27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0.005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40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Puerto Rico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0.035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3***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0.031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3***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Rhode Island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0.064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-206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72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0.056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-256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75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Scotland (UK)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0.054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-39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46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0.055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37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Singapore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0.001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44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0.001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35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Slovenia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0.002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-81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53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0.004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-42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44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South Carolina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0.063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-55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51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0.055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-178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58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South Dakota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0.033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57***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13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0.030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38***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17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South Korea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0.001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120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38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0.000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39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Spain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0.038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-8518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69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0.041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-7387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68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Sweden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0.044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875***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14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0.033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41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Tennessee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0.044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358***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11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0.039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218***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14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Texas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0.058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629***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21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0.050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14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34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Utah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0.018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-71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61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0.018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-73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62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Vermont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0.006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-19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58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0.008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-16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52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Virginia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0.040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-78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50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0.035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-197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53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Washington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0.033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-75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54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0.029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-122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56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West Virginia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0.020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35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0.019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11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25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Wisconsin</w:t>
            </w:r>
          </w:p>
        </w:tc>
        <w:tc>
          <w:tcPr>
            <w:tcW w:w="1601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0.032</w:t>
            </w:r>
          </w:p>
        </w:tc>
        <w:tc>
          <w:tcPr>
            <w:tcW w:w="115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306***</w:t>
            </w:r>
          </w:p>
        </w:tc>
        <w:tc>
          <w:tcPr>
            <w:tcW w:w="112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10</w:t>
            </w:r>
          </w:p>
        </w:tc>
        <w:tc>
          <w:tcPr>
            <w:tcW w:w="1210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0.029</w:t>
            </w:r>
          </w:p>
        </w:tc>
        <w:tc>
          <w:tcPr>
            <w:tcW w:w="1209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242***</w:t>
            </w:r>
          </w:p>
        </w:tc>
        <w:tc>
          <w:tcPr>
            <w:tcW w:w="1335" w:type="dxa"/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8</w:t>
            </w:r>
          </w:p>
        </w:tc>
      </w:tr>
      <w:tr w:rsidR="0041222F" w:rsidRPr="00A51049" w:rsidTr="00FA4121">
        <w:trPr>
          <w:trHeight w:val="255"/>
        </w:trPr>
        <w:tc>
          <w:tcPr>
            <w:tcW w:w="1433" w:type="dxa"/>
            <w:tcBorders>
              <w:bottom w:val="single" w:sz="4" w:space="0" w:color="auto"/>
            </w:tcBorders>
            <w:noWrap/>
            <w:hideMark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Wyoming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0.013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US" w:eastAsia="es-ES"/>
              </w:rPr>
            </w:pPr>
            <w:r w:rsidRPr="00A51049">
              <w:rPr>
                <w:rFonts w:cstheme="minorHAnsi"/>
                <w:sz w:val="16"/>
                <w:szCs w:val="16"/>
                <w:lang w:val="en-US"/>
              </w:rPr>
              <w:t>18***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20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0.013</w:t>
            </w:r>
          </w:p>
        </w:tc>
        <w:tc>
          <w:tcPr>
            <w:tcW w:w="1209" w:type="dxa"/>
            <w:tcBorders>
              <w:bottom w:val="single" w:sz="4" w:space="0" w:color="auto"/>
            </w:tcBorders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19***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noWrap/>
            <w:hideMark/>
          </w:tcPr>
          <w:p w:rsidR="0041222F" w:rsidRPr="00A51049" w:rsidRDefault="0041222F" w:rsidP="00FA4121">
            <w:pPr>
              <w:spacing w:line="480" w:lineRule="auto"/>
              <w:jc w:val="center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sz w:val="16"/>
                <w:szCs w:val="16"/>
                <w:lang w:val="en-US" w:eastAsia="es-ES"/>
              </w:rPr>
              <w:t>15</w:t>
            </w:r>
          </w:p>
        </w:tc>
      </w:tr>
      <w:tr w:rsidR="0041222F" w:rsidRPr="00A51049" w:rsidTr="00FA4121">
        <w:trPr>
          <w:trHeight w:val="255"/>
        </w:trPr>
        <w:tc>
          <w:tcPr>
            <w:tcW w:w="9067" w:type="dxa"/>
            <w:gridSpan w:val="7"/>
            <w:tcBorders>
              <w:left w:val="nil"/>
              <w:bottom w:val="nil"/>
              <w:right w:val="nil"/>
            </w:tcBorders>
            <w:noWrap/>
          </w:tcPr>
          <w:p w:rsidR="0041222F" w:rsidRPr="00A51049" w:rsidRDefault="0041222F" w:rsidP="00FA4121">
            <w:pPr>
              <w:spacing w:line="480" w:lineRule="auto"/>
              <w:rPr>
                <w:sz w:val="16"/>
                <w:szCs w:val="16"/>
                <w:lang w:val="en-US" w:eastAsia="es-ES"/>
              </w:rPr>
            </w:pPr>
            <w:r w:rsidRPr="00A51049">
              <w:rPr>
                <w:b/>
                <w:bCs/>
                <w:sz w:val="16"/>
                <w:szCs w:val="16"/>
                <w:lang w:val="en-US" w:eastAsia="es-ES"/>
              </w:rPr>
              <w:t>Notes:</w:t>
            </w:r>
            <w:r w:rsidRPr="00A51049">
              <w:rPr>
                <w:sz w:val="16"/>
                <w:szCs w:val="16"/>
                <w:lang w:val="en-US" w:eastAsia="es-ES"/>
              </w:rPr>
              <w:t xml:space="preserve"> “CH” is an acronym for Care Home. Countries/regions with no </w:t>
            </w:r>
            <w:r>
              <w:rPr>
                <w:sz w:val="16"/>
                <w:szCs w:val="16"/>
                <w:lang w:val="en-US" w:eastAsia="es-ES"/>
              </w:rPr>
              <w:t>COVID</w:t>
            </w:r>
            <w:r w:rsidRPr="00A51049">
              <w:rPr>
                <w:sz w:val="16"/>
                <w:szCs w:val="16"/>
                <w:lang w:val="en-US" w:eastAsia="es-ES"/>
              </w:rPr>
              <w:t xml:space="preserve">19 deaths among care home residents were not considered for the ranking (Guam, Jordan, and Puerto Rico). </w:t>
            </w:r>
            <w:r w:rsidRPr="00A51049">
              <w:rPr>
                <w:sz w:val="16"/>
                <w:szCs w:val="16"/>
                <w:lang w:val="en-US"/>
              </w:rPr>
              <w:t>*** p&lt;0.01, ** p&lt;0.05, * p&lt;0.1.</w:t>
            </w:r>
            <w:r w:rsidRPr="00A51049">
              <w:rPr>
                <w:sz w:val="14"/>
                <w:szCs w:val="14"/>
                <w:lang w:val="en-US" w:eastAsia="es-ES"/>
              </w:rPr>
              <w:t xml:space="preserve"> </w:t>
            </w:r>
          </w:p>
        </w:tc>
      </w:tr>
    </w:tbl>
    <w:p w:rsidR="0041222F" w:rsidRPr="00A51049" w:rsidRDefault="0041222F" w:rsidP="0041222F">
      <w:pPr>
        <w:spacing w:line="480" w:lineRule="auto"/>
        <w:rPr>
          <w:lang w:val="en-US" w:eastAsia="es-ES"/>
        </w:rPr>
      </w:pPr>
    </w:p>
    <w:p w:rsidR="001760E5" w:rsidRDefault="0041222F">
      <w:bookmarkStart w:id="0" w:name="_GoBack"/>
      <w:bookmarkEnd w:id="0"/>
    </w:p>
    <w:sectPr w:rsidR="001760E5">
      <w:footerReference w:type="default" r:id="rId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9277206"/>
      <w:docPartObj>
        <w:docPartGallery w:val="Page Numbers (Bottom of Page)"/>
        <w:docPartUnique/>
      </w:docPartObj>
    </w:sdtPr>
    <w:sdtEndPr/>
    <w:sdtContent>
      <w:p w:rsidR="006B4ECC" w:rsidRDefault="0041222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1222F">
          <w:rPr>
            <w:noProof/>
            <w:lang w:val="es-ES"/>
          </w:rPr>
          <w:t>1</w:t>
        </w:r>
        <w:r>
          <w:fldChar w:fldCharType="end"/>
        </w:r>
      </w:p>
    </w:sdtContent>
  </w:sdt>
  <w:p w:rsidR="006B4ECC" w:rsidRDefault="0041222F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63E35"/>
    <w:multiLevelType w:val="hybridMultilevel"/>
    <w:tmpl w:val="A59E27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6366F0"/>
    <w:multiLevelType w:val="hybridMultilevel"/>
    <w:tmpl w:val="B28AD7D4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13536D"/>
    <w:multiLevelType w:val="hybridMultilevel"/>
    <w:tmpl w:val="7F2E941C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010B9"/>
    <w:multiLevelType w:val="hybridMultilevel"/>
    <w:tmpl w:val="74D6AE36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B73CEE"/>
    <w:multiLevelType w:val="hybridMultilevel"/>
    <w:tmpl w:val="506EEC8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3687D"/>
    <w:multiLevelType w:val="hybridMultilevel"/>
    <w:tmpl w:val="BE8A570E"/>
    <w:lvl w:ilvl="0" w:tplc="34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FA5611"/>
    <w:multiLevelType w:val="hybridMultilevel"/>
    <w:tmpl w:val="6DBA0426"/>
    <w:lvl w:ilvl="0" w:tplc="3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BB151A"/>
    <w:multiLevelType w:val="hybridMultilevel"/>
    <w:tmpl w:val="5E44CFDA"/>
    <w:lvl w:ilvl="0" w:tplc="F90CF2A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2E2ABC"/>
    <w:multiLevelType w:val="hybridMultilevel"/>
    <w:tmpl w:val="35FECAB8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B33B65"/>
    <w:multiLevelType w:val="hybridMultilevel"/>
    <w:tmpl w:val="5E2899E4"/>
    <w:lvl w:ilvl="0" w:tplc="6B484C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9F3AD0"/>
    <w:multiLevelType w:val="hybridMultilevel"/>
    <w:tmpl w:val="0936C4A4"/>
    <w:lvl w:ilvl="0" w:tplc="3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A137F35"/>
    <w:multiLevelType w:val="hybridMultilevel"/>
    <w:tmpl w:val="B3569AB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B84F88"/>
    <w:multiLevelType w:val="hybridMultilevel"/>
    <w:tmpl w:val="D5BABBF4"/>
    <w:lvl w:ilvl="0" w:tplc="340A0011">
      <w:start w:val="1"/>
      <w:numFmt w:val="decimal"/>
      <w:lvlText w:val="%1)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9B6BC6"/>
    <w:multiLevelType w:val="multilevel"/>
    <w:tmpl w:val="340A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5821386C"/>
    <w:multiLevelType w:val="hybridMultilevel"/>
    <w:tmpl w:val="90B01CD8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DE6334"/>
    <w:multiLevelType w:val="hybridMultilevel"/>
    <w:tmpl w:val="0952F30A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7D5EBD"/>
    <w:multiLevelType w:val="hybridMultilevel"/>
    <w:tmpl w:val="CD84E970"/>
    <w:lvl w:ilvl="0" w:tplc="C7E08D4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EBF6179"/>
    <w:multiLevelType w:val="hybridMultilevel"/>
    <w:tmpl w:val="0E8EAB4A"/>
    <w:lvl w:ilvl="0" w:tplc="3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1569EF"/>
    <w:multiLevelType w:val="hybridMultilevel"/>
    <w:tmpl w:val="8BD604F8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BCCE76E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8C325AD"/>
    <w:multiLevelType w:val="hybridMultilevel"/>
    <w:tmpl w:val="29F4044E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D410CE8"/>
    <w:multiLevelType w:val="hybridMultilevel"/>
    <w:tmpl w:val="9A5E901E"/>
    <w:lvl w:ilvl="0" w:tplc="3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5"/>
  </w:num>
  <w:num w:numId="3">
    <w:abstractNumId w:val="20"/>
  </w:num>
  <w:num w:numId="4">
    <w:abstractNumId w:val="3"/>
  </w:num>
  <w:num w:numId="5">
    <w:abstractNumId w:val="7"/>
  </w:num>
  <w:num w:numId="6">
    <w:abstractNumId w:val="11"/>
  </w:num>
  <w:num w:numId="7">
    <w:abstractNumId w:val="1"/>
  </w:num>
  <w:num w:numId="8">
    <w:abstractNumId w:val="8"/>
  </w:num>
  <w:num w:numId="9">
    <w:abstractNumId w:val="13"/>
  </w:num>
  <w:num w:numId="10">
    <w:abstractNumId w:val="19"/>
  </w:num>
  <w:num w:numId="11">
    <w:abstractNumId w:val="17"/>
  </w:num>
  <w:num w:numId="12">
    <w:abstractNumId w:val="14"/>
  </w:num>
  <w:num w:numId="13">
    <w:abstractNumId w:val="12"/>
  </w:num>
  <w:num w:numId="14">
    <w:abstractNumId w:val="2"/>
  </w:num>
  <w:num w:numId="15">
    <w:abstractNumId w:val="10"/>
  </w:num>
  <w:num w:numId="16">
    <w:abstractNumId w:val="16"/>
  </w:num>
  <w:num w:numId="17">
    <w:abstractNumId w:val="9"/>
  </w:num>
  <w:num w:numId="18">
    <w:abstractNumId w:val="4"/>
  </w:num>
  <w:num w:numId="19">
    <w:abstractNumId w:val="18"/>
  </w:num>
  <w:num w:numId="20">
    <w:abstractNumId w:val="6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22F"/>
    <w:rsid w:val="0041222F"/>
    <w:rsid w:val="008A3324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19CC08-0053-4E41-AEBF-139B2EB2B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22F"/>
    <w:rPr>
      <w:lang w:val="es-CL"/>
    </w:rPr>
  </w:style>
  <w:style w:type="paragraph" w:styleId="Heading1">
    <w:name w:val="heading 1"/>
    <w:basedOn w:val="Normal"/>
    <w:next w:val="Normal"/>
    <w:link w:val="Heading1Char"/>
    <w:qFormat/>
    <w:rsid w:val="0041222F"/>
    <w:pPr>
      <w:keepNext/>
      <w:numPr>
        <w:numId w:val="9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Arial"/>
      <w:bCs/>
      <w:kern w:val="32"/>
      <w:sz w:val="28"/>
      <w:szCs w:val="32"/>
      <w:lang w:val="es-MX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222F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222F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22F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22F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22F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22F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22F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22F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1222F"/>
    <w:rPr>
      <w:rFonts w:ascii="Times New Roman" w:eastAsia="Times New Roman" w:hAnsi="Times New Roman" w:cs="Arial"/>
      <w:bCs/>
      <w:kern w:val="32"/>
      <w:sz w:val="28"/>
      <w:szCs w:val="32"/>
      <w:lang w:val="es-MX" w:eastAsia="es-ES"/>
    </w:rPr>
  </w:style>
  <w:style w:type="character" w:customStyle="1" w:styleId="Heading2Char">
    <w:name w:val="Heading 2 Char"/>
    <w:basedOn w:val="DefaultParagraphFont"/>
    <w:link w:val="Heading2"/>
    <w:uiPriority w:val="9"/>
    <w:rsid w:val="0041222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CL"/>
    </w:rPr>
  </w:style>
  <w:style w:type="character" w:customStyle="1" w:styleId="Heading3Char">
    <w:name w:val="Heading 3 Char"/>
    <w:basedOn w:val="DefaultParagraphFont"/>
    <w:link w:val="Heading3"/>
    <w:uiPriority w:val="9"/>
    <w:rsid w:val="0041222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C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22F"/>
    <w:rPr>
      <w:rFonts w:asciiTheme="majorHAnsi" w:eastAsiaTheme="majorEastAsia" w:hAnsiTheme="majorHAnsi" w:cstheme="majorBidi"/>
      <w:i/>
      <w:iCs/>
      <w:color w:val="2E74B5" w:themeColor="accent1" w:themeShade="BF"/>
      <w:lang w:val="es-C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22F"/>
    <w:rPr>
      <w:rFonts w:asciiTheme="majorHAnsi" w:eastAsiaTheme="majorEastAsia" w:hAnsiTheme="majorHAnsi" w:cstheme="majorBidi"/>
      <w:color w:val="2E74B5" w:themeColor="accent1" w:themeShade="BF"/>
      <w:lang w:val="es-C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22F"/>
    <w:rPr>
      <w:rFonts w:asciiTheme="majorHAnsi" w:eastAsiaTheme="majorEastAsia" w:hAnsiTheme="majorHAnsi" w:cstheme="majorBidi"/>
      <w:color w:val="1F4D78" w:themeColor="accent1" w:themeShade="7F"/>
      <w:lang w:val="es-C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22F"/>
    <w:rPr>
      <w:rFonts w:asciiTheme="majorHAnsi" w:eastAsiaTheme="majorEastAsia" w:hAnsiTheme="majorHAnsi" w:cstheme="majorBidi"/>
      <w:i/>
      <w:iCs/>
      <w:color w:val="1F4D78" w:themeColor="accent1" w:themeShade="7F"/>
      <w:lang w:val="es-C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22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C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22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CL"/>
    </w:rPr>
  </w:style>
  <w:style w:type="paragraph" w:styleId="ListParagraph">
    <w:name w:val="List Paragraph"/>
    <w:basedOn w:val="Normal"/>
    <w:uiPriority w:val="34"/>
    <w:qFormat/>
    <w:rsid w:val="0041222F"/>
    <w:pPr>
      <w:ind w:left="720"/>
      <w:contextualSpacing/>
    </w:pPr>
  </w:style>
  <w:style w:type="table" w:styleId="TableGrid">
    <w:name w:val="Table Grid"/>
    <w:basedOn w:val="TableNormal"/>
    <w:uiPriority w:val="39"/>
    <w:rsid w:val="0041222F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122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222F"/>
    <w:rPr>
      <w:sz w:val="20"/>
      <w:szCs w:val="20"/>
      <w:lang w:val="es-CL"/>
    </w:rPr>
  </w:style>
  <w:style w:type="character" w:styleId="FootnoteReference">
    <w:name w:val="footnote reference"/>
    <w:basedOn w:val="DefaultParagraphFont"/>
    <w:uiPriority w:val="99"/>
    <w:semiHidden/>
    <w:unhideWhenUsed/>
    <w:rsid w:val="0041222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22F"/>
    <w:rPr>
      <w:rFonts w:ascii="Segoe UI" w:hAnsi="Segoe UI" w:cs="Segoe UI"/>
      <w:sz w:val="18"/>
      <w:szCs w:val="18"/>
      <w:lang w:val="es-CL"/>
    </w:rPr>
  </w:style>
  <w:style w:type="paragraph" w:styleId="Header">
    <w:name w:val="header"/>
    <w:basedOn w:val="Normal"/>
    <w:link w:val="HeaderChar"/>
    <w:uiPriority w:val="99"/>
    <w:unhideWhenUsed/>
    <w:rsid w:val="004122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222F"/>
    <w:rPr>
      <w:lang w:val="es-CL"/>
    </w:rPr>
  </w:style>
  <w:style w:type="paragraph" w:styleId="Footer">
    <w:name w:val="footer"/>
    <w:basedOn w:val="Normal"/>
    <w:link w:val="FooterChar"/>
    <w:uiPriority w:val="99"/>
    <w:unhideWhenUsed/>
    <w:rsid w:val="004122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22F"/>
    <w:rPr>
      <w:lang w:val="es-CL"/>
    </w:rPr>
  </w:style>
  <w:style w:type="character" w:styleId="Hyperlink">
    <w:name w:val="Hyperlink"/>
    <w:basedOn w:val="DefaultParagraphFont"/>
    <w:uiPriority w:val="99"/>
    <w:unhideWhenUsed/>
    <w:rsid w:val="0041222F"/>
    <w:rPr>
      <w:color w:val="0563C1" w:themeColor="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41222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1222F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41222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122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22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222F"/>
    <w:rPr>
      <w:sz w:val="20"/>
      <w:szCs w:val="20"/>
      <w:lang w:val="es-C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22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222F"/>
    <w:rPr>
      <w:b/>
      <w:bCs/>
      <w:sz w:val="20"/>
      <w:szCs w:val="20"/>
      <w:lang w:val="es-CL"/>
    </w:rPr>
  </w:style>
  <w:style w:type="character" w:customStyle="1" w:styleId="linkify">
    <w:name w:val="linkify"/>
    <w:basedOn w:val="DefaultParagraphFont"/>
    <w:rsid w:val="0041222F"/>
  </w:style>
  <w:style w:type="character" w:customStyle="1" w:styleId="UnresolvedMention">
    <w:name w:val="Unresolved Mention"/>
    <w:basedOn w:val="DefaultParagraphFont"/>
    <w:uiPriority w:val="99"/>
    <w:semiHidden/>
    <w:unhideWhenUsed/>
    <w:rsid w:val="0041222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1222F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22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1222F"/>
    <w:rPr>
      <w:rFonts w:eastAsiaTheme="minorEastAsia"/>
      <w:color w:val="5A5A5A" w:themeColor="text1" w:themeTint="A5"/>
      <w:spacing w:val="15"/>
      <w:lang w:val="es-CL"/>
    </w:rPr>
  </w:style>
  <w:style w:type="paragraph" w:styleId="NoSpacing">
    <w:name w:val="No Spacing"/>
    <w:uiPriority w:val="1"/>
    <w:qFormat/>
    <w:rsid w:val="0041222F"/>
    <w:pPr>
      <w:spacing w:after="0" w:line="240" w:lineRule="auto"/>
    </w:pPr>
    <w:rPr>
      <w:lang w:val="es-CL"/>
    </w:rPr>
  </w:style>
  <w:style w:type="numbering" w:customStyle="1" w:styleId="Sinlista1">
    <w:name w:val="Sin lista1"/>
    <w:next w:val="NoList"/>
    <w:uiPriority w:val="99"/>
    <w:semiHidden/>
    <w:unhideWhenUsed/>
    <w:rsid w:val="0041222F"/>
  </w:style>
  <w:style w:type="table" w:customStyle="1" w:styleId="Tablaconcuadrcula1">
    <w:name w:val="Tabla con cuadrícula1"/>
    <w:basedOn w:val="TableNormal"/>
    <w:next w:val="TableGrid"/>
    <w:uiPriority w:val="39"/>
    <w:rsid w:val="0041222F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412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41222F"/>
    <w:pPr>
      <w:shd w:val="clear" w:color="D9E1F2" w:fill="D9E1F2"/>
      <w:spacing w:before="100" w:beforeAutospacing="1" w:after="100" w:afterAutospacing="1" w:line="240" w:lineRule="auto"/>
    </w:pPr>
    <w:rPr>
      <w:rFonts w:ascii="Arial" w:eastAsia="Times New Roman" w:hAnsi="Arial" w:cs="Arial"/>
      <w:color w:val="305496"/>
      <w:sz w:val="24"/>
      <w:szCs w:val="24"/>
      <w:lang w:val="en-US"/>
    </w:rPr>
  </w:style>
  <w:style w:type="paragraph" w:customStyle="1" w:styleId="xl68">
    <w:name w:val="xl68"/>
    <w:basedOn w:val="Normal"/>
    <w:rsid w:val="0041222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05496"/>
      <w:sz w:val="24"/>
      <w:szCs w:val="24"/>
      <w:lang w:val="en-US"/>
    </w:rPr>
  </w:style>
  <w:style w:type="paragraph" w:customStyle="1" w:styleId="xl69">
    <w:name w:val="xl69"/>
    <w:basedOn w:val="Normal"/>
    <w:rsid w:val="0041222F"/>
    <w:pPr>
      <w:shd w:val="clear" w:color="D9E1F2" w:fill="D9E1F2"/>
      <w:spacing w:before="100" w:beforeAutospacing="1" w:after="100" w:afterAutospacing="1" w:line="240" w:lineRule="auto"/>
    </w:pPr>
    <w:rPr>
      <w:rFonts w:ascii="Arial" w:eastAsia="Times New Roman" w:hAnsi="Arial" w:cs="Arial"/>
      <w:color w:val="305496"/>
      <w:sz w:val="24"/>
      <w:szCs w:val="24"/>
      <w:lang w:val="en-US"/>
    </w:rPr>
  </w:style>
  <w:style w:type="paragraph" w:customStyle="1" w:styleId="xl70">
    <w:name w:val="xl70"/>
    <w:basedOn w:val="Normal"/>
    <w:rsid w:val="0041222F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color w:val="305496"/>
      <w:sz w:val="24"/>
      <w:szCs w:val="24"/>
      <w:lang w:val="en-US"/>
    </w:rPr>
  </w:style>
  <w:style w:type="paragraph" w:customStyle="1" w:styleId="xl71">
    <w:name w:val="xl71"/>
    <w:basedOn w:val="Normal"/>
    <w:rsid w:val="0041222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05496"/>
      <w:sz w:val="24"/>
      <w:szCs w:val="24"/>
      <w:lang w:val="en-US"/>
    </w:rPr>
  </w:style>
  <w:style w:type="paragraph" w:customStyle="1" w:styleId="xl72">
    <w:name w:val="xl72"/>
    <w:basedOn w:val="Normal"/>
    <w:rsid w:val="0041222F"/>
    <w:pPr>
      <w:pBdr>
        <w:top w:val="single" w:sz="12" w:space="0" w:color="FF0000"/>
        <w:bottom w:val="single" w:sz="12" w:space="0" w:color="FF0000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color w:val="305496"/>
      <w:sz w:val="24"/>
      <w:szCs w:val="24"/>
      <w:lang w:val="en-US"/>
    </w:rPr>
  </w:style>
  <w:style w:type="paragraph" w:customStyle="1" w:styleId="xl73">
    <w:name w:val="xl73"/>
    <w:basedOn w:val="Normal"/>
    <w:rsid w:val="0041222F"/>
    <w:pPr>
      <w:pBdr>
        <w:bottom w:val="single" w:sz="4" w:space="0" w:color="4472C4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05496"/>
      <w:sz w:val="24"/>
      <w:szCs w:val="24"/>
      <w:lang w:val="en-US"/>
    </w:rPr>
  </w:style>
  <w:style w:type="paragraph" w:customStyle="1" w:styleId="xl74">
    <w:name w:val="xl74"/>
    <w:basedOn w:val="Normal"/>
    <w:rsid w:val="0041222F"/>
    <w:pPr>
      <w:pBdr>
        <w:top w:val="single" w:sz="12" w:space="0" w:color="FF0000"/>
        <w:left w:val="single" w:sz="12" w:space="0" w:color="FF0000"/>
        <w:bottom w:val="single" w:sz="12" w:space="0" w:color="FF0000"/>
      </w:pBdr>
      <w:shd w:val="clear" w:color="D9E1F2" w:fill="D9E1F2"/>
      <w:spacing w:before="100" w:beforeAutospacing="1" w:after="100" w:afterAutospacing="1" w:line="240" w:lineRule="auto"/>
    </w:pPr>
    <w:rPr>
      <w:rFonts w:ascii="Arial" w:eastAsia="Times New Roman" w:hAnsi="Arial" w:cs="Arial"/>
      <w:color w:val="305496"/>
      <w:sz w:val="24"/>
      <w:szCs w:val="24"/>
      <w:lang w:val="en-US"/>
    </w:rPr>
  </w:style>
  <w:style w:type="paragraph" w:customStyle="1" w:styleId="xl75">
    <w:name w:val="xl75"/>
    <w:basedOn w:val="Normal"/>
    <w:rsid w:val="0041222F"/>
    <w:pPr>
      <w:pBdr>
        <w:top w:val="single" w:sz="12" w:space="0" w:color="FF0000"/>
        <w:bottom w:val="single" w:sz="12" w:space="0" w:color="FF0000"/>
      </w:pBdr>
      <w:shd w:val="clear" w:color="D9E1F2" w:fill="D9E1F2"/>
      <w:spacing w:before="100" w:beforeAutospacing="1" w:after="100" w:afterAutospacing="1" w:line="240" w:lineRule="auto"/>
    </w:pPr>
    <w:rPr>
      <w:rFonts w:ascii="Arial" w:eastAsia="Times New Roman" w:hAnsi="Arial" w:cs="Arial"/>
      <w:color w:val="305496"/>
      <w:sz w:val="24"/>
      <w:szCs w:val="24"/>
      <w:lang w:val="en-US"/>
    </w:rPr>
  </w:style>
  <w:style w:type="paragraph" w:customStyle="1" w:styleId="xl76">
    <w:name w:val="xl76"/>
    <w:basedOn w:val="Normal"/>
    <w:rsid w:val="0041222F"/>
    <w:pPr>
      <w:pBdr>
        <w:top w:val="single" w:sz="12" w:space="0" w:color="FF0000"/>
        <w:bottom w:val="single" w:sz="12" w:space="0" w:color="FF0000"/>
      </w:pBdr>
      <w:shd w:val="clear" w:color="D9E1F2" w:fill="D9E1F2"/>
      <w:spacing w:before="100" w:beforeAutospacing="1" w:after="100" w:afterAutospacing="1" w:line="240" w:lineRule="auto"/>
    </w:pPr>
    <w:rPr>
      <w:rFonts w:ascii="Arial" w:eastAsia="Times New Roman" w:hAnsi="Arial" w:cs="Arial"/>
      <w:color w:val="305496"/>
      <w:sz w:val="24"/>
      <w:szCs w:val="24"/>
      <w:lang w:val="en-US"/>
    </w:rPr>
  </w:style>
  <w:style w:type="paragraph" w:customStyle="1" w:styleId="xl77">
    <w:name w:val="xl77"/>
    <w:basedOn w:val="Normal"/>
    <w:rsid w:val="0041222F"/>
    <w:pPr>
      <w:shd w:val="clear" w:color="000000" w:fill="92D050"/>
      <w:spacing w:before="100" w:beforeAutospacing="1" w:after="100" w:afterAutospacing="1" w:line="240" w:lineRule="auto"/>
    </w:pPr>
    <w:rPr>
      <w:rFonts w:ascii="Arial" w:eastAsia="Times New Roman" w:hAnsi="Arial" w:cs="Arial"/>
      <w:color w:val="305496"/>
      <w:sz w:val="24"/>
      <w:szCs w:val="24"/>
      <w:lang w:val="en-US"/>
    </w:rPr>
  </w:style>
  <w:style w:type="paragraph" w:customStyle="1" w:styleId="xl78">
    <w:name w:val="xl78"/>
    <w:basedOn w:val="Normal"/>
    <w:rsid w:val="0041222F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color w:val="305496"/>
      <w:sz w:val="24"/>
      <w:szCs w:val="24"/>
      <w:lang w:val="en-US"/>
    </w:rPr>
  </w:style>
  <w:style w:type="paragraph" w:customStyle="1" w:styleId="xl79">
    <w:name w:val="xl79"/>
    <w:basedOn w:val="Normal"/>
    <w:rsid w:val="0041222F"/>
    <w:pPr>
      <w:pBdr>
        <w:top w:val="single" w:sz="12" w:space="0" w:color="FF0000"/>
        <w:bottom w:val="single" w:sz="12" w:space="0" w:color="FF0000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color w:val="305496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41222F"/>
    <w:pPr>
      <w:spacing w:after="0" w:line="240" w:lineRule="auto"/>
    </w:pPr>
    <w:rPr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1313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8786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2022-04-09T03:36:00Z</dcterms:created>
  <dcterms:modified xsi:type="dcterms:W3CDTF">2022-04-09T03:36:00Z</dcterms:modified>
</cp:coreProperties>
</file>