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F5038" w14:textId="77777777" w:rsidR="00D12694" w:rsidRPr="00966C82" w:rsidRDefault="00D12694" w:rsidP="00D12694">
      <w:pPr>
        <w:rPr>
          <w:b/>
          <w:color w:val="000000" w:themeColor="text1"/>
        </w:rPr>
      </w:pPr>
      <w:bookmarkStart w:id="0" w:name="_Hlk19394874"/>
      <w:bookmarkStart w:id="1" w:name="_Hlk489531835"/>
      <w:r w:rsidRPr="00966C82">
        <w:rPr>
          <w:b/>
          <w:color w:val="000000" w:themeColor="text1"/>
        </w:rPr>
        <w:t>BIOCHAR MODIFICATION WITH HEMATITE AND GOETHITE FOR EFFICIENT PERSULFATE ACTIVATION AND POLLUTION DEGRADATION</w:t>
      </w:r>
    </w:p>
    <w:p w14:paraId="41D56DCD" w14:textId="77777777" w:rsidR="00D12694" w:rsidRPr="00E5549F" w:rsidRDefault="00D12694" w:rsidP="00D12694"/>
    <w:bookmarkEnd w:id="0"/>
    <w:p w14:paraId="33E23C3F" w14:textId="77777777" w:rsidR="00D12694" w:rsidRPr="00E5549F" w:rsidRDefault="00D12694" w:rsidP="00D12694">
      <w:pPr>
        <w:rPr>
          <w:rFonts w:eastAsia="SimSun"/>
        </w:rPr>
      </w:pPr>
    </w:p>
    <w:p w14:paraId="092E1083" w14:textId="77777777" w:rsidR="00D12694" w:rsidRPr="00E5549F" w:rsidRDefault="00D12694" w:rsidP="00D12694">
      <w:pPr>
        <w:rPr>
          <w:rFonts w:eastAsia="SimSun"/>
        </w:rPr>
      </w:pPr>
      <w:r w:rsidRPr="00B3593C">
        <w:rPr>
          <w:rFonts w:eastAsia="SimSun"/>
        </w:rPr>
        <w:t>Hem Chandra Sharma</w:t>
      </w:r>
      <w:r w:rsidRPr="00E5549F">
        <w:rPr>
          <w:rFonts w:eastAsia="SimSun"/>
          <w:lang w:eastAsia="ja-JP"/>
        </w:rPr>
        <w:t xml:space="preserve">, </w:t>
      </w:r>
      <w:bookmarkStart w:id="2" w:name="_Hlk527020118"/>
      <w:r w:rsidRPr="00E5549F">
        <w:rPr>
          <w:rFonts w:eastAsia="SimSun"/>
          <w:lang w:eastAsia="ja-JP"/>
        </w:rPr>
        <w:t>Hao Chen</w:t>
      </w:r>
      <w:bookmarkEnd w:id="2"/>
      <w:r w:rsidRPr="00E5549F">
        <w:rPr>
          <w:rFonts w:eastAsia="SimSun"/>
          <w:color w:val="000000"/>
        </w:rPr>
        <w:t>*</w:t>
      </w:r>
      <w:r>
        <w:rPr>
          <w:rFonts w:eastAsia="SimSun"/>
          <w:color w:val="000000"/>
        </w:rPr>
        <w:t>, Aneesh Kumar Chandel</w:t>
      </w:r>
      <w:r w:rsidRPr="00357246">
        <w:t xml:space="preserve"> </w:t>
      </w:r>
    </w:p>
    <w:p w14:paraId="473C19FA" w14:textId="77777777" w:rsidR="00D12694" w:rsidRPr="00E5549F" w:rsidRDefault="00D12694" w:rsidP="00D12694">
      <w:pPr>
        <w:rPr>
          <w:rFonts w:eastAsia="SimSun"/>
          <w:i/>
        </w:rPr>
      </w:pPr>
      <w:bookmarkStart w:id="3" w:name="_Hlk527020108"/>
      <w:r w:rsidRPr="00E5549F">
        <w:rPr>
          <w:rFonts w:eastAsia="SimSun"/>
          <w:i/>
        </w:rPr>
        <w:t>Department of Agriculture, University of Arkansas at Pine Bluff, AR 71601, United States</w:t>
      </w:r>
      <w:bookmarkEnd w:id="3"/>
    </w:p>
    <w:bookmarkEnd w:id="1"/>
    <w:p w14:paraId="67BD61FC" w14:textId="77777777" w:rsidR="00D12694" w:rsidRPr="00E5549F" w:rsidRDefault="00D12694" w:rsidP="00D12694">
      <w:pPr>
        <w:rPr>
          <w:rFonts w:eastAsia="SimSun"/>
        </w:rPr>
      </w:pPr>
    </w:p>
    <w:p w14:paraId="6764FC67" w14:textId="77777777" w:rsidR="00D12694" w:rsidRPr="00E5549F" w:rsidRDefault="00D12694" w:rsidP="00BA3E5B">
      <w:pPr>
        <w:widowControl w:val="0"/>
        <w:rPr>
          <w:rFonts w:eastAsia="SimSun"/>
          <w:color w:val="000000"/>
        </w:rPr>
      </w:pPr>
      <w:r w:rsidRPr="00E5549F">
        <w:rPr>
          <w:rFonts w:eastAsia="SimSun"/>
          <w:color w:val="000000"/>
        </w:rPr>
        <w:t>_______________________</w:t>
      </w:r>
    </w:p>
    <w:p w14:paraId="2833DEED" w14:textId="77777777" w:rsidR="00D12694" w:rsidRPr="00E5549F" w:rsidRDefault="00D12694" w:rsidP="00BA3E5B">
      <w:pPr>
        <w:rPr>
          <w:rFonts w:eastAsia="SimSun"/>
        </w:rPr>
      </w:pPr>
      <w:r w:rsidRPr="00E5549F">
        <w:rPr>
          <w:rFonts w:eastAsia="SimSun"/>
          <w:color w:val="000000"/>
        </w:rPr>
        <w:t xml:space="preserve">* Corresponding author, phone: (870) 575-8117, email: </w:t>
      </w:r>
      <w:hyperlink r:id="rId6" w:history="1">
        <w:r w:rsidRPr="00E5549F">
          <w:rPr>
            <w:rStyle w:val="Hyperlink"/>
            <w:rFonts w:eastAsia="SimSun"/>
          </w:rPr>
          <w:t>chenh@uapb.edu</w:t>
        </w:r>
      </w:hyperlink>
    </w:p>
    <w:p w14:paraId="68FBE5F7" w14:textId="77777777" w:rsidR="00D12694" w:rsidRPr="00E5549F" w:rsidRDefault="00D12694" w:rsidP="00BA3E5B">
      <w:pPr>
        <w:rPr>
          <w:rFonts w:eastAsia="SimSun"/>
        </w:rPr>
      </w:pPr>
      <w:r w:rsidRPr="00E5549F">
        <w:rPr>
          <w:rFonts w:eastAsia="SimSun"/>
        </w:rPr>
        <w:br w:type="page"/>
      </w:r>
    </w:p>
    <w:p w14:paraId="6D1A0711" w14:textId="00816293" w:rsidR="00ED0F26" w:rsidRDefault="00ED0F26" w:rsidP="00BA3E5B">
      <w:pPr>
        <w:spacing w:after="160"/>
        <w:rPr>
          <w:b/>
        </w:rPr>
      </w:pPr>
      <w:r>
        <w:rPr>
          <w:b/>
        </w:rPr>
        <w:lastRenderedPageBreak/>
        <w:t>S1 Persulfate analysis method</w:t>
      </w:r>
    </w:p>
    <w:p w14:paraId="77E83D0A" w14:textId="2AF855EE" w:rsidR="00ED0F26" w:rsidRPr="00AC506F" w:rsidRDefault="00AC506F" w:rsidP="00AC506F">
      <w:pPr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>To determine</w:t>
      </w:r>
      <w:r w:rsidR="000A4517">
        <w:rPr>
          <w:rFonts w:eastAsiaTheme="minorEastAsia"/>
        </w:rPr>
        <w:t xml:space="preserve"> the concentration of</w:t>
      </w:r>
      <w:r>
        <w:rPr>
          <w:rFonts w:eastAsiaTheme="minorEastAsia"/>
        </w:rPr>
        <w:t xml:space="preserve"> aqueous persulfate (S</w:t>
      </w:r>
      <w:r>
        <w:rPr>
          <w:rFonts w:eastAsiaTheme="minorEastAsia"/>
          <w:sz w:val="16"/>
          <w:szCs w:val="16"/>
        </w:rPr>
        <w:t>2</w:t>
      </w:r>
      <w:r>
        <w:rPr>
          <w:rFonts w:eastAsiaTheme="minorEastAsia"/>
        </w:rPr>
        <w:t>O</w:t>
      </w:r>
      <w:r>
        <w:rPr>
          <w:rFonts w:eastAsiaTheme="minorEastAsia"/>
          <w:sz w:val="16"/>
          <w:szCs w:val="16"/>
        </w:rPr>
        <w:t>8</w:t>
      </w:r>
      <w:r w:rsidRPr="00ED0F26">
        <w:rPr>
          <w:rFonts w:eastAsiaTheme="minorEastAsia"/>
          <w:vertAlign w:val="superscript"/>
        </w:rPr>
        <w:t>2-</w:t>
      </w:r>
      <w:r>
        <w:rPr>
          <w:rFonts w:eastAsiaTheme="minorEastAsia"/>
          <w:sz w:val="16"/>
          <w:szCs w:val="16"/>
        </w:rPr>
        <w:t xml:space="preserve"> </w:t>
      </w:r>
      <w:r>
        <w:rPr>
          <w:rFonts w:eastAsiaTheme="minorEastAsia"/>
        </w:rPr>
        <w:t>), a</w:t>
      </w:r>
      <w:r w:rsidR="00ED0F26">
        <w:rPr>
          <w:rFonts w:eastAsiaTheme="minorEastAsia"/>
        </w:rPr>
        <w:t xml:space="preserve"> modified iodide spectrophotometry method was used </w:t>
      </w:r>
      <w:r>
        <w:rPr>
          <w:rFonts w:eastAsiaTheme="minorEastAsia"/>
        </w:rPr>
        <w:fldChar w:fldCharType="begin"/>
      </w:r>
      <w:r>
        <w:rPr>
          <w:rFonts w:eastAsiaTheme="minorEastAsia"/>
        </w:rPr>
        <w:instrText xml:space="preserve"> ADDIN EN.CITE &lt;EndNote&gt;&lt;Cite&gt;&lt;Author&gt;Liang&lt;/Author&gt;&lt;Year&gt;2008&lt;/Year&gt;&lt;RecNum&gt;65&lt;/RecNum&gt;&lt;DisplayText&gt;(Liang et al., 2008)&lt;/DisplayText&gt;&lt;record&gt;&lt;rec-number&gt;65&lt;/rec-number&gt;&lt;foreign-keys&gt;&lt;key app="EN" db-id="wvawtdp99ef2viesvf35t9ebdtds0vf5srpp" timestamp="1634665316"&gt;65&lt;/key&gt;&lt;/foreign-keys&gt;&lt;ref-type name="Journal Article"&gt;17&lt;/ref-type&gt;&lt;contributors&gt;&lt;authors&gt;&lt;author&gt;Liang, Chenju&lt;/author&gt;&lt;author&gt;Huang, Chiu-Fen&lt;/author&gt;&lt;author&gt;Mohanty, Nihar&lt;/author&gt;&lt;author&gt;Kurakalva, Rama Mohan&lt;/author&gt;&lt;/authors&gt;&lt;/contributors&gt;&lt;titles&gt;&lt;title&gt;A rapid spectrophotometric determination of persulfate anion in ISCO&lt;/title&gt;&lt;secondary-title&gt;Chemosphere&lt;/secondary-title&gt;&lt;/titles&gt;&lt;periodical&gt;&lt;full-title&gt;Chemosphere&lt;/full-title&gt;&lt;/periodical&gt;&lt;pages&gt;1540-1543&lt;/pages&gt;&lt;volume&gt;73&lt;/volume&gt;&lt;number&gt;9&lt;/number&gt;&lt;dates&gt;&lt;year&gt;2008&lt;/year&gt;&lt;/dates&gt;&lt;isbn&gt;0045-6535&lt;/isbn&gt;&lt;urls&gt;&lt;/urls&gt;&lt;/record&gt;&lt;/Cite&gt;&lt;/EndNote&gt;</w:instrText>
      </w:r>
      <w:r>
        <w:rPr>
          <w:rFonts w:eastAsiaTheme="minorEastAsia"/>
        </w:rPr>
        <w:fldChar w:fldCharType="separate"/>
      </w:r>
      <w:r>
        <w:rPr>
          <w:rFonts w:eastAsiaTheme="minorEastAsia"/>
          <w:noProof/>
        </w:rPr>
        <w:t>(Liang et al., 2008)</w:t>
      </w:r>
      <w:r>
        <w:rPr>
          <w:rFonts w:eastAsiaTheme="minorEastAsia"/>
        </w:rPr>
        <w:fldChar w:fldCharType="end"/>
      </w:r>
      <w:r w:rsidR="00ED0F26">
        <w:rPr>
          <w:rFonts w:eastAsiaTheme="minorEastAsia"/>
        </w:rPr>
        <w:t>. Briefly, KI salt was dissolved in a 5 g L</w:t>
      </w:r>
      <w:r w:rsidR="00ED0F26" w:rsidRPr="00ED0F26">
        <w:rPr>
          <w:rFonts w:eastAsiaTheme="minorEastAsia"/>
          <w:vertAlign w:val="superscript"/>
        </w:rPr>
        <w:t>-1</w:t>
      </w:r>
      <w:r w:rsidR="00ED0F26" w:rsidRPr="00ED0F26">
        <w:rPr>
          <w:rFonts w:eastAsiaTheme="minorEastAsia"/>
        </w:rPr>
        <w:t xml:space="preserve"> </w:t>
      </w:r>
      <w:r w:rsidR="00ED0F26">
        <w:rPr>
          <w:rFonts w:eastAsiaTheme="minorEastAsia"/>
        </w:rPr>
        <w:t>NaHCO</w:t>
      </w:r>
      <w:r w:rsidR="00ED0F26">
        <w:rPr>
          <w:rFonts w:eastAsiaTheme="minorEastAsia"/>
          <w:sz w:val="16"/>
          <w:szCs w:val="16"/>
        </w:rPr>
        <w:t xml:space="preserve">3 </w:t>
      </w:r>
      <w:r w:rsidR="00ED0F26">
        <w:rPr>
          <w:rFonts w:eastAsiaTheme="minorEastAsia"/>
        </w:rPr>
        <w:t>solution</w:t>
      </w:r>
      <w:r>
        <w:rPr>
          <w:rFonts w:eastAsiaTheme="minorEastAsia"/>
          <w:sz w:val="16"/>
          <w:szCs w:val="16"/>
        </w:rPr>
        <w:t xml:space="preserve"> </w:t>
      </w:r>
      <w:r w:rsidR="00ED0F26">
        <w:rPr>
          <w:rFonts w:eastAsiaTheme="minorEastAsia"/>
        </w:rPr>
        <w:t>to the concentration of 100 g L</w:t>
      </w:r>
      <w:r w:rsidR="00ED0F26" w:rsidRPr="00ED0F26">
        <w:rPr>
          <w:rFonts w:eastAsiaTheme="minorEastAsia"/>
          <w:vertAlign w:val="superscript"/>
        </w:rPr>
        <w:t>-1</w:t>
      </w:r>
      <w:r w:rsidR="00ED0F26">
        <w:rPr>
          <w:rFonts w:eastAsiaTheme="minorEastAsia"/>
        </w:rPr>
        <w:t>. Samples were mixed</w:t>
      </w:r>
      <w:r w:rsidRPr="00AC506F">
        <w:rPr>
          <w:rFonts w:eastAsiaTheme="minorEastAsia"/>
        </w:rPr>
        <w:t xml:space="preserve"> </w:t>
      </w:r>
      <w:r>
        <w:rPr>
          <w:rFonts w:eastAsiaTheme="minorEastAsia"/>
        </w:rPr>
        <w:t>at a ratio of</w:t>
      </w:r>
      <w:r>
        <w:rPr>
          <w:rFonts w:eastAsiaTheme="minorEastAsia"/>
          <w:sz w:val="16"/>
          <w:szCs w:val="16"/>
        </w:rPr>
        <w:t xml:space="preserve"> </w:t>
      </w:r>
      <w:r>
        <w:rPr>
          <w:rFonts w:eastAsiaTheme="minorEastAsia"/>
        </w:rPr>
        <w:t>1:19 (</w:t>
      </w:r>
      <w:proofErr w:type="spellStart"/>
      <w:proofErr w:type="gramStart"/>
      <w:r>
        <w:rPr>
          <w:rFonts w:eastAsiaTheme="minorEastAsia"/>
        </w:rPr>
        <w:t>v:v</w:t>
      </w:r>
      <w:proofErr w:type="spellEnd"/>
      <w:proofErr w:type="gramEnd"/>
      <w:r>
        <w:rPr>
          <w:rFonts w:eastAsiaTheme="minorEastAsia"/>
        </w:rPr>
        <w:t>)</w:t>
      </w:r>
      <w:r w:rsidR="00ED0F26">
        <w:rPr>
          <w:rFonts w:eastAsiaTheme="minorEastAsia"/>
        </w:rPr>
        <w:t xml:space="preserve"> with the KI-NaHCO</w:t>
      </w:r>
      <w:r w:rsidR="00ED0F26">
        <w:rPr>
          <w:rFonts w:eastAsiaTheme="minorEastAsia"/>
          <w:sz w:val="16"/>
          <w:szCs w:val="16"/>
        </w:rPr>
        <w:t xml:space="preserve">3 </w:t>
      </w:r>
      <w:r w:rsidR="00ED0F26">
        <w:rPr>
          <w:rFonts w:eastAsiaTheme="minorEastAsia"/>
        </w:rPr>
        <w:t xml:space="preserve">solution. </w:t>
      </w:r>
      <w:r>
        <w:rPr>
          <w:rFonts w:eastAsiaTheme="minorEastAsia"/>
        </w:rPr>
        <w:t>The a</w:t>
      </w:r>
      <w:r w:rsidR="00ED0F26">
        <w:rPr>
          <w:rFonts w:eastAsiaTheme="minorEastAsia"/>
        </w:rPr>
        <w:t>bsorptivity of the solution was measured after a 20-minute holding time with a UV</w:t>
      </w:r>
      <w:r>
        <w:rPr>
          <w:rFonts w:eastAsiaTheme="minorEastAsia"/>
        </w:rPr>
        <w:t xml:space="preserve"> </w:t>
      </w:r>
      <w:r w:rsidR="00ED0F26">
        <w:rPr>
          <w:rFonts w:eastAsiaTheme="minorEastAsia"/>
        </w:rPr>
        <w:t>spectrophotometer (Fisher, Loveland, CO) at a wavelength of 352 nm.</w:t>
      </w:r>
    </w:p>
    <w:p w14:paraId="5DB6592F" w14:textId="77777777" w:rsidR="00AC506F" w:rsidRDefault="00BD3F3D" w:rsidP="00AC506F">
      <w:pPr>
        <w:spacing w:after="160"/>
        <w:rPr>
          <w:rFonts w:eastAsiaTheme="minorEastAsia"/>
          <w:b/>
          <w:bCs/>
        </w:rPr>
      </w:pPr>
      <w:r w:rsidRPr="008C3C17">
        <w:rPr>
          <w:rFonts w:eastAsiaTheme="minorEastAsia"/>
          <w:b/>
          <w:bCs/>
        </w:rPr>
        <w:t xml:space="preserve">S2 ICP analysis </w:t>
      </w:r>
    </w:p>
    <w:p w14:paraId="78CF67F9" w14:textId="3CF19F04" w:rsidR="00BD3F3D" w:rsidRPr="00AC506F" w:rsidRDefault="008945EB" w:rsidP="00AC506F">
      <w:pPr>
        <w:spacing w:after="160"/>
        <w:rPr>
          <w:rFonts w:eastAsiaTheme="minorEastAsia"/>
          <w:b/>
          <w:bCs/>
        </w:rPr>
      </w:pPr>
      <w:r>
        <w:rPr>
          <w:rFonts w:eastAsia="SimSun"/>
        </w:rPr>
        <w:t>I</w:t>
      </w:r>
      <w:r w:rsidR="00BD3F3D" w:rsidRPr="00E5549F">
        <w:rPr>
          <w:rFonts w:eastAsia="SimSun"/>
        </w:rPr>
        <w:t xml:space="preserve">nductively coupled plasma optical emission spectrometer (ICP–OES) (Spectro FES, </w:t>
      </w:r>
      <w:proofErr w:type="spellStart"/>
      <w:r w:rsidR="00BD3F3D" w:rsidRPr="00E5549F">
        <w:rPr>
          <w:rFonts w:eastAsia="SimSun"/>
        </w:rPr>
        <w:t>Boschstrasse</w:t>
      </w:r>
      <w:proofErr w:type="spellEnd"/>
      <w:r w:rsidR="00BD3F3D" w:rsidRPr="00E5549F">
        <w:rPr>
          <w:rFonts w:eastAsia="SimSun"/>
        </w:rPr>
        <w:t xml:space="preserve">, Germany) </w:t>
      </w:r>
      <w:r>
        <w:rPr>
          <w:rFonts w:eastAsia="SimSun"/>
        </w:rPr>
        <w:t>was used to determine Fe</w:t>
      </w:r>
      <w:r w:rsidRPr="00E5549F">
        <w:rPr>
          <w:rFonts w:eastAsia="SimSun"/>
        </w:rPr>
        <w:t xml:space="preserve"> composition in </w:t>
      </w:r>
      <w:r>
        <w:rPr>
          <w:rFonts w:eastAsia="SimSun"/>
        </w:rPr>
        <w:t xml:space="preserve">biochar. Before analysis, biochar was </w:t>
      </w:r>
      <w:r w:rsidR="00BD3F3D" w:rsidRPr="00E5549F">
        <w:rPr>
          <w:rFonts w:eastAsia="SimSun"/>
        </w:rPr>
        <w:t>digest</w:t>
      </w:r>
      <w:r>
        <w:rPr>
          <w:rFonts w:eastAsia="SimSun"/>
        </w:rPr>
        <w:t>ed</w:t>
      </w:r>
      <w:r w:rsidR="00BD3F3D" w:rsidRPr="00E5549F">
        <w:rPr>
          <w:rFonts w:eastAsia="SimSun"/>
        </w:rPr>
        <w:t xml:space="preserve"> with HNO</w:t>
      </w:r>
      <w:r w:rsidR="00BD3F3D" w:rsidRPr="00C27E7B">
        <w:rPr>
          <w:rFonts w:eastAsia="SimSun"/>
          <w:vertAlign w:val="subscript"/>
        </w:rPr>
        <w:t>3</w:t>
      </w:r>
      <w:r w:rsidR="00BD3F3D" w:rsidRPr="00E5549F">
        <w:rPr>
          <w:rFonts w:eastAsia="SimSun"/>
        </w:rPr>
        <w:t>/H</w:t>
      </w:r>
      <w:r w:rsidR="00BD3F3D" w:rsidRPr="00C27E7B">
        <w:rPr>
          <w:rFonts w:eastAsia="SimSun"/>
          <w:vertAlign w:val="subscript"/>
        </w:rPr>
        <w:t>2</w:t>
      </w:r>
      <w:r w:rsidR="00BD3F3D" w:rsidRPr="00E5549F">
        <w:rPr>
          <w:rFonts w:eastAsia="SimSun"/>
        </w:rPr>
        <w:t>O</w:t>
      </w:r>
      <w:r w:rsidR="00BD3F3D" w:rsidRPr="00C27E7B">
        <w:rPr>
          <w:rFonts w:eastAsia="SimSun"/>
          <w:vertAlign w:val="subscript"/>
        </w:rPr>
        <w:t>2</w:t>
      </w:r>
      <w:r w:rsidR="00BD3F3D" w:rsidRPr="00E5549F">
        <w:rPr>
          <w:rFonts w:eastAsia="SimSun"/>
        </w:rPr>
        <w:t xml:space="preserve"> hot-block digestion procedure </w:t>
      </w:r>
      <w:r w:rsidR="00BD3F3D" w:rsidRPr="008749E1">
        <w:rPr>
          <w:rFonts w:eastAsia="SimSun"/>
        </w:rPr>
        <w:fldChar w:fldCharType="begin"/>
      </w:r>
      <w:r w:rsidR="00BD3F3D" w:rsidRPr="00E5549F">
        <w:rPr>
          <w:rFonts w:eastAsia="SimSun"/>
        </w:rPr>
        <w:instrText xml:space="preserve"> ADDIN EN.CITE &lt;EndNote&gt;&lt;Cite&gt;&lt;Author&gt;USEPA&lt;/Author&gt;&lt;Year&gt;1996&lt;/Year&gt;&lt;RecNum&gt;55&lt;/RecNum&gt;&lt;DisplayText&gt;(USEPA, 1996)&lt;/DisplayText&gt;&lt;record&gt;&lt;rec-number&gt;55&lt;/rec-number&gt;&lt;foreign-keys&gt;&lt;key app="EN" db-id="wd2xrs00prv9fiedatqxsfd3w0wdtvtwez99" timestamp="1599981995"&gt;55&lt;/key&gt;&lt;/foreign-keys&gt;&lt;ref-type name="Journal Article"&gt;17&lt;/ref-type&gt;&lt;contributors&gt;&lt;authors&gt;&lt;author&gt;USEPA, EPA&lt;/author&gt;&lt;/authors&gt;&lt;/contributors&gt;&lt;titles&gt;&lt;title&gt;Method 3050B-Acid digestion of sediments, sludges and soils&lt;/title&gt;&lt;secondary-title&gt;Test methods for evaluating solid wastes: Physical/chemical methods. EPA SW</w:instrText>
      </w:r>
      <w:r w:rsidR="00BD3F3D" w:rsidRPr="00E5549F">
        <w:rPr>
          <w:rFonts w:eastAsia="SimSun" w:hint="eastAsia"/>
        </w:rPr>
        <w:instrText>‐</w:instrText>
      </w:r>
      <w:r w:rsidR="00BD3F3D" w:rsidRPr="00E5549F">
        <w:rPr>
          <w:rFonts w:eastAsia="SimSun"/>
        </w:rPr>
        <w:instrText>846&lt;/secondary-title&gt;&lt;/titles&gt;&lt;periodical&gt;&lt;full-title&gt;Test methods for evaluating solid wastes: Physical/chemical methods. EPA SW</w:instrText>
      </w:r>
      <w:r w:rsidR="00BD3F3D" w:rsidRPr="00E5549F">
        <w:rPr>
          <w:rFonts w:eastAsia="SimSun" w:hint="eastAsia"/>
        </w:rPr>
        <w:instrText>‐</w:instrText>
      </w:r>
      <w:r w:rsidR="00BD3F3D" w:rsidRPr="00E5549F">
        <w:rPr>
          <w:rFonts w:eastAsia="SimSun"/>
        </w:rPr>
        <w:instrText>846&lt;/full-title&gt;&lt;/periodical&gt;&lt;pages&gt;3050B</w:instrText>
      </w:r>
      <w:r w:rsidR="00BD3F3D" w:rsidRPr="00E5549F">
        <w:rPr>
          <w:rFonts w:eastAsia="SimSun" w:hint="eastAsia"/>
        </w:rPr>
        <w:instrText>‐</w:instrText>
      </w:r>
      <w:r w:rsidR="00BD3F3D" w:rsidRPr="00E5549F">
        <w:rPr>
          <w:rFonts w:eastAsia="SimSun"/>
        </w:rPr>
        <w:instrText>1-3050B</w:instrText>
      </w:r>
      <w:r w:rsidR="00BD3F3D" w:rsidRPr="00E5549F">
        <w:rPr>
          <w:rFonts w:eastAsia="SimSun" w:hint="eastAsia"/>
        </w:rPr>
        <w:instrText>‐</w:instrText>
      </w:r>
      <w:r w:rsidR="00BD3F3D" w:rsidRPr="00E5549F">
        <w:rPr>
          <w:rFonts w:eastAsia="SimSun"/>
        </w:rPr>
        <w:instrText>12&lt;/pages&gt;&lt;volume&gt;1&lt;/volume&gt;&lt;dates&gt;&lt;year&gt;1996&lt;/year&gt;&lt;/dates&gt;&lt;urls&gt;&lt;/urls&gt;&lt;/record&gt;&lt;/Cite&gt;&lt;/EndNote&gt;</w:instrText>
      </w:r>
      <w:r w:rsidR="00BD3F3D" w:rsidRPr="008749E1">
        <w:rPr>
          <w:rFonts w:eastAsia="SimSun"/>
        </w:rPr>
        <w:fldChar w:fldCharType="separate"/>
      </w:r>
      <w:r w:rsidR="00BD3F3D" w:rsidRPr="00E5549F">
        <w:rPr>
          <w:rFonts w:eastAsia="SimSun"/>
          <w:noProof/>
        </w:rPr>
        <w:t>(USEPA, 1996)</w:t>
      </w:r>
      <w:r w:rsidR="00BD3F3D" w:rsidRPr="008749E1">
        <w:rPr>
          <w:rFonts w:eastAsia="SimSun"/>
        </w:rPr>
        <w:fldChar w:fldCharType="end"/>
      </w:r>
      <w:r w:rsidR="00BD3F3D" w:rsidRPr="00E5549F">
        <w:rPr>
          <w:rFonts w:eastAsia="SimSun"/>
        </w:rPr>
        <w:t xml:space="preserve">. For optimal ICP operating, argon was </w:t>
      </w:r>
      <w:r w:rsidR="007A2E60">
        <w:rPr>
          <w:rFonts w:eastAsia="SimSun"/>
        </w:rPr>
        <w:t>applie</w:t>
      </w:r>
      <w:r w:rsidR="00BD3F3D" w:rsidRPr="00E5549F">
        <w:rPr>
          <w:rFonts w:eastAsia="SimSun"/>
        </w:rPr>
        <w:t>d as outer plasma, auxiliary</w:t>
      </w:r>
      <w:r w:rsidR="007A2E60">
        <w:rPr>
          <w:rFonts w:eastAsia="SimSun"/>
        </w:rPr>
        <w:t>,</w:t>
      </w:r>
      <w:r w:rsidR="00BD3F3D" w:rsidRPr="00E5549F">
        <w:rPr>
          <w:rFonts w:eastAsia="SimSun"/>
        </w:rPr>
        <w:t xml:space="preserve"> and nebulizer gas with flow rate</w:t>
      </w:r>
      <w:r w:rsidR="007A2E60">
        <w:rPr>
          <w:rFonts w:eastAsia="SimSun"/>
        </w:rPr>
        <w:t>s</w:t>
      </w:r>
      <w:r w:rsidR="00BD3F3D" w:rsidRPr="00E5549F">
        <w:rPr>
          <w:rFonts w:eastAsia="SimSun"/>
        </w:rPr>
        <w:t xml:space="preserve"> at 20, 2</w:t>
      </w:r>
      <w:r w:rsidR="007A2E60">
        <w:rPr>
          <w:rFonts w:eastAsia="SimSun"/>
        </w:rPr>
        <w:t>,</w:t>
      </w:r>
      <w:r w:rsidR="00BD3F3D" w:rsidRPr="00E5549F">
        <w:rPr>
          <w:rFonts w:eastAsia="SimSun"/>
        </w:rPr>
        <w:t xml:space="preserve"> and 1.5 L min</w:t>
      </w:r>
      <w:r w:rsidR="00BD3F3D" w:rsidRPr="00C27E7B">
        <w:rPr>
          <w:rFonts w:eastAsia="SimSun"/>
          <w:vertAlign w:val="superscript"/>
        </w:rPr>
        <w:t>-1</w:t>
      </w:r>
      <w:r w:rsidR="00BD3F3D" w:rsidRPr="00E5549F">
        <w:rPr>
          <w:rFonts w:eastAsia="SimSun"/>
        </w:rPr>
        <w:t xml:space="preserve">, respectively. </w:t>
      </w:r>
      <w:r w:rsidR="007A2E60">
        <w:rPr>
          <w:rFonts w:eastAsia="SimSun"/>
        </w:rPr>
        <w:t>The s</w:t>
      </w:r>
      <w:r w:rsidR="00BD3F3D" w:rsidRPr="00E5549F">
        <w:rPr>
          <w:rFonts w:eastAsia="SimSun"/>
        </w:rPr>
        <w:t>ample delivery rate was 1 ml min</w:t>
      </w:r>
      <w:r w:rsidR="00BD3F3D" w:rsidRPr="00C27E7B">
        <w:rPr>
          <w:rFonts w:eastAsia="SimSun"/>
          <w:vertAlign w:val="superscript"/>
        </w:rPr>
        <w:t>-</w:t>
      </w:r>
      <w:proofErr w:type="gramStart"/>
      <w:r w:rsidR="00BD3F3D" w:rsidRPr="00C27E7B">
        <w:rPr>
          <w:rFonts w:eastAsia="SimSun"/>
          <w:vertAlign w:val="superscript"/>
        </w:rPr>
        <w:t>1</w:t>
      </w:r>
      <w:r w:rsidR="00BD3F3D" w:rsidRPr="00E5549F">
        <w:rPr>
          <w:rFonts w:eastAsia="SimSun"/>
          <w:vertAlign w:val="superscript"/>
        </w:rPr>
        <w:t xml:space="preserve"> </w:t>
      </w:r>
      <w:r w:rsidR="00BD3F3D" w:rsidRPr="00E5549F">
        <w:rPr>
          <w:rFonts w:eastAsia="SimSun"/>
        </w:rPr>
        <w:t xml:space="preserve"> with</w:t>
      </w:r>
      <w:proofErr w:type="gramEnd"/>
      <w:r w:rsidR="00BD3F3D" w:rsidRPr="00E5549F">
        <w:rPr>
          <w:rFonts w:eastAsia="SimSun"/>
        </w:rPr>
        <w:t xml:space="preserve"> </w:t>
      </w:r>
      <w:r w:rsidR="007A2E60">
        <w:rPr>
          <w:rFonts w:eastAsia="SimSun"/>
        </w:rPr>
        <w:t xml:space="preserve">a </w:t>
      </w:r>
      <w:r w:rsidR="00BD3F3D" w:rsidRPr="00E5549F">
        <w:rPr>
          <w:rFonts w:eastAsia="SimSun"/>
        </w:rPr>
        <w:t xml:space="preserve">peristaltic pump. The </w:t>
      </w:r>
      <w:r w:rsidR="007A2E60">
        <w:rPr>
          <w:rFonts w:eastAsia="SimSun"/>
        </w:rPr>
        <w:t xml:space="preserve">Fe </w:t>
      </w:r>
      <w:r w:rsidR="00BD3F3D" w:rsidRPr="00E5549F">
        <w:rPr>
          <w:rFonts w:eastAsia="SimSun"/>
        </w:rPr>
        <w:t xml:space="preserve">calibration </w:t>
      </w:r>
      <w:r w:rsidR="007A2E60">
        <w:rPr>
          <w:rFonts w:eastAsia="SimSun"/>
        </w:rPr>
        <w:t xml:space="preserve">curve, </w:t>
      </w:r>
      <w:r w:rsidR="007A2E60" w:rsidRPr="00E5549F">
        <w:rPr>
          <w:rFonts w:eastAsia="SimSun"/>
        </w:rPr>
        <w:t>rang</w:t>
      </w:r>
      <w:r w:rsidR="007A2E60">
        <w:rPr>
          <w:rFonts w:eastAsia="SimSun"/>
        </w:rPr>
        <w:t>ing</w:t>
      </w:r>
      <w:r w:rsidR="007A2E60" w:rsidRPr="00E5549F">
        <w:rPr>
          <w:rFonts w:eastAsia="SimSun"/>
        </w:rPr>
        <w:t xml:space="preserve"> from 0.1 mg L</w:t>
      </w:r>
      <w:r w:rsidR="007A2E60" w:rsidRPr="00E5549F">
        <w:rPr>
          <w:rFonts w:eastAsia="SimSun"/>
          <w:vertAlign w:val="superscript"/>
        </w:rPr>
        <w:t>−1</w:t>
      </w:r>
      <w:r w:rsidR="007A2E60" w:rsidRPr="00E5549F">
        <w:rPr>
          <w:rFonts w:eastAsia="SimSun"/>
        </w:rPr>
        <w:t xml:space="preserve"> to</w:t>
      </w:r>
      <w:r w:rsidR="00A91495">
        <w:rPr>
          <w:rFonts w:eastAsia="SimSun"/>
        </w:rPr>
        <w:t xml:space="preserve"> </w:t>
      </w:r>
      <w:r w:rsidR="007A2E60" w:rsidRPr="00E5549F">
        <w:rPr>
          <w:rFonts w:eastAsia="SimSun"/>
        </w:rPr>
        <w:t>10 mg L</w:t>
      </w:r>
      <w:r w:rsidR="007A2E60" w:rsidRPr="00E5549F">
        <w:rPr>
          <w:rFonts w:eastAsia="SimSun"/>
          <w:vertAlign w:val="superscript"/>
        </w:rPr>
        <w:t>−1</w:t>
      </w:r>
      <w:r w:rsidR="007A2E60">
        <w:rPr>
          <w:rFonts w:eastAsia="SimSun"/>
        </w:rPr>
        <w:t xml:space="preserve">, was </w:t>
      </w:r>
      <w:r w:rsidR="00BD3F3D" w:rsidRPr="00E5549F">
        <w:rPr>
          <w:rFonts w:eastAsia="SimSun"/>
        </w:rPr>
        <w:t>obtained via appropriate dilution of stock solutions with 2</w:t>
      </w:r>
      <w:r w:rsidR="00A91495">
        <w:rPr>
          <w:rFonts w:eastAsia="SimSun"/>
        </w:rPr>
        <w:t xml:space="preserve"> </w:t>
      </w:r>
      <w:r w:rsidR="00BD3F3D" w:rsidRPr="00E5549F">
        <w:rPr>
          <w:rFonts w:eastAsia="SimSun"/>
        </w:rPr>
        <w:t xml:space="preserve">% nitric acid solution. </w:t>
      </w:r>
    </w:p>
    <w:p w14:paraId="47D4A82E" w14:textId="77777777" w:rsidR="00BD3F3D" w:rsidRDefault="00BD3F3D" w:rsidP="00BD3F3D">
      <w:pPr>
        <w:spacing w:after="160" w:line="259" w:lineRule="auto"/>
      </w:pPr>
      <w:r>
        <w:br w:type="page"/>
      </w:r>
    </w:p>
    <w:p w14:paraId="37EC2189" w14:textId="77777777" w:rsidR="00BD3F3D" w:rsidRDefault="00BD3F3D" w:rsidP="00BA3E5B">
      <w:pPr>
        <w:spacing w:after="160"/>
        <w:rPr>
          <w:rFonts w:eastAsiaTheme="minorEastAsia"/>
        </w:rPr>
      </w:pPr>
    </w:p>
    <w:p w14:paraId="5D7D7865" w14:textId="6802906C" w:rsidR="00BA3E5B" w:rsidRPr="006169DD" w:rsidRDefault="00BA3E5B" w:rsidP="00BA3E5B">
      <w:pPr>
        <w:pStyle w:val="TAMainText"/>
        <w:ind w:firstLine="0"/>
        <w:outlineLvl w:val="1"/>
        <w:rPr>
          <w:b/>
        </w:rPr>
      </w:pPr>
      <w:r>
        <w:rPr>
          <w:b/>
        </w:rPr>
        <w:t>S</w:t>
      </w:r>
      <w:r w:rsidR="007A2E60">
        <w:rPr>
          <w:b/>
        </w:rPr>
        <w:t>3</w:t>
      </w:r>
      <w:r>
        <w:rPr>
          <w:b/>
        </w:rPr>
        <w:t xml:space="preserve"> </w:t>
      </w:r>
      <w:r w:rsidRPr="006169DD">
        <w:rPr>
          <w:b/>
        </w:rPr>
        <w:t>Mathematical Models</w:t>
      </w:r>
    </w:p>
    <w:p w14:paraId="3180A265" w14:textId="77777777" w:rsidR="00BA3E5B" w:rsidRPr="007E1FEA" w:rsidRDefault="00BA3E5B" w:rsidP="00BA3E5B">
      <w:pPr>
        <w:autoSpaceDE w:val="0"/>
        <w:autoSpaceDN w:val="0"/>
        <w:ind w:firstLine="720"/>
      </w:pPr>
      <w:r>
        <w:t xml:space="preserve">The </w:t>
      </w:r>
      <w:r w:rsidRPr="007E1FEA">
        <w:t xml:space="preserve">pseudo-first-order </w:t>
      </w:r>
      <w:r>
        <w:t xml:space="preserve"> (eq. 1), pseudo-second-order  (eq. 2</w:t>
      </w:r>
      <w:r w:rsidRPr="007E1FEA">
        <w:t>)</w:t>
      </w:r>
      <w:r>
        <w:t xml:space="preserve">, </w:t>
      </w:r>
      <w:r w:rsidRPr="007E1FEA">
        <w:t xml:space="preserve">and </w:t>
      </w:r>
      <w:proofErr w:type="spellStart"/>
      <w:r w:rsidRPr="007E1FEA">
        <w:t>Elevich</w:t>
      </w:r>
      <w:proofErr w:type="spellEnd"/>
      <w:r w:rsidRPr="007E1FEA">
        <w:t xml:space="preserve"> model</w:t>
      </w:r>
      <w:r>
        <w:t xml:space="preserve"> (eq. 3</w:t>
      </w:r>
      <w:r w:rsidRPr="007E1FEA">
        <w:t>)</w:t>
      </w:r>
      <w:r>
        <w:t xml:space="preserve"> were applied to simulate the sorption kinetics</w:t>
      </w:r>
      <w:r w:rsidRPr="007E1FEA">
        <w:t xml:space="preserve"> </w:t>
      </w:r>
      <w:r w:rsidRPr="007E1FEA">
        <w:fldChar w:fldCharType="begin"/>
      </w:r>
      <w:r>
        <w:instrText xml:space="preserve"> ADDIN EN.CITE &lt;EndNote&gt;&lt;Cite&gt;&lt;Author&gt;Gerente&lt;/Author&gt;&lt;Year&gt;2007&lt;/Year&gt;&lt;RecNum&gt;11564&lt;/RecNum&gt;&lt;DisplayText&gt;(Gerente et al., 2007)&lt;/DisplayText&gt;&lt;record&gt;&lt;rec-number&gt;11564&lt;/rec-number&gt;&lt;foreign-keys&gt;&lt;key app="EN" db-id="ea2tp0afdspsa1epv0qx2p98rpvtezdsstzp"&gt;11564&lt;/key&gt;&lt;/foreign-keys&gt;&lt;ref-type name="Journal Article"&gt;17&lt;/ref-type&gt;&lt;contributors&gt;&lt;authors&gt;&lt;author&gt;Gerente, C.&lt;/author&gt;&lt;author&gt;Lee, V. K. C.&lt;/author&gt;&lt;author&gt;Cloirec, P. Le&lt;/author&gt;&lt;author&gt;McKay, G.&lt;/author&gt;&lt;/authors&gt;&lt;/contributors&gt;&lt;titles&gt;&lt;title&gt;Application of Chitosan for the Removal of Metals From Wastewaters by Adsorption—Mechanisms and Models Review&lt;/title&gt;&lt;secondary-title&gt;Critical Reviews in Environmental Science and Technology&lt;/secondary-title&gt;&lt;/titles&gt;&lt;periodical&gt;&lt;full-title&gt;Critical Reviews In Environmental Science And Technology&lt;/full-title&gt;&lt;abbr-1&gt;Crit Rev Env Sci Tec&lt;/abbr-1&gt;&lt;abbr-2&gt;Crit. Rev. Env. Sci. Tec&lt;/abbr-2&gt;&lt;/periodical&gt;&lt;pages&gt;41-127&lt;/pages&gt;&lt;volume&gt;37&lt;/volume&gt;&lt;number&gt;1&lt;/number&gt;&lt;dates&gt;&lt;year&gt;2007&lt;/year&gt;&lt;pub-dates&gt;&lt;date&gt;2007/01/01&lt;/date&gt;&lt;/pub-dates&gt;&lt;/dates&gt;&lt;publisher&gt;Taylor &amp;amp; Francis&lt;/publisher&gt;&lt;isbn&gt;1064-3389&lt;/isbn&gt;&lt;urls&gt;&lt;related-urls&gt;&lt;url&gt;http://dx.doi.org/10.1080/10643380600729089&lt;/url&gt;&lt;/related-urls&gt;&lt;/urls&gt;&lt;electronic-resource-num&gt;10.1080/10643380600729089&lt;/electronic-resource-num&gt;&lt;access-date&gt;2013/12/19&lt;/access-date&gt;&lt;/record&gt;&lt;/Cite&gt;&lt;/EndNote&gt;</w:instrText>
      </w:r>
      <w:r w:rsidRPr="007E1FEA">
        <w:fldChar w:fldCharType="separate"/>
      </w:r>
      <w:r>
        <w:rPr>
          <w:noProof/>
        </w:rPr>
        <w:t>(Gerente et al., 2007)</w:t>
      </w:r>
      <w:r w:rsidRPr="007E1FEA">
        <w:fldChar w:fldCharType="end"/>
      </w:r>
      <w:r>
        <w:t>:</w:t>
      </w:r>
      <w:r w:rsidRPr="007E1FEA">
        <w:t xml:space="preserve"> </w:t>
      </w:r>
    </w:p>
    <w:p w14:paraId="2EE2BF27" w14:textId="77777777" w:rsidR="00BA3E5B" w:rsidRPr="007E1FEA" w:rsidRDefault="0076431C" w:rsidP="00BA3E5B">
      <w:pPr>
        <w:autoSpaceDE w:val="0"/>
        <w:autoSpaceDN w:val="0"/>
        <w:ind w:firstLine="720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)</m:t>
        </m:r>
      </m:oMath>
      <w:r w:rsidR="00BA3E5B">
        <w:t xml:space="preserve"> </w:t>
      </w:r>
      <w:r w:rsidR="00BA3E5B">
        <w:tab/>
      </w:r>
      <w:r w:rsidR="00BA3E5B">
        <w:tab/>
      </w:r>
      <w:r w:rsidR="00BA3E5B">
        <w:tab/>
      </w:r>
      <w:r w:rsidR="00BA3E5B">
        <w:tab/>
        <w:t>(1</w:t>
      </w:r>
      <w:r w:rsidR="00BA3E5B" w:rsidRPr="007E1FEA">
        <w:t>)</w:t>
      </w:r>
    </w:p>
    <w:p w14:paraId="4BCC196D" w14:textId="77777777" w:rsidR="00BA3E5B" w:rsidRPr="007E1FEA" w:rsidRDefault="0076431C" w:rsidP="00BA3E5B">
      <w:pPr>
        <w:autoSpaceDE w:val="0"/>
        <w:autoSpaceDN w:val="0"/>
        <w:ind w:firstLine="720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BA3E5B">
        <w:t xml:space="preserve"> </w:t>
      </w:r>
      <w:r w:rsidR="00BA3E5B">
        <w:tab/>
      </w:r>
      <w:r w:rsidR="00BA3E5B">
        <w:tab/>
      </w:r>
      <w:r w:rsidR="00BA3E5B">
        <w:tab/>
      </w:r>
      <w:r w:rsidR="00BA3E5B">
        <w:tab/>
        <w:t>(2</w:t>
      </w:r>
      <w:r w:rsidR="00BA3E5B" w:rsidRPr="007E1FEA">
        <w:t xml:space="preserve">)             </w:t>
      </w:r>
    </w:p>
    <w:p w14:paraId="6FF857C4" w14:textId="77777777" w:rsidR="00BA3E5B" w:rsidRPr="007E1FEA" w:rsidRDefault="0076431C" w:rsidP="00BA3E5B">
      <w:pPr>
        <w:autoSpaceDE w:val="0"/>
        <w:autoSpaceDN w:val="0"/>
        <w:ind w:firstLine="720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 xml:space="preserve">=α </m:t>
        </m:r>
        <m:r>
          <m:rPr>
            <m:sty m:val="p"/>
          </m:rPr>
          <w:rPr>
            <w:rFonts w:ascii="Cambria Math" w:hAnsi="Cambria Math"/>
          </w:rPr>
          <m:t>exp</m:t>
        </m:r>
        <m:r>
          <w:rPr>
            <w:rFonts w:ascii="Cambria Math" w:hAnsi="Cambria Math"/>
          </w:rPr>
          <m:t>(-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βq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w:rPr>
            <w:rFonts w:ascii="Cambria Math" w:hAnsi="Cambria Math"/>
          </w:rPr>
          <m:t>)</m:t>
        </m:r>
      </m:oMath>
      <w:r w:rsidR="00BA3E5B">
        <w:t xml:space="preserve"> </w:t>
      </w:r>
      <w:r w:rsidR="00BA3E5B">
        <w:tab/>
      </w:r>
      <w:r w:rsidR="00BA3E5B">
        <w:tab/>
      </w:r>
      <w:r w:rsidR="00BA3E5B">
        <w:tab/>
      </w:r>
      <w:r w:rsidR="00BA3E5B">
        <w:tab/>
        <w:t>(3</w:t>
      </w:r>
      <w:r w:rsidR="00BA3E5B" w:rsidRPr="007E1FEA">
        <w:t>)</w:t>
      </w:r>
    </w:p>
    <w:p w14:paraId="254BECFF" w14:textId="7497B159" w:rsidR="00C6656E" w:rsidRDefault="00BA3E5B" w:rsidP="00BA3E5B">
      <w:pPr>
        <w:autoSpaceDE w:val="0"/>
        <w:autoSpaceDN w:val="0"/>
        <w:ind w:firstLine="720"/>
      </w:pPr>
      <w:r w:rsidRPr="007E1FEA">
        <w:t>Where q</w:t>
      </w:r>
      <w:r w:rsidRPr="007E1FEA">
        <w:rPr>
          <w:vertAlign w:val="subscript"/>
        </w:rPr>
        <w:t>t</w:t>
      </w:r>
      <w:r w:rsidRPr="007E1FEA">
        <w:t xml:space="preserve"> and </w:t>
      </w:r>
      <w:proofErr w:type="spellStart"/>
      <w:r w:rsidRPr="007E1FEA">
        <w:t>q</w:t>
      </w:r>
      <w:r w:rsidRPr="007E1FEA">
        <w:rPr>
          <w:vertAlign w:val="subscript"/>
        </w:rPr>
        <w:t>e</w:t>
      </w:r>
      <w:proofErr w:type="spellEnd"/>
      <w:r w:rsidRPr="007E1FEA">
        <w:t xml:space="preserve"> are the amount of </w:t>
      </w:r>
      <w:r>
        <w:t>antibiotics</w:t>
      </w:r>
      <w:r w:rsidRPr="007E1FEA">
        <w:t xml:space="preserve"> adsorbed </w:t>
      </w:r>
      <w:r w:rsidR="002E119C">
        <w:t xml:space="preserve">by biochar </w:t>
      </w:r>
      <w:r w:rsidRPr="007E1FEA">
        <w:t>at time t and at equilibrium, respectively (mg g</w:t>
      </w:r>
      <w:r w:rsidRPr="007E1FEA">
        <w:rPr>
          <w:vertAlign w:val="superscript"/>
        </w:rPr>
        <w:t>−1</w:t>
      </w:r>
      <w:r w:rsidRPr="007E1FEA">
        <w:t>), and k</w:t>
      </w:r>
      <w:r w:rsidRPr="007E1FEA">
        <w:rPr>
          <w:vertAlign w:val="subscript"/>
        </w:rPr>
        <w:t>1</w:t>
      </w:r>
      <w:r w:rsidRPr="007E1FEA">
        <w:t xml:space="preserve"> (h</w:t>
      </w:r>
      <w:r w:rsidRPr="007E1FEA">
        <w:rPr>
          <w:vertAlign w:val="superscript"/>
        </w:rPr>
        <w:t>−1</w:t>
      </w:r>
      <w:r w:rsidRPr="007E1FEA">
        <w:t>)</w:t>
      </w:r>
      <w:r>
        <w:t xml:space="preserve"> </w:t>
      </w:r>
      <w:r w:rsidRPr="007E1FEA">
        <w:t>and k</w:t>
      </w:r>
      <w:r w:rsidRPr="007E1FEA">
        <w:rPr>
          <w:vertAlign w:val="subscript"/>
        </w:rPr>
        <w:t>2</w:t>
      </w:r>
      <w:r w:rsidRPr="007E1FEA">
        <w:t xml:space="preserve"> (g mg</w:t>
      </w:r>
      <w:r w:rsidRPr="007E1FEA">
        <w:rPr>
          <w:vertAlign w:val="superscript"/>
        </w:rPr>
        <w:t>−1</w:t>
      </w:r>
      <w:r w:rsidRPr="007E1FEA">
        <w:t xml:space="preserve"> h</w:t>
      </w:r>
      <w:r w:rsidRPr="007E1FEA">
        <w:rPr>
          <w:vertAlign w:val="superscript"/>
        </w:rPr>
        <w:t>−1</w:t>
      </w:r>
      <w:r w:rsidRPr="007E1FEA">
        <w:t>) are the first-order, second-order apparent adsorption rate constants, α is the initial adsorption rate (mg g</w:t>
      </w:r>
      <w:r w:rsidRPr="007E1FEA">
        <w:rPr>
          <w:vertAlign w:val="superscript"/>
        </w:rPr>
        <w:t>−1</w:t>
      </w:r>
      <w:r w:rsidRPr="007E1FEA">
        <w:t>)</w:t>
      </w:r>
      <w:r w:rsidR="002E119C">
        <w:t>,</w:t>
      </w:r>
      <w:r w:rsidRPr="007E1FEA">
        <w:t xml:space="preserve"> and β is the desorption constant (g mg</w:t>
      </w:r>
      <w:r w:rsidRPr="007E1FEA">
        <w:rPr>
          <w:vertAlign w:val="superscript"/>
        </w:rPr>
        <w:t>−1</w:t>
      </w:r>
      <w:r w:rsidRPr="007E1FEA">
        <w:t xml:space="preserve">). </w:t>
      </w:r>
      <w:bookmarkStart w:id="4" w:name="_Hlk84246551"/>
      <w:bookmarkStart w:id="5" w:name="_Hlk84246656"/>
      <w:r w:rsidRPr="007E1FEA">
        <w:t xml:space="preserve">The first-order based on </w:t>
      </w:r>
      <w:r>
        <w:t>rate</w:t>
      </w:r>
      <w:r w:rsidR="002E119C">
        <w:t>-</w:t>
      </w:r>
      <w:r>
        <w:t xml:space="preserve">limited sorption </w:t>
      </w:r>
      <w:r w:rsidRPr="007E1FEA">
        <w:t>model to describe the sorption kinetics</w:t>
      </w:r>
      <w:r>
        <w:t xml:space="preserve"> </w:t>
      </w:r>
      <w:bookmarkEnd w:id="4"/>
      <w:r>
        <w:t>in consider</w:t>
      </w:r>
      <w:r w:rsidR="002E119C">
        <w:t>ing</w:t>
      </w:r>
      <w:r>
        <w:t xml:space="preserve"> </w:t>
      </w:r>
      <w:r w:rsidRPr="007E1FEA">
        <w:t xml:space="preserve">the </w:t>
      </w:r>
      <w:r>
        <w:t>maximum</w:t>
      </w:r>
      <w:r w:rsidRPr="007E1FEA">
        <w:t xml:space="preserve"> sorbent capacity</w:t>
      </w:r>
      <w:r>
        <w:t>;</w:t>
      </w:r>
      <w:r w:rsidRPr="007E1FEA">
        <w:t xml:space="preserve"> </w:t>
      </w:r>
      <w:r>
        <w:t>t</w:t>
      </w:r>
      <w:r w:rsidRPr="005565DD">
        <w:t xml:space="preserve">he </w:t>
      </w:r>
      <w:r>
        <w:t>second</w:t>
      </w:r>
      <w:r w:rsidRPr="005565DD">
        <w:t>-order describe the sorption kinetics</w:t>
      </w:r>
      <w:r>
        <w:t xml:space="preserve"> with chemosorption</w:t>
      </w:r>
      <w:r w:rsidR="002E119C">
        <w:t>,</w:t>
      </w:r>
      <w:r w:rsidRPr="005565DD">
        <w:t xml:space="preserve"> </w:t>
      </w:r>
      <w:r w:rsidRPr="007E1FEA">
        <w:t xml:space="preserve">while the Elovich model is an empirical equation emphasis on </w:t>
      </w:r>
      <w:r w:rsidR="002E119C">
        <w:t xml:space="preserve">the </w:t>
      </w:r>
      <w:r w:rsidRPr="005565DD">
        <w:t>heterogeneity of the sorption sites</w:t>
      </w:r>
      <w:bookmarkEnd w:id="5"/>
      <w:r w:rsidRPr="005565DD">
        <w:t xml:space="preserve"> </w:t>
      </w:r>
      <w:r>
        <w:fldChar w:fldCharType="begin"/>
      </w:r>
      <w:r>
        <w:instrText xml:space="preserve"> ADDIN EN.CITE &lt;EndNote&gt;&lt;Cite&gt;&lt;Author&gt;Chen&lt;/Author&gt;&lt;Year&gt;2015&lt;/Year&gt;&lt;RecNum&gt;63&lt;/RecNum&gt;&lt;DisplayText&gt;(Chen et al., 2015; Wu et al., 2009)&lt;/DisplayText&gt;&lt;record&gt;&lt;rec-number&gt;63&lt;/rec-number&gt;&lt;foreign-keys&gt;&lt;key app="EN" db-id="wvawtdp99ef2viesvf35t9ebdtds0vf5srpp" timestamp="1633371691"&gt;63&lt;/key&gt;&lt;/foreign-keys&gt;&lt;ref-type name="Journal Article"&gt;17&lt;/ref-type&gt;&lt;contributors&gt;&lt;authors&gt;&lt;author&gt;Chen, Hao&lt;/author&gt;&lt;author&gt;Gao, Bin&lt;/author&gt;&lt;author&gt;Li, Hui&lt;/author&gt;&lt;/authors&gt;&lt;/contributors&gt;&lt;titles&gt;&lt;title&gt;Removal of sulfamethoxazole and ciprofloxacin from aqueous solutions by graphene oxide&lt;/title&gt;&lt;secondary-title&gt;Journal of hazardous materials&lt;/secondary-title&gt;&lt;/titles&gt;&lt;periodical&gt;&lt;full-title&gt;Journal of Hazardous Materials&lt;/full-title&gt;&lt;/periodical&gt;&lt;pages&gt;201-207&lt;/pages&gt;&lt;volume&gt;282&lt;/volume&gt;&lt;dates&gt;&lt;year&gt;2015&lt;/year&gt;&lt;/dates&gt;&lt;isbn&gt;0304-3894&lt;/isbn&gt;&lt;urls&gt;&lt;/urls&gt;&lt;/record&gt;&lt;/Cite&gt;&lt;Cite&gt;&lt;Author&gt;Wu&lt;/Author&gt;&lt;Year&gt;2009&lt;/Year&gt;&lt;RecNum&gt;46&lt;/RecNum&gt;&lt;record&gt;&lt;rec-number&gt;46&lt;/rec-number&gt;&lt;foreign-keys&gt;&lt;key app="EN" db-id="wvawtdp99ef2viesvf35t9ebdtds0vf5srpp" timestamp="1632884114"&gt;46&lt;/key&gt;&lt;/foreign-keys&gt;&lt;ref-type name="Journal Article"&gt;17&lt;/ref-type&gt;&lt;contributors&gt;&lt;authors&gt;&lt;author&gt;Wu, Feng-Chin&lt;/author&gt;&lt;author&gt;Tseng, Ru-Ling&lt;/author&gt;&lt;author&gt;Juang, Ruey-Shin&lt;/author&gt;&lt;/authors&gt;&lt;/contributors&gt;&lt;titles&gt;&lt;title&gt;Characteristics of Elovich equation used for the analysis of adsorption kinetics in dye-chitosan systems&lt;/title&gt;&lt;secondary-title&gt;Chemical Engineering Journal&lt;/secondary-title&gt;&lt;/titles&gt;&lt;periodical&gt;&lt;full-title&gt;Chemical Engineering Journal&lt;/full-title&gt;&lt;/periodical&gt;&lt;pages&gt;366-373&lt;/pages&gt;&lt;volume&gt;150&lt;/volume&gt;&lt;number&gt;2-3&lt;/number&gt;&lt;dates&gt;&lt;year&gt;2009&lt;/year&gt;&lt;/dates&gt;&lt;isbn&gt;1385-8947&lt;/isbn&gt;&lt;urls&gt;&lt;/urls&gt;&lt;/record&gt;&lt;/Cite&gt;&lt;/EndNote&gt;</w:instrText>
      </w:r>
      <w:r>
        <w:fldChar w:fldCharType="separate"/>
      </w:r>
      <w:r>
        <w:rPr>
          <w:noProof/>
        </w:rPr>
        <w:t>(Chen et al., 2015; Wu et al., 2009)</w:t>
      </w:r>
      <w:r>
        <w:fldChar w:fldCharType="end"/>
      </w:r>
      <w:r w:rsidRPr="007E1FEA">
        <w:t>.</w:t>
      </w:r>
    </w:p>
    <w:p w14:paraId="1D9DFAAC" w14:textId="77777777" w:rsidR="00E039E4" w:rsidRDefault="00E039E4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0EB5454F" w14:textId="478A3EF4" w:rsidR="00C6656E" w:rsidRDefault="00C6656E" w:rsidP="00C6656E">
      <w:pPr>
        <w:autoSpaceDE w:val="0"/>
        <w:autoSpaceDN w:val="0"/>
      </w:pPr>
      <w:r w:rsidRPr="00BD2811">
        <w:rPr>
          <w:b/>
          <w:bCs/>
        </w:rPr>
        <w:lastRenderedPageBreak/>
        <w:t>Table</w:t>
      </w:r>
      <w:r w:rsidR="00BD2811" w:rsidRPr="00BD2811">
        <w:rPr>
          <w:b/>
          <w:bCs/>
        </w:rPr>
        <w:t xml:space="preserve"> S</w:t>
      </w:r>
      <w:r w:rsidRPr="00BD2811">
        <w:rPr>
          <w:b/>
          <w:bCs/>
        </w:rPr>
        <w:t>1.</w:t>
      </w:r>
      <w:r>
        <w:t xml:space="preserve"> Persulfate activation (mmol) with pristine Hematite and Goethite before and after pyrolysis.</w:t>
      </w:r>
    </w:p>
    <w:tbl>
      <w:tblPr>
        <w:tblStyle w:val="TableGrid"/>
        <w:tblW w:w="58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918"/>
        <w:gridCol w:w="1782"/>
      </w:tblGrid>
      <w:tr w:rsidR="00C6656E" w:rsidRPr="004B281A" w14:paraId="70D03FFA" w14:textId="77777777" w:rsidTr="00C6656E">
        <w:trPr>
          <w:trHeight w:val="290"/>
        </w:trPr>
        <w:tc>
          <w:tcPr>
            <w:tcW w:w="2160" w:type="dxa"/>
            <w:tcBorders>
              <w:top w:val="single" w:sz="12" w:space="0" w:color="auto"/>
            </w:tcBorders>
            <w:noWrap/>
            <w:hideMark/>
          </w:tcPr>
          <w:p w14:paraId="3F7DC3DB" w14:textId="77777777" w:rsidR="00C6656E" w:rsidRPr="004B281A" w:rsidRDefault="00C6656E" w:rsidP="00C6656E">
            <w:pPr>
              <w:spacing w:after="160" w:line="240" w:lineRule="auto"/>
              <w:rPr>
                <w:b/>
              </w:rPr>
            </w:pPr>
          </w:p>
        </w:tc>
        <w:tc>
          <w:tcPr>
            <w:tcW w:w="3700" w:type="dxa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6CF7BE1" w14:textId="4012341C" w:rsidR="00C6656E" w:rsidRPr="004B281A" w:rsidRDefault="00C6656E" w:rsidP="00C6656E">
            <w:pPr>
              <w:spacing w:after="160" w:line="240" w:lineRule="auto"/>
              <w:rPr>
                <w:b/>
              </w:rPr>
            </w:pPr>
            <w:r w:rsidRPr="004B281A">
              <w:rPr>
                <w:b/>
              </w:rPr>
              <w:t xml:space="preserve">PS activation </w:t>
            </w:r>
            <w:r>
              <w:rPr>
                <w:b/>
              </w:rPr>
              <w:t>(mmol)</w:t>
            </w:r>
          </w:p>
        </w:tc>
      </w:tr>
      <w:tr w:rsidR="00C6656E" w:rsidRPr="004B281A" w14:paraId="685ABABD" w14:textId="77777777" w:rsidTr="00C6656E">
        <w:trPr>
          <w:trHeight w:val="29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0033407A" w14:textId="77777777" w:rsidR="00C6656E" w:rsidRPr="004B281A" w:rsidRDefault="00C6656E" w:rsidP="00C6656E">
            <w:pPr>
              <w:spacing w:after="160" w:line="240" w:lineRule="auto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93D361A" w14:textId="77777777" w:rsidR="00C6656E" w:rsidRPr="004B281A" w:rsidRDefault="00C6656E" w:rsidP="00C6656E">
            <w:pPr>
              <w:spacing w:after="160" w:line="240" w:lineRule="auto"/>
              <w:rPr>
                <w:b/>
              </w:rPr>
            </w:pPr>
            <w:r w:rsidRPr="004B281A">
              <w:rPr>
                <w:b/>
              </w:rPr>
              <w:t>Before pyrolysis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noWrap/>
            <w:hideMark/>
          </w:tcPr>
          <w:p w14:paraId="4C515C9C" w14:textId="77777777" w:rsidR="00C6656E" w:rsidRPr="004B281A" w:rsidRDefault="00C6656E" w:rsidP="00C6656E">
            <w:pPr>
              <w:spacing w:after="160" w:line="240" w:lineRule="auto"/>
              <w:rPr>
                <w:b/>
              </w:rPr>
            </w:pPr>
            <w:r w:rsidRPr="004B281A">
              <w:rPr>
                <w:b/>
              </w:rPr>
              <w:t>After pyrolysis</w:t>
            </w:r>
          </w:p>
        </w:tc>
      </w:tr>
      <w:tr w:rsidR="00C6656E" w:rsidRPr="004B281A" w14:paraId="22DAFA26" w14:textId="77777777" w:rsidTr="00C6656E">
        <w:trPr>
          <w:trHeight w:val="290"/>
        </w:trPr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7BBADE57" w14:textId="77777777" w:rsidR="00C6656E" w:rsidRPr="004B281A" w:rsidRDefault="00C6656E" w:rsidP="00C6656E">
            <w:pPr>
              <w:spacing w:after="160" w:line="240" w:lineRule="auto"/>
              <w:rPr>
                <w:b/>
              </w:rPr>
            </w:pPr>
            <w:r w:rsidRPr="004B281A">
              <w:rPr>
                <w:b/>
              </w:rPr>
              <w:t xml:space="preserve">Hematite 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4AF0AF35" w14:textId="77777777" w:rsidR="00C6656E" w:rsidRPr="00E9417C" w:rsidRDefault="00C6656E" w:rsidP="00C6656E">
            <w:pPr>
              <w:spacing w:after="160" w:line="240" w:lineRule="auto"/>
              <w:rPr>
                <w:bCs/>
              </w:rPr>
            </w:pPr>
            <w:r w:rsidRPr="00E9417C">
              <w:rPr>
                <w:bCs/>
              </w:rPr>
              <w:t>0.490±0.001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hideMark/>
          </w:tcPr>
          <w:p w14:paraId="0E7E6AFC" w14:textId="77777777" w:rsidR="00C6656E" w:rsidRPr="00E9417C" w:rsidRDefault="00C6656E" w:rsidP="00C6656E">
            <w:pPr>
              <w:spacing w:after="160" w:line="240" w:lineRule="auto"/>
              <w:rPr>
                <w:bCs/>
              </w:rPr>
            </w:pPr>
            <w:r w:rsidRPr="00E9417C">
              <w:rPr>
                <w:bCs/>
              </w:rPr>
              <w:t>0.485±0.001</w:t>
            </w:r>
          </w:p>
        </w:tc>
      </w:tr>
      <w:tr w:rsidR="00C6656E" w:rsidRPr="004B281A" w14:paraId="4677A522" w14:textId="77777777" w:rsidTr="00C6656E">
        <w:trPr>
          <w:trHeight w:val="290"/>
        </w:trPr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45BB4AE9" w14:textId="77777777" w:rsidR="00C6656E" w:rsidRPr="004B281A" w:rsidRDefault="00C6656E" w:rsidP="00C6656E">
            <w:pPr>
              <w:spacing w:after="160" w:line="240" w:lineRule="auto"/>
              <w:rPr>
                <w:b/>
              </w:rPr>
            </w:pPr>
            <w:r w:rsidRPr="004B281A">
              <w:rPr>
                <w:b/>
              </w:rPr>
              <w:t xml:space="preserve">Goethite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3D35B4F2" w14:textId="77777777" w:rsidR="00C6656E" w:rsidRPr="00E9417C" w:rsidRDefault="00C6656E" w:rsidP="00C6656E">
            <w:pPr>
              <w:spacing w:after="160" w:line="240" w:lineRule="auto"/>
              <w:rPr>
                <w:bCs/>
              </w:rPr>
            </w:pPr>
            <w:r w:rsidRPr="00E9417C">
              <w:rPr>
                <w:bCs/>
              </w:rPr>
              <w:t>0.488±0.001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noWrap/>
            <w:hideMark/>
          </w:tcPr>
          <w:p w14:paraId="506B7BC2" w14:textId="77777777" w:rsidR="00C6656E" w:rsidRPr="00E9417C" w:rsidRDefault="00C6656E" w:rsidP="00C6656E">
            <w:pPr>
              <w:spacing w:after="160" w:line="240" w:lineRule="auto"/>
              <w:rPr>
                <w:bCs/>
              </w:rPr>
            </w:pPr>
            <w:r w:rsidRPr="00E9417C">
              <w:rPr>
                <w:bCs/>
              </w:rPr>
              <w:t>0.484±0.002</w:t>
            </w:r>
          </w:p>
        </w:tc>
      </w:tr>
    </w:tbl>
    <w:p w14:paraId="46E20720" w14:textId="752BA005" w:rsidR="00BA3E5B" w:rsidRPr="00C6656E" w:rsidRDefault="00C6656E" w:rsidP="00ED0F26">
      <w:pPr>
        <w:spacing w:after="160" w:line="259" w:lineRule="auto"/>
      </w:pPr>
      <w:r>
        <w:br w:type="page"/>
      </w:r>
    </w:p>
    <w:p w14:paraId="32503675" w14:textId="1DA531D2" w:rsidR="00ED0F26" w:rsidRDefault="00F503DB" w:rsidP="00ED0F26">
      <w:pPr>
        <w:spacing w:after="160" w:line="259" w:lineRule="auto"/>
        <w:rPr>
          <w:b/>
        </w:rPr>
      </w:pPr>
      <w:r>
        <w:rPr>
          <w:noProof/>
        </w:rPr>
        <w:lastRenderedPageBreak/>
        <w:drawing>
          <wp:inline distT="0" distB="0" distL="0" distR="0" wp14:anchorId="2F8806DB" wp14:editId="6C733AED">
            <wp:extent cx="2609516" cy="2893595"/>
            <wp:effectExtent l="0" t="0" r="0" b="254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052260E" w14:textId="53093DED" w:rsidR="004B281A" w:rsidRDefault="00ED0F26" w:rsidP="00ED0F26">
      <w:pPr>
        <w:spacing w:after="160" w:line="259" w:lineRule="auto"/>
        <w:rPr>
          <w:bCs/>
        </w:rPr>
      </w:pPr>
      <w:r>
        <w:rPr>
          <w:b/>
        </w:rPr>
        <w:t>Figure S1</w:t>
      </w:r>
      <w:r w:rsidR="000405F1">
        <w:rPr>
          <w:b/>
        </w:rPr>
        <w:t xml:space="preserve"> </w:t>
      </w:r>
      <w:r w:rsidR="000405F1" w:rsidRPr="000405F1">
        <w:rPr>
          <w:bCs/>
        </w:rPr>
        <w:t xml:space="preserve">Normalized </w:t>
      </w:r>
      <w:r w:rsidR="000405F1">
        <w:rPr>
          <w:bCs/>
        </w:rPr>
        <w:t xml:space="preserve">persulfate </w:t>
      </w:r>
      <w:r w:rsidR="000405F1" w:rsidRPr="000405F1">
        <w:rPr>
          <w:bCs/>
        </w:rPr>
        <w:t xml:space="preserve">concentration versus time trend of sulfamethoxazole (SMX) (initially </w:t>
      </w:r>
      <w:r w:rsidR="00997FD5">
        <w:rPr>
          <w:bCs/>
        </w:rPr>
        <w:t>10</w:t>
      </w:r>
      <w:r w:rsidR="000405F1" w:rsidRPr="000405F1">
        <w:rPr>
          <w:bCs/>
        </w:rPr>
        <w:t xml:space="preserve"> mg L</w:t>
      </w:r>
      <w:r w:rsidR="000405F1" w:rsidRPr="007445F9">
        <w:rPr>
          <w:bCs/>
          <w:vertAlign w:val="superscript"/>
        </w:rPr>
        <w:t>-1</w:t>
      </w:r>
      <w:r w:rsidR="000405F1" w:rsidRPr="000405F1">
        <w:rPr>
          <w:bCs/>
        </w:rPr>
        <w:t xml:space="preserve">) </w:t>
      </w:r>
      <w:r w:rsidR="00525F8A">
        <w:rPr>
          <w:bCs/>
        </w:rPr>
        <w:t xml:space="preserve">and persulfate </w:t>
      </w:r>
      <w:r w:rsidR="004D600E">
        <w:rPr>
          <w:bCs/>
        </w:rPr>
        <w:t>(</w:t>
      </w:r>
      <w:r w:rsidR="004D600E" w:rsidRPr="004D600E">
        <w:rPr>
          <w:bCs/>
        </w:rPr>
        <w:t xml:space="preserve">initially </w:t>
      </w:r>
      <w:r w:rsidR="004D600E">
        <w:rPr>
          <w:bCs/>
        </w:rPr>
        <w:t>0.</w:t>
      </w:r>
      <w:r w:rsidR="00525F8A">
        <w:rPr>
          <w:bCs/>
        </w:rPr>
        <w:t>5</w:t>
      </w:r>
      <w:r w:rsidR="00997FD5">
        <w:rPr>
          <w:bCs/>
        </w:rPr>
        <w:t xml:space="preserve"> </w:t>
      </w:r>
      <w:r w:rsidR="00525F8A">
        <w:rPr>
          <w:bCs/>
        </w:rPr>
        <w:t>mmol</w:t>
      </w:r>
      <w:r w:rsidR="004D600E">
        <w:rPr>
          <w:bCs/>
        </w:rPr>
        <w:t>)</w:t>
      </w:r>
      <w:r w:rsidR="00525F8A">
        <w:rPr>
          <w:bCs/>
        </w:rPr>
        <w:t xml:space="preserve"> </w:t>
      </w:r>
      <w:r w:rsidR="000405F1" w:rsidRPr="000405F1">
        <w:rPr>
          <w:bCs/>
        </w:rPr>
        <w:t>with PB, HPB and GPB suspensions (initial pH 6) as</w:t>
      </w:r>
      <w:r w:rsidR="000405F1">
        <w:rPr>
          <w:bCs/>
        </w:rPr>
        <w:t xml:space="preserve"> persulfate activation kinetics</w:t>
      </w:r>
      <w:r w:rsidR="000405F1" w:rsidRPr="000405F1">
        <w:rPr>
          <w:bCs/>
        </w:rPr>
        <w:t>. All biochar were 1 g L</w:t>
      </w:r>
      <w:r w:rsidR="000405F1" w:rsidRPr="000405F1">
        <w:rPr>
          <w:bCs/>
          <w:vertAlign w:val="superscript"/>
        </w:rPr>
        <w:t>-1</w:t>
      </w:r>
      <w:r w:rsidR="009718CB">
        <w:rPr>
          <w:bCs/>
        </w:rPr>
        <w:t>.</w:t>
      </w:r>
    </w:p>
    <w:p w14:paraId="43F9FBF5" w14:textId="2C95187A" w:rsidR="00ED0F26" w:rsidRDefault="004B281A" w:rsidP="00ED0F26">
      <w:pPr>
        <w:spacing w:after="160" w:line="259" w:lineRule="auto"/>
        <w:rPr>
          <w:b/>
        </w:rPr>
      </w:pPr>
      <w:r w:rsidRPr="004B281A">
        <w:rPr>
          <w:b/>
        </w:rPr>
        <w:t xml:space="preserve"> </w:t>
      </w:r>
      <w:r w:rsidR="00ED0F26">
        <w:rPr>
          <w:b/>
        </w:rPr>
        <w:br w:type="page"/>
      </w:r>
    </w:p>
    <w:p w14:paraId="45A1A748" w14:textId="49BF5EB9" w:rsidR="00175CC9" w:rsidRDefault="00175CC9" w:rsidP="005565DD">
      <w:pPr>
        <w:autoSpaceDE w:val="0"/>
        <w:autoSpaceDN w:val="0"/>
        <w:ind w:firstLine="720"/>
      </w:pPr>
      <w:r>
        <w:rPr>
          <w:noProof/>
        </w:rPr>
        <w:lastRenderedPageBreak/>
        <w:drawing>
          <wp:inline distT="0" distB="0" distL="0" distR="0" wp14:anchorId="39C01A42" wp14:editId="3AC84063">
            <wp:extent cx="3193716" cy="3162969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6876CA" w14:textId="4E38ED00" w:rsidR="00175CC9" w:rsidRDefault="00175CC9" w:rsidP="005565DD">
      <w:pPr>
        <w:autoSpaceDE w:val="0"/>
        <w:autoSpaceDN w:val="0"/>
        <w:ind w:firstLine="720"/>
      </w:pPr>
      <w:r>
        <w:rPr>
          <w:noProof/>
        </w:rPr>
        <w:drawing>
          <wp:inline distT="0" distB="0" distL="0" distR="0" wp14:anchorId="59D51CCF" wp14:editId="7E953864">
            <wp:extent cx="3193716" cy="3148597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8E8F2D6" w14:textId="7D104D99" w:rsidR="00175CC9" w:rsidRDefault="00175CC9" w:rsidP="005565DD">
      <w:pPr>
        <w:autoSpaceDE w:val="0"/>
        <w:autoSpaceDN w:val="0"/>
        <w:ind w:firstLine="720"/>
      </w:pPr>
      <w:r>
        <w:rPr>
          <w:noProof/>
        </w:rPr>
        <w:lastRenderedPageBreak/>
        <w:drawing>
          <wp:inline distT="0" distB="0" distL="0" distR="0" wp14:anchorId="757DE608" wp14:editId="3BF9F942">
            <wp:extent cx="3193716" cy="3135229"/>
            <wp:effectExtent l="0" t="0" r="0" b="825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B9D3CED" w14:textId="521665A0" w:rsidR="00C76E9D" w:rsidRDefault="00C76E9D" w:rsidP="00BD2811">
      <w:pPr>
        <w:autoSpaceDE w:val="0"/>
        <w:autoSpaceDN w:val="0"/>
      </w:pPr>
      <w:r w:rsidRPr="00BD2811">
        <w:rPr>
          <w:b/>
          <w:bCs/>
        </w:rPr>
        <w:t>Figure S</w:t>
      </w:r>
      <w:r w:rsidR="00BD2811" w:rsidRPr="00BD2811">
        <w:rPr>
          <w:b/>
          <w:bCs/>
        </w:rPr>
        <w:t>2</w:t>
      </w:r>
      <w:r w:rsidRPr="00BD2811">
        <w:rPr>
          <w:b/>
          <w:bCs/>
        </w:rPr>
        <w:t>.</w:t>
      </w:r>
      <w:r>
        <w:t xml:space="preserve"> </w:t>
      </w:r>
      <w:r w:rsidRPr="00C76E9D">
        <w:t xml:space="preserve">sulfamethoxazole (SMX) (initially </w:t>
      </w:r>
      <w:r w:rsidR="007F3DEE">
        <w:t>10</w:t>
      </w:r>
      <w:r w:rsidRPr="00C76E9D">
        <w:t xml:space="preserve"> mg L</w:t>
      </w:r>
      <w:r w:rsidRPr="000B4AF4">
        <w:rPr>
          <w:vertAlign w:val="superscript"/>
        </w:rPr>
        <w:t>-1</w:t>
      </w:r>
      <w:r w:rsidRPr="00C76E9D">
        <w:t xml:space="preserve">) </w:t>
      </w:r>
      <w:r>
        <w:t>sorption kinetics by</w:t>
      </w:r>
      <w:r w:rsidRPr="00C76E9D">
        <w:t xml:space="preserve"> (a) PB, (b) HPB, and (c) GPB suspensions (initial pH 6)</w:t>
      </w:r>
      <w:r>
        <w:t xml:space="preserve"> and modeling</w:t>
      </w:r>
      <w:r w:rsidRPr="00C76E9D">
        <w:t>. All biochar were 1 g L</w:t>
      </w:r>
      <w:r w:rsidRPr="009718CB">
        <w:rPr>
          <w:vertAlign w:val="superscript"/>
        </w:rPr>
        <w:t>-1</w:t>
      </w:r>
      <w:r w:rsidR="009718CB">
        <w:t>.</w:t>
      </w:r>
    </w:p>
    <w:p w14:paraId="4A21D71D" w14:textId="77777777" w:rsidR="00D7133E" w:rsidRDefault="00D7133E" w:rsidP="00BA3E5B">
      <w:pPr>
        <w:spacing w:after="160"/>
      </w:pPr>
      <w:r>
        <w:br w:type="page"/>
      </w:r>
    </w:p>
    <w:p w14:paraId="383D084B" w14:textId="3F3FCA49" w:rsidR="00BA3E5B" w:rsidRPr="00BA3E5B" w:rsidRDefault="00BA3E5B" w:rsidP="00BA3E5B">
      <w:pPr>
        <w:pStyle w:val="EndNoteBibliography"/>
        <w:spacing w:line="480" w:lineRule="auto"/>
        <w:rPr>
          <w:b/>
          <w:bCs/>
        </w:rPr>
      </w:pPr>
      <w:r w:rsidRPr="00BA3E5B">
        <w:rPr>
          <w:b/>
          <w:bCs/>
        </w:rPr>
        <w:lastRenderedPageBreak/>
        <w:t>References.</w:t>
      </w:r>
    </w:p>
    <w:p w14:paraId="1F9FC0A0" w14:textId="77777777" w:rsidR="00AC506F" w:rsidRPr="00AC506F" w:rsidRDefault="00D7133E" w:rsidP="003F670A">
      <w:pPr>
        <w:pStyle w:val="EndNoteBibliography"/>
        <w:spacing w:line="480" w:lineRule="auto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C506F" w:rsidRPr="00AC506F">
        <w:t xml:space="preserve">Chen, H., Gao, B., and Li, H. (2015). Removal of sulfamethoxazole and ciprofloxacin from aqueous solutions by graphene oxide. </w:t>
      </w:r>
      <w:r w:rsidR="00AC506F" w:rsidRPr="00AC506F">
        <w:rPr>
          <w:i/>
        </w:rPr>
        <w:t>Journal of hazardous materials</w:t>
      </w:r>
      <w:r w:rsidR="00AC506F" w:rsidRPr="00AC506F">
        <w:t xml:space="preserve"> </w:t>
      </w:r>
      <w:r w:rsidR="00AC506F" w:rsidRPr="00AC506F">
        <w:rPr>
          <w:b/>
        </w:rPr>
        <w:t>282</w:t>
      </w:r>
      <w:r w:rsidR="00AC506F" w:rsidRPr="00AC506F">
        <w:t>, 201-207.</w:t>
      </w:r>
    </w:p>
    <w:p w14:paraId="59F19866" w14:textId="77777777" w:rsidR="00AC506F" w:rsidRPr="00AC506F" w:rsidRDefault="00AC506F" w:rsidP="003F670A">
      <w:pPr>
        <w:pStyle w:val="EndNoteBibliography"/>
        <w:spacing w:line="480" w:lineRule="auto"/>
        <w:ind w:left="720" w:hanging="720"/>
      </w:pPr>
      <w:r w:rsidRPr="00AC506F">
        <w:t xml:space="preserve">Gerente, C., Lee, V. K. C., Cloirec, P. L., and McKay, G. (2007). Application of Chitosan for the Removal of Metals From Wastewaters by Adsorption—Mechanisms and Models Review. </w:t>
      </w:r>
      <w:r w:rsidRPr="00AC506F">
        <w:rPr>
          <w:i/>
        </w:rPr>
        <w:t>Critical Reviews in Environmental Science and Technology</w:t>
      </w:r>
      <w:r w:rsidRPr="00AC506F">
        <w:t xml:space="preserve"> </w:t>
      </w:r>
      <w:r w:rsidRPr="00AC506F">
        <w:rPr>
          <w:b/>
        </w:rPr>
        <w:t>37</w:t>
      </w:r>
      <w:r w:rsidRPr="00AC506F">
        <w:t>, 41-127.</w:t>
      </w:r>
    </w:p>
    <w:p w14:paraId="070658B1" w14:textId="77777777" w:rsidR="00AC506F" w:rsidRPr="00AC506F" w:rsidRDefault="00AC506F" w:rsidP="003F670A">
      <w:pPr>
        <w:pStyle w:val="EndNoteBibliography"/>
        <w:spacing w:line="480" w:lineRule="auto"/>
        <w:ind w:left="720" w:hanging="720"/>
      </w:pPr>
      <w:r w:rsidRPr="00AC506F">
        <w:t xml:space="preserve">Liang, C., Huang, C.-F., Mohanty, N., and Kurakalva, R. M. (2008). A rapid spectrophotometric determination of persulfate anion in ISCO. </w:t>
      </w:r>
      <w:r w:rsidRPr="00AC506F">
        <w:rPr>
          <w:i/>
        </w:rPr>
        <w:t>Chemosphere</w:t>
      </w:r>
      <w:r w:rsidRPr="00AC506F">
        <w:t xml:space="preserve"> </w:t>
      </w:r>
      <w:r w:rsidRPr="00AC506F">
        <w:rPr>
          <w:b/>
        </w:rPr>
        <w:t>73</w:t>
      </w:r>
      <w:r w:rsidRPr="00AC506F">
        <w:t>, 1540-1543.</w:t>
      </w:r>
    </w:p>
    <w:p w14:paraId="24CDDCBC" w14:textId="77777777" w:rsidR="00AC506F" w:rsidRPr="00AC506F" w:rsidRDefault="00AC506F" w:rsidP="003F670A">
      <w:pPr>
        <w:pStyle w:val="EndNoteBibliography"/>
        <w:spacing w:line="480" w:lineRule="auto"/>
        <w:ind w:left="720" w:hanging="720"/>
      </w:pPr>
      <w:r w:rsidRPr="00AC506F">
        <w:t xml:space="preserve">USEPA, E. (1996). Method 3050B-Acid digestion of sediments, sludges and soils. </w:t>
      </w:r>
      <w:r w:rsidRPr="00AC506F">
        <w:rPr>
          <w:i/>
        </w:rPr>
        <w:t>Test methods for evaluating solid wastes: Physical/chemical methods. EPA SW‐846</w:t>
      </w:r>
      <w:r w:rsidRPr="00AC506F">
        <w:t xml:space="preserve"> </w:t>
      </w:r>
      <w:r w:rsidRPr="00AC506F">
        <w:rPr>
          <w:b/>
        </w:rPr>
        <w:t>1</w:t>
      </w:r>
      <w:r w:rsidRPr="00AC506F">
        <w:t>, 3050B‐1-3050B‐12.</w:t>
      </w:r>
    </w:p>
    <w:p w14:paraId="764C7495" w14:textId="77777777" w:rsidR="00AC506F" w:rsidRPr="00AC506F" w:rsidRDefault="00AC506F" w:rsidP="003F670A">
      <w:pPr>
        <w:pStyle w:val="EndNoteBibliography"/>
        <w:spacing w:line="480" w:lineRule="auto"/>
        <w:ind w:left="720" w:hanging="720"/>
      </w:pPr>
      <w:r w:rsidRPr="00AC506F">
        <w:t xml:space="preserve">Wu, F.-C., Tseng, R.-L., and Juang, R.-S. (2009). Characteristics of Elovich equation used for the analysis of adsorption kinetics in dye-chitosan systems. </w:t>
      </w:r>
      <w:r w:rsidRPr="00AC506F">
        <w:rPr>
          <w:i/>
        </w:rPr>
        <w:t>Chemical Engineering Journal</w:t>
      </w:r>
      <w:r w:rsidRPr="00AC506F">
        <w:t xml:space="preserve"> </w:t>
      </w:r>
      <w:r w:rsidRPr="00AC506F">
        <w:rPr>
          <w:b/>
        </w:rPr>
        <w:t>150</w:t>
      </w:r>
      <w:r w:rsidRPr="00AC506F">
        <w:t>, 366-373.</w:t>
      </w:r>
    </w:p>
    <w:p w14:paraId="736A660F" w14:textId="138F2A0A" w:rsidR="00D9794B" w:rsidRDefault="00D7133E" w:rsidP="005F6364">
      <w:r>
        <w:fldChar w:fldCharType="end"/>
      </w:r>
    </w:p>
    <w:sectPr w:rsidR="00D97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EAE0" w14:textId="77777777" w:rsidR="0076431C" w:rsidRDefault="0076431C" w:rsidP="005565DD">
      <w:pPr>
        <w:spacing w:line="240" w:lineRule="auto"/>
      </w:pPr>
      <w:r>
        <w:separator/>
      </w:r>
    </w:p>
  </w:endnote>
  <w:endnote w:type="continuationSeparator" w:id="0">
    <w:p w14:paraId="318BF65D" w14:textId="77777777" w:rsidR="0076431C" w:rsidRDefault="0076431C" w:rsidP="00556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A24A4" w14:textId="77777777" w:rsidR="0076431C" w:rsidRDefault="0076431C" w:rsidP="005565DD">
      <w:pPr>
        <w:spacing w:line="240" w:lineRule="auto"/>
      </w:pPr>
      <w:r>
        <w:separator/>
      </w:r>
    </w:p>
  </w:footnote>
  <w:footnote w:type="continuationSeparator" w:id="0">
    <w:p w14:paraId="50ED81A1" w14:textId="77777777" w:rsidR="0076431C" w:rsidRDefault="0076431C" w:rsidP="005565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AwNDExMjcxMTG2MLNQ0lEKTi0uzszPAykwrgUAuJ4Wr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 Agronom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awtdp99ef2viesvf35t9ebdtds0vf5srpp&quot;&gt;Hem-Fe-BC&lt;record-ids&gt;&lt;item&gt;46&lt;/item&gt;&lt;item&gt;63&lt;/item&gt;&lt;item&gt;65&lt;/item&gt;&lt;/record-ids&gt;&lt;/item&gt;&lt;/Libraries&gt;"/>
  </w:docVars>
  <w:rsids>
    <w:rsidRoot w:val="00D9794B"/>
    <w:rsid w:val="000405F1"/>
    <w:rsid w:val="00041417"/>
    <w:rsid w:val="000A02D9"/>
    <w:rsid w:val="000A4517"/>
    <w:rsid w:val="000B4AF4"/>
    <w:rsid w:val="001166C8"/>
    <w:rsid w:val="00170B54"/>
    <w:rsid w:val="00175CC9"/>
    <w:rsid w:val="002005FA"/>
    <w:rsid w:val="002E119C"/>
    <w:rsid w:val="003802AB"/>
    <w:rsid w:val="003A7A38"/>
    <w:rsid w:val="003F670A"/>
    <w:rsid w:val="004B281A"/>
    <w:rsid w:val="004D600E"/>
    <w:rsid w:val="004F27F1"/>
    <w:rsid w:val="005252C9"/>
    <w:rsid w:val="00525F8A"/>
    <w:rsid w:val="005565DD"/>
    <w:rsid w:val="005F6364"/>
    <w:rsid w:val="00607E3D"/>
    <w:rsid w:val="007445F9"/>
    <w:rsid w:val="0076431C"/>
    <w:rsid w:val="007A2E60"/>
    <w:rsid w:val="007F3DEE"/>
    <w:rsid w:val="008945EB"/>
    <w:rsid w:val="008C3C17"/>
    <w:rsid w:val="009370CF"/>
    <w:rsid w:val="009718CB"/>
    <w:rsid w:val="00997FD5"/>
    <w:rsid w:val="00A91495"/>
    <w:rsid w:val="00AC506F"/>
    <w:rsid w:val="00AD252C"/>
    <w:rsid w:val="00B71540"/>
    <w:rsid w:val="00BA3E5B"/>
    <w:rsid w:val="00BD2811"/>
    <w:rsid w:val="00BD3F3D"/>
    <w:rsid w:val="00BE7868"/>
    <w:rsid w:val="00C27E7B"/>
    <w:rsid w:val="00C6656E"/>
    <w:rsid w:val="00C76E9D"/>
    <w:rsid w:val="00D12694"/>
    <w:rsid w:val="00D7133E"/>
    <w:rsid w:val="00D9794B"/>
    <w:rsid w:val="00DA1951"/>
    <w:rsid w:val="00DB3285"/>
    <w:rsid w:val="00DC5CC4"/>
    <w:rsid w:val="00E039E4"/>
    <w:rsid w:val="00E4617D"/>
    <w:rsid w:val="00E9417C"/>
    <w:rsid w:val="00ED0F26"/>
    <w:rsid w:val="00F503DB"/>
    <w:rsid w:val="00F54402"/>
    <w:rsid w:val="00F6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9E4B1"/>
  <w15:chartTrackingRefBased/>
  <w15:docId w15:val="{2578F71E-D2A3-441B-8D66-E6749EE1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5DD"/>
    <w:pPr>
      <w:spacing w:after="0" w:line="480" w:lineRule="auto"/>
    </w:pPr>
    <w:rPr>
      <w:rFonts w:ascii="Times New Roman" w:eastAsia="Malgun Gothic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5DD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565DD"/>
  </w:style>
  <w:style w:type="paragraph" w:styleId="Footer">
    <w:name w:val="footer"/>
    <w:basedOn w:val="Normal"/>
    <w:link w:val="FooterChar"/>
    <w:uiPriority w:val="99"/>
    <w:unhideWhenUsed/>
    <w:rsid w:val="005565DD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565DD"/>
  </w:style>
  <w:style w:type="paragraph" w:customStyle="1" w:styleId="TAMainText">
    <w:name w:val="TA_Main_Text"/>
    <w:basedOn w:val="Normal"/>
    <w:rsid w:val="005565DD"/>
    <w:pPr>
      <w:ind w:firstLine="202"/>
    </w:pPr>
  </w:style>
  <w:style w:type="paragraph" w:customStyle="1" w:styleId="EndNoteBibliographyTitle">
    <w:name w:val="EndNote Bibliography Title"/>
    <w:basedOn w:val="Normal"/>
    <w:link w:val="EndNoteBibliographyTitleChar"/>
    <w:rsid w:val="00D7133E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133E"/>
    <w:rPr>
      <w:rFonts w:ascii="Times New Roman" w:eastAsia="Malgun Gothic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7133E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7133E"/>
    <w:rPr>
      <w:rFonts w:ascii="Times New Roman" w:eastAsia="Malgun Gothic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269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B2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B281A"/>
    <w:rPr>
      <w:color w:val="808080"/>
    </w:rPr>
  </w:style>
  <w:style w:type="paragraph" w:styleId="Revision">
    <w:name w:val="Revision"/>
    <w:hidden/>
    <w:uiPriority w:val="99"/>
    <w:semiHidden/>
    <w:rsid w:val="00A91495"/>
    <w:pPr>
      <w:spacing w:after="0" w:line="240" w:lineRule="auto"/>
    </w:pPr>
    <w:rPr>
      <w:rFonts w:ascii="Times New Roman" w:eastAsia="Malgun Gothic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h@uapb.ed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https://d.docs.live.net/d096648d2d07611d/Desktop/Review%20articel%20SMX/Hem_data%5eN202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ivych\OneDrive\&#26700;&#38754;\0.2Hem-Fe\Hem_data%232021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ivych\OneDrive\&#26700;&#38754;\0.2Hem-Fe\Hem_data%232021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ivych\OneDrive\&#26700;&#38754;\0.2Hem-Fe\Hem_data%23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827693386708264"/>
          <c:y val="3.8194444444444448E-2"/>
          <c:w val="0.76426626399127706"/>
          <c:h val="0.82691440896490243"/>
        </c:manualLayout>
      </c:layout>
      <c:scatterChart>
        <c:scatterStyle val="smoothMarker"/>
        <c:varyColors val="0"/>
        <c:ser>
          <c:idx val="4"/>
          <c:order val="0"/>
          <c:tx>
            <c:strRef>
              <c:f>'[Hem_data^N2021.xlsx]simplified'!$AC$132</c:f>
              <c:strCache>
                <c:ptCount val="1"/>
                <c:pt idx="0">
                  <c:v>PB</c:v>
                </c:pt>
              </c:strCache>
            </c:strRef>
          </c:tx>
          <c:spPr>
            <a:ln w="12700">
              <a:solidFill>
                <a:sysClr val="windowText" lastClr="000000"/>
              </a:solidFill>
              <a:prstDash val="solid"/>
            </a:ln>
          </c:spPr>
          <c:marker>
            <c:symbol val="squar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dPt>
            <c:idx val="3"/>
            <c:marker>
              <c:spPr>
                <a:solidFill>
                  <a:schemeClr val="tx1"/>
                </a:solidFill>
                <a:ln w="12700">
                  <a:solidFill>
                    <a:schemeClr val="tx1">
                      <a:alpha val="98000"/>
                    </a:schemeClr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A233-460A-BDCD-4D2FDC56FA6C}"/>
              </c:ext>
            </c:extLst>
          </c:dPt>
          <c:errBars>
            <c:errDir val="y"/>
            <c:errBarType val="both"/>
            <c:errValType val="cust"/>
            <c:noEndCap val="0"/>
            <c:plus>
              <c:numRef>
                <c:f>'[Hem_data^N2021.xlsx]simplified'!$AD$121:$AI$121</c:f>
                <c:numCache>
                  <c:formatCode>General</c:formatCode>
                  <c:ptCount val="6"/>
                  <c:pt idx="0">
                    <c:v>0</c:v>
                  </c:pt>
                  <c:pt idx="1">
                    <c:v>0.8252186265462248</c:v>
                  </c:pt>
                  <c:pt idx="2">
                    <c:v>0.84080136289750762</c:v>
                  </c:pt>
                  <c:pt idx="3">
                    <c:v>1.4925373134328379</c:v>
                  </c:pt>
                  <c:pt idx="4">
                    <c:v>0.51857808609846412</c:v>
                  </c:pt>
                  <c:pt idx="5">
                    <c:v>0.23416329560326166</c:v>
                  </c:pt>
                </c:numCache>
              </c:numRef>
            </c:plus>
            <c:minus>
              <c:numRef>
                <c:f>'[Hem_data^N2021.xlsx]simplified'!$AD$121:$AI$121</c:f>
                <c:numCache>
                  <c:formatCode>General</c:formatCode>
                  <c:ptCount val="6"/>
                  <c:pt idx="0">
                    <c:v>0</c:v>
                  </c:pt>
                  <c:pt idx="1">
                    <c:v>0.8252186265462248</c:v>
                  </c:pt>
                  <c:pt idx="2">
                    <c:v>0.84080136289750762</c:v>
                  </c:pt>
                  <c:pt idx="3">
                    <c:v>1.4925373134328379</c:v>
                  </c:pt>
                  <c:pt idx="4">
                    <c:v>0.51857808609846412</c:v>
                  </c:pt>
                  <c:pt idx="5">
                    <c:v>0.23416329560326166</c:v>
                  </c:pt>
                </c:numCache>
              </c:numRef>
            </c:minus>
            <c:spPr>
              <a:ln w="19050">
                <a:solidFill>
                  <a:sysClr val="windowText" lastClr="000000"/>
                </a:solidFill>
              </a:ln>
            </c:spPr>
          </c:errBars>
          <c:errBars>
            <c:errDir val="x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0</c:v>
                </c:pt>
              </c:numLit>
            </c:plus>
            <c:minus>
              <c:numLit>
                <c:formatCode>General</c:formatCode>
                <c:ptCount val="1"/>
                <c:pt idx="0">
                  <c:v>0</c:v>
                </c:pt>
              </c:numLit>
            </c:minus>
            <c:spPr>
              <a:ln>
                <a:solidFill>
                  <a:srgbClr val="FF0000"/>
                </a:solidFill>
              </a:ln>
            </c:spPr>
          </c:errBars>
          <c:xVal>
            <c:numRef>
              <c:f>'[Hem_data^N2021.xlsx]simplified'!$AD$131:$AI$131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'[Hem_data^N2021.xlsx]simplified'!$AD$132:$AI$132</c:f>
              <c:numCache>
                <c:formatCode>General</c:formatCode>
                <c:ptCount val="6"/>
                <c:pt idx="0">
                  <c:v>100</c:v>
                </c:pt>
                <c:pt idx="1">
                  <c:v>95.653154677313836</c:v>
                </c:pt>
                <c:pt idx="2">
                  <c:v>92.937222259818185</c:v>
                </c:pt>
                <c:pt idx="3">
                  <c:v>90.681464437977937</c:v>
                </c:pt>
                <c:pt idx="4">
                  <c:v>90.410773499357106</c:v>
                </c:pt>
                <c:pt idx="5">
                  <c:v>88.29036114682728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233-460A-BDCD-4D2FDC56FA6C}"/>
            </c:ext>
          </c:extLst>
        </c:ser>
        <c:ser>
          <c:idx val="0"/>
          <c:order val="1"/>
          <c:tx>
            <c:strRef>
              <c:f>'[Hem_data^N2021.xlsx]simplified'!$AC$133</c:f>
              <c:strCache>
                <c:ptCount val="1"/>
                <c:pt idx="0">
                  <c:v>HPB</c:v>
                </c:pt>
              </c:strCache>
            </c:strRef>
          </c:tx>
          <c:spPr>
            <a:ln w="25400">
              <a:solidFill>
                <a:sysClr val="windowText" lastClr="000000"/>
              </a:solidFill>
              <a:prstDash val="sysDot"/>
            </a:ln>
          </c:spPr>
          <c:marker>
            <c:symbol val="triangle"/>
            <c:size val="6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'[Hem_data^N2021.xlsx]simplified'!$AD$123:$AI$123</c:f>
                <c:numCache>
                  <c:formatCode>General</c:formatCode>
                  <c:ptCount val="6"/>
                  <c:pt idx="0">
                    <c:v>0</c:v>
                  </c:pt>
                  <c:pt idx="1">
                    <c:v>0.29914521719669612</c:v>
                  </c:pt>
                  <c:pt idx="2">
                    <c:v>1.3700623270929451</c:v>
                  </c:pt>
                  <c:pt idx="3">
                    <c:v>8.0576329192390688</c:v>
                  </c:pt>
                  <c:pt idx="4">
                    <c:v>1.579463270977147</c:v>
                  </c:pt>
                  <c:pt idx="5">
                    <c:v>1.7550008182693244</c:v>
                  </c:pt>
                </c:numCache>
              </c:numRef>
            </c:plus>
            <c:minus>
              <c:numRef>
                <c:f>'[Hem_data^N2021.xlsx]simplified'!$AD$123:$AI$123</c:f>
                <c:numCache>
                  <c:formatCode>General</c:formatCode>
                  <c:ptCount val="6"/>
                  <c:pt idx="0">
                    <c:v>0</c:v>
                  </c:pt>
                  <c:pt idx="1">
                    <c:v>0.29914521719669612</c:v>
                  </c:pt>
                  <c:pt idx="2">
                    <c:v>1.3700623270929451</c:v>
                  </c:pt>
                  <c:pt idx="3">
                    <c:v>8.0576329192390688</c:v>
                  </c:pt>
                  <c:pt idx="4">
                    <c:v>1.579463270977147</c:v>
                  </c:pt>
                  <c:pt idx="5">
                    <c:v>1.7550008182693244</c:v>
                  </c:pt>
                </c:numCache>
              </c:numRef>
            </c:minus>
            <c:spPr>
              <a:ln w="19050">
                <a:solidFill>
                  <a:sysClr val="windowText" lastClr="000000"/>
                </a:solidFill>
              </a:ln>
            </c:spPr>
          </c:errBars>
          <c:errBars>
            <c:errDir val="x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0</c:v>
                </c:pt>
              </c:numLit>
            </c:plus>
            <c:minus>
              <c:numLit>
                <c:formatCode>General</c:formatCode>
                <c:ptCount val="1"/>
                <c:pt idx="0">
                  <c:v>0</c:v>
                </c:pt>
              </c:numLit>
            </c:minus>
            <c:spPr>
              <a:ln>
                <a:solidFill>
                  <a:srgbClr val="FF0000"/>
                </a:solidFill>
              </a:ln>
            </c:spPr>
          </c:errBars>
          <c:xVal>
            <c:numRef>
              <c:f>'[Hem_data^N2021.xlsx]simplified'!$AD$131:$AI$131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'[Hem_data^N2021.xlsx]simplified'!$AD$133:$AI$133</c:f>
              <c:numCache>
                <c:formatCode>General</c:formatCode>
                <c:ptCount val="6"/>
                <c:pt idx="0">
                  <c:v>100</c:v>
                </c:pt>
                <c:pt idx="1">
                  <c:v>78.365026730730179</c:v>
                </c:pt>
                <c:pt idx="2">
                  <c:v>74.800929372222598</c:v>
                </c:pt>
                <c:pt idx="3">
                  <c:v>67.447158873023398</c:v>
                </c:pt>
                <c:pt idx="4">
                  <c:v>64.695134330378295</c:v>
                </c:pt>
                <c:pt idx="5">
                  <c:v>57.88274570842075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233-460A-BDCD-4D2FDC56FA6C}"/>
            </c:ext>
          </c:extLst>
        </c:ser>
        <c:ser>
          <c:idx val="2"/>
          <c:order val="2"/>
          <c:tx>
            <c:strRef>
              <c:f>'[Hem_data^N2021.xlsx]simplified'!$AC$134</c:f>
              <c:strCache>
                <c:ptCount val="1"/>
                <c:pt idx="0">
                  <c:v>GPB</c:v>
                </c:pt>
              </c:strCache>
            </c:strRef>
          </c:tx>
          <c:spPr>
            <a:ln w="12700">
              <a:solidFill>
                <a:sysClr val="windowText" lastClr="000000"/>
              </a:solidFill>
              <a:prstDash val="lgDashDot"/>
            </a:ln>
          </c:spPr>
          <c:marker>
            <c:symbol val="diamond"/>
            <c:size val="6"/>
            <c:spPr>
              <a:solidFill>
                <a:sysClr val="windowText" lastClr="000000"/>
              </a:solidFill>
              <a:ln>
                <a:solidFill>
                  <a:sysClr val="windowText" lastClr="000000">
                    <a:alpha val="88000"/>
                  </a:sysClr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'[Hem_data^N2021.xlsx]simplified'!$AD$125:$AI$125</c:f>
                <c:numCache>
                  <c:formatCode>General</c:formatCode>
                  <c:ptCount val="6"/>
                  <c:pt idx="0">
                    <c:v>0</c:v>
                  </c:pt>
                  <c:pt idx="1">
                    <c:v>0.10359155547660423</c:v>
                  </c:pt>
                  <c:pt idx="2">
                    <c:v>0.22450431724806522</c:v>
                  </c:pt>
                  <c:pt idx="3">
                    <c:v>0.21052631578947573</c:v>
                  </c:pt>
                  <c:pt idx="4">
                    <c:v>1.823631506104038</c:v>
                  </c:pt>
                  <c:pt idx="5">
                    <c:v>1.0308858857977161</c:v>
                  </c:pt>
                </c:numCache>
              </c:numRef>
            </c:plus>
            <c:minus>
              <c:numRef>
                <c:f>'[Hem_data^N2021.xlsx]simplified'!$AD$125:$AI$125</c:f>
                <c:numCache>
                  <c:formatCode>General</c:formatCode>
                  <c:ptCount val="6"/>
                  <c:pt idx="0">
                    <c:v>0</c:v>
                  </c:pt>
                  <c:pt idx="1">
                    <c:v>0.10359155547660423</c:v>
                  </c:pt>
                  <c:pt idx="2">
                    <c:v>0.22450431724806522</c:v>
                  </c:pt>
                  <c:pt idx="3">
                    <c:v>0.21052631578947573</c:v>
                  </c:pt>
                  <c:pt idx="4">
                    <c:v>1.823631506104038</c:v>
                  </c:pt>
                  <c:pt idx="5">
                    <c:v>1.0308858857977161</c:v>
                  </c:pt>
                </c:numCache>
              </c:numRef>
            </c:minus>
            <c:spPr>
              <a:ln w="19050">
                <a:solidFill>
                  <a:sysClr val="windowText" lastClr="000000"/>
                </a:solidFill>
              </a:ln>
            </c:spPr>
          </c:errBars>
          <c:errBars>
            <c:errDir val="x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0</c:v>
                </c:pt>
              </c:numLit>
            </c:plus>
            <c:minus>
              <c:numLit>
                <c:formatCode>General</c:formatCode>
                <c:ptCount val="1"/>
                <c:pt idx="0">
                  <c:v>0</c:v>
                </c:pt>
              </c:numLit>
            </c:minus>
          </c:errBars>
          <c:xVal>
            <c:numRef>
              <c:f>'[Hem_data^N2021.xlsx]simplified'!$AD$131:$AI$131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'[Hem_data^N2021.xlsx]simplified'!$AD$134:$AI$134</c:f>
              <c:numCache>
                <c:formatCode>General</c:formatCode>
                <c:ptCount val="6"/>
                <c:pt idx="0">
                  <c:v>100</c:v>
                </c:pt>
                <c:pt idx="1">
                  <c:v>75.432541562337889</c:v>
                </c:pt>
                <c:pt idx="2">
                  <c:v>69.612686381990017</c:v>
                </c:pt>
                <c:pt idx="3">
                  <c:v>64.289097922447041</c:v>
                </c:pt>
                <c:pt idx="4">
                  <c:v>56.033024294511748</c:v>
                </c:pt>
                <c:pt idx="5">
                  <c:v>46.107689878414654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233-460A-BDCD-4D2FDC56FA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8935552"/>
        <c:axId val="195311104"/>
      </c:scatterChart>
      <c:valAx>
        <c:axId val="188935552"/>
        <c:scaling>
          <c:orientation val="minMax"/>
          <c:max val="4.2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(hr.)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0_ 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195311104"/>
        <c:crosses val="autoZero"/>
        <c:crossBetween val="midCat"/>
      </c:valAx>
      <c:valAx>
        <c:axId val="195311104"/>
        <c:scaling>
          <c:orientation val="minMax"/>
          <c:max val="105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PS (C/C0 %)</a:t>
                </a:r>
              </a:p>
            </c:rich>
          </c:tx>
          <c:layout>
            <c:manualLayout>
              <c:xMode val="edge"/>
              <c:yMode val="edge"/>
              <c:x val="1.0990509866822203E-2"/>
              <c:y val="0.3549826236998153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188935552"/>
        <c:crosses val="autoZero"/>
        <c:crossBetween val="midCat"/>
      </c:valAx>
      <c:spPr>
        <a:noFill/>
        <a:ln w="1270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52988480606590838"/>
          <c:y val="0.54212926509186354"/>
          <c:w val="0.29034412365121021"/>
          <c:h val="0.22310039370078741"/>
        </c:manualLayout>
      </c:layout>
      <c:overlay val="0"/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Times New Roman" panose="02020603050405020304" pitchFamily="18" charset="0"/>
          <a:ea typeface="Times New Roman"/>
          <a:cs typeface="Times New Roman" panose="02020603050405020304" pitchFamily="18" charset="0"/>
        </a:defRPr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163003062117233"/>
          <c:y val="3.8194444444444448E-2"/>
          <c:w val="0.78373578302712166"/>
          <c:h val="0.83569417104111987"/>
        </c:manualLayout>
      </c:layout>
      <c:scatterChart>
        <c:scatterStyle val="smoothMarker"/>
        <c:varyColors val="0"/>
        <c:ser>
          <c:idx val="4"/>
          <c:order val="0"/>
          <c:tx>
            <c:strRef>
              <c:f>simplified!$B$26</c:f>
              <c:strCache>
                <c:ptCount val="1"/>
                <c:pt idx="0">
                  <c:v>Experiment Data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xVal>
            <c:numRef>
              <c:f>simplified!$A$27:$A$32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simplified!$B$27:$B$32</c:f>
              <c:numCache>
                <c:formatCode>0.00</c:formatCode>
                <c:ptCount val="6"/>
                <c:pt idx="0">
                  <c:v>0</c:v>
                </c:pt>
                <c:pt idx="1">
                  <c:v>0.79456804513818646</c:v>
                </c:pt>
                <c:pt idx="2">
                  <c:v>0.77021251435907878</c:v>
                </c:pt>
                <c:pt idx="3">
                  <c:v>0.78242195418609306</c:v>
                </c:pt>
                <c:pt idx="4">
                  <c:v>0.77098537063315042</c:v>
                </c:pt>
                <c:pt idx="5">
                  <c:v>0.76412257584972032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4B4-42ED-97CB-A96DC92B785E}"/>
            </c:ext>
          </c:extLst>
        </c:ser>
        <c:ser>
          <c:idx val="0"/>
          <c:order val="1"/>
          <c:tx>
            <c:strRef>
              <c:f>simplified!$C$26</c:f>
              <c:strCache>
                <c:ptCount val="1"/>
                <c:pt idx="0">
                  <c:v>1st Order</c:v>
                </c:pt>
              </c:strCache>
            </c:strRef>
          </c:tx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simplified!$A$27:$A$32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simplified!$C$27:$C$32</c:f>
              <c:numCache>
                <c:formatCode>0.00</c:formatCode>
                <c:ptCount val="6"/>
                <c:pt idx="0">
                  <c:v>0</c:v>
                </c:pt>
                <c:pt idx="1">
                  <c:v>0.77956859419128477</c:v>
                </c:pt>
                <c:pt idx="2">
                  <c:v>0.77999976139619009</c:v>
                </c:pt>
                <c:pt idx="3">
                  <c:v>0.77999999999992697</c:v>
                </c:pt>
                <c:pt idx="4">
                  <c:v>0.78</c:v>
                </c:pt>
                <c:pt idx="5">
                  <c:v>0.78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4B4-42ED-97CB-A96DC92B785E}"/>
            </c:ext>
          </c:extLst>
        </c:ser>
        <c:ser>
          <c:idx val="2"/>
          <c:order val="2"/>
          <c:tx>
            <c:strRef>
              <c:f>simplified!$D$26</c:f>
              <c:strCache>
                <c:ptCount val="1"/>
                <c:pt idx="0">
                  <c:v>2nd Order</c:v>
                </c:pt>
              </c:strCache>
            </c:strRef>
          </c:tx>
          <c:spPr>
            <a:ln w="2540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simplified!$A$27:$A$32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simplified!$D$27:$D$32</c:f>
              <c:numCache>
                <c:formatCode>0.00</c:formatCode>
                <c:ptCount val="6"/>
                <c:pt idx="0">
                  <c:v>0</c:v>
                </c:pt>
                <c:pt idx="1">
                  <c:v>0.76432160804020111</c:v>
                </c:pt>
                <c:pt idx="2">
                  <c:v>0.7720812182741118</c:v>
                </c:pt>
                <c:pt idx="3">
                  <c:v>0.77602040816326545</c:v>
                </c:pt>
                <c:pt idx="4">
                  <c:v>0.7780051150895142</c:v>
                </c:pt>
                <c:pt idx="5">
                  <c:v>0.77900128040973127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4B4-42ED-97CB-A96DC92B785E}"/>
            </c:ext>
          </c:extLst>
        </c:ser>
        <c:ser>
          <c:idx val="3"/>
          <c:order val="3"/>
          <c:tx>
            <c:strRef>
              <c:f>simplified!$E$26</c:f>
              <c:strCache>
                <c:ptCount val="1"/>
                <c:pt idx="0">
                  <c:v>Elovich Model</c:v>
                </c:pt>
              </c:strCache>
            </c:strRef>
          </c:tx>
          <c:spPr>
            <a:ln>
              <a:solidFill>
                <a:schemeClr val="tx1"/>
              </a:solidFill>
              <a:prstDash val="dashDot"/>
            </a:ln>
          </c:spPr>
          <c:marker>
            <c:symbol val="none"/>
          </c:marker>
          <c:xVal>
            <c:numRef>
              <c:f>simplified!$A$27:$A$32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simplified!$E$27:$E$32</c:f>
              <c:numCache>
                <c:formatCode>0.00</c:formatCode>
                <c:ptCount val="6"/>
                <c:pt idx="0">
                  <c:v>0</c:v>
                </c:pt>
                <c:pt idx="1">
                  <c:v>0.65328584586566596</c:v>
                </c:pt>
                <c:pt idx="2">
                  <c:v>0.71626481020883026</c:v>
                </c:pt>
                <c:pt idx="3">
                  <c:v>0.77926097751881218</c:v>
                </c:pt>
                <c:pt idx="4">
                  <c:v>0.84226574997695214</c:v>
                </c:pt>
                <c:pt idx="5">
                  <c:v>0.90527482592583108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54B4-42ED-97CB-A96DC92B78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8935552"/>
        <c:axId val="195311104"/>
      </c:scatterChart>
      <c:valAx>
        <c:axId val="188935552"/>
        <c:scaling>
          <c:orientation val="minMax"/>
          <c:max val="4.2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lang="en-US" sz="1200" b="1"/>
                </a:pPr>
                <a:r>
                  <a:rPr lang="en-US" sz="1200" b="1"/>
                  <a:t>t (h)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0_ 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95311104"/>
        <c:crosses val="autoZero"/>
        <c:crossBetween val="midCat"/>
      </c:valAx>
      <c:valAx>
        <c:axId val="1953111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 sz="1200" b="1"/>
                </a:pPr>
                <a:r>
                  <a:rPr lang="en-US" sz="1200" b="1"/>
                  <a:t> q</a:t>
                </a:r>
                <a:r>
                  <a:rPr lang="en-US" sz="1200" b="1" baseline="-25000"/>
                  <a:t>t </a:t>
                </a:r>
                <a:r>
                  <a:rPr lang="en-US" sz="1200" b="1"/>
                  <a:t>(mg/g)</a:t>
                </a:r>
              </a:p>
            </c:rich>
          </c:tx>
          <c:layout>
            <c:manualLayout>
              <c:xMode val="edge"/>
              <c:yMode val="edge"/>
              <c:x val="1.0990509866822203E-2"/>
              <c:y val="0.3549826236998153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/>
            </a:pPr>
            <a:endParaRPr lang="en-US"/>
          </a:p>
        </c:txPr>
        <c:crossAx val="188935552"/>
        <c:crosses val="autoZero"/>
        <c:crossBetween val="midCat"/>
        <c:majorUnit val="0.2"/>
      </c:valAx>
      <c:spPr>
        <a:noFill/>
        <a:ln w="1270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41530166880616176"/>
          <c:y val="0.51484744094488188"/>
          <c:w val="0.47877863905243923"/>
          <c:h val="0.2369892825896763"/>
        </c:manualLayout>
      </c:layout>
      <c:overlay val="0"/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 pitchFamily="34" charset="0"/>
          <a:ea typeface="Times New Roman"/>
          <a:cs typeface="Arial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163003062117233"/>
          <c:y val="3.8194444444444448E-2"/>
          <c:w val="0.78373578302712166"/>
          <c:h val="0.83569417104111987"/>
        </c:manualLayout>
      </c:layout>
      <c:scatterChart>
        <c:scatterStyle val="smoothMarker"/>
        <c:varyColors val="0"/>
        <c:ser>
          <c:idx val="4"/>
          <c:order val="0"/>
          <c:tx>
            <c:strRef>
              <c:f>simplified!$B$43</c:f>
              <c:strCache>
                <c:ptCount val="1"/>
                <c:pt idx="0">
                  <c:v>Experiment Data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xVal>
            <c:numRef>
              <c:f>simplified!$A$44:$A$49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simplified!$B$44:$B$49</c:f>
              <c:numCache>
                <c:formatCode>0.00</c:formatCode>
                <c:ptCount val="6"/>
                <c:pt idx="0">
                  <c:v>0</c:v>
                </c:pt>
                <c:pt idx="1">
                  <c:v>2.4378209676329474</c:v>
                </c:pt>
                <c:pt idx="2">
                  <c:v>2.6891428474896957</c:v>
                </c:pt>
                <c:pt idx="3">
                  <c:v>2.7505912561659569</c:v>
                </c:pt>
                <c:pt idx="4">
                  <c:v>2.9448864788161364</c:v>
                </c:pt>
                <c:pt idx="5">
                  <c:v>3.3335360497330901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F22-4D8B-8DC8-98F42063EFAD}"/>
            </c:ext>
          </c:extLst>
        </c:ser>
        <c:ser>
          <c:idx val="0"/>
          <c:order val="1"/>
          <c:tx>
            <c:strRef>
              <c:f>simplified!$C$43</c:f>
              <c:strCache>
                <c:ptCount val="1"/>
                <c:pt idx="0">
                  <c:v>1st Order</c:v>
                </c:pt>
              </c:strCache>
            </c:strRef>
          </c:tx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simplified!$A$44:$A$49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simplified!$C$44:$C$49</c:f>
              <c:numCache>
                <c:formatCode>0.00</c:formatCode>
                <c:ptCount val="6"/>
                <c:pt idx="0">
                  <c:v>0</c:v>
                </c:pt>
                <c:pt idx="1">
                  <c:v>2.3306095195547107</c:v>
                </c:pt>
                <c:pt idx="2">
                  <c:v>2.8506387948964083</c:v>
                </c:pt>
                <c:pt idx="3">
                  <c:v>2.9925637434700008</c:v>
                </c:pt>
                <c:pt idx="4">
                  <c:v>2.9999815673629397</c:v>
                </c:pt>
                <c:pt idx="5">
                  <c:v>2.9999999998867457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F22-4D8B-8DC8-98F42063EFAD}"/>
            </c:ext>
          </c:extLst>
        </c:ser>
        <c:ser>
          <c:idx val="2"/>
          <c:order val="2"/>
          <c:tx>
            <c:strRef>
              <c:f>simplified!$D$43</c:f>
              <c:strCache>
                <c:ptCount val="1"/>
                <c:pt idx="0">
                  <c:v>2nd Order</c:v>
                </c:pt>
              </c:strCache>
            </c:strRef>
          </c:tx>
          <c:spPr>
            <a:ln w="2540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simplified!$A$44:$A$49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simplified!$D$44:$D$49</c:f>
              <c:numCache>
                <c:formatCode>0.00</c:formatCode>
                <c:ptCount val="6"/>
                <c:pt idx="0">
                  <c:v>0</c:v>
                </c:pt>
                <c:pt idx="1">
                  <c:v>2.4079207920792083</c:v>
                </c:pt>
                <c:pt idx="2">
                  <c:v>2.7480225988700568</c:v>
                </c:pt>
                <c:pt idx="3">
                  <c:v>2.9568389057750766</c:v>
                </c:pt>
                <c:pt idx="4">
                  <c:v>3.0736176935229071</c:v>
                </c:pt>
                <c:pt idx="5">
                  <c:v>3.1355358581788884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F22-4D8B-8DC8-98F42063EFAD}"/>
            </c:ext>
          </c:extLst>
        </c:ser>
        <c:ser>
          <c:idx val="3"/>
          <c:order val="3"/>
          <c:tx>
            <c:strRef>
              <c:f>simplified!$E$43</c:f>
              <c:strCache>
                <c:ptCount val="1"/>
                <c:pt idx="0">
                  <c:v>Elovich Model</c:v>
                </c:pt>
              </c:strCache>
            </c:strRef>
          </c:tx>
          <c:spPr>
            <a:ln w="19050">
              <a:solidFill>
                <a:schemeClr val="tx1"/>
              </a:solidFill>
              <a:prstDash val="lgDashDot"/>
            </a:ln>
          </c:spPr>
          <c:marker>
            <c:symbol val="none"/>
          </c:marker>
          <c:xVal>
            <c:numRef>
              <c:f>simplified!$A$44:$A$49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simplified!$E$44:$E$49</c:f>
              <c:numCache>
                <c:formatCode>0.00</c:formatCode>
                <c:ptCount val="6"/>
                <c:pt idx="0">
                  <c:v>0</c:v>
                </c:pt>
                <c:pt idx="1">
                  <c:v>2.342142269566545</c:v>
                </c:pt>
                <c:pt idx="2">
                  <c:v>2.5730432803022438</c:v>
                </c:pt>
                <c:pt idx="3">
                  <c:v>2.8040182910976439</c:v>
                </c:pt>
                <c:pt idx="4">
                  <c:v>3.0350303204190281</c:v>
                </c:pt>
                <c:pt idx="5">
                  <c:v>3.2660608636302344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DF22-4D8B-8DC8-98F42063EF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8935552"/>
        <c:axId val="195311104"/>
      </c:scatterChart>
      <c:valAx>
        <c:axId val="188935552"/>
        <c:scaling>
          <c:orientation val="minMax"/>
          <c:max val="4.2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lang="en-US" sz="1200" b="1"/>
                </a:pPr>
                <a:r>
                  <a:rPr lang="en-US" sz="1200" b="1"/>
                  <a:t>t (h)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0_ 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95311104"/>
        <c:crosses val="autoZero"/>
        <c:crossBetween val="midCat"/>
      </c:valAx>
      <c:valAx>
        <c:axId val="1953111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 sz="1200" b="1"/>
                </a:pPr>
                <a:r>
                  <a:rPr lang="en-US" sz="1200" b="1"/>
                  <a:t> q</a:t>
                </a:r>
                <a:r>
                  <a:rPr lang="en-US" sz="1200" b="1" baseline="-25000"/>
                  <a:t>t </a:t>
                </a:r>
                <a:r>
                  <a:rPr lang="en-US" sz="1200" b="1"/>
                  <a:t>(mg/g)</a:t>
                </a:r>
              </a:p>
            </c:rich>
          </c:tx>
          <c:layout>
            <c:manualLayout>
              <c:xMode val="edge"/>
              <c:yMode val="edge"/>
              <c:x val="1.0990509866822203E-2"/>
              <c:y val="0.3549826236998153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>
                <a:alpha val="94000"/>
              </a:srgbClr>
            </a:solidFill>
            <a:prstDash val="solid"/>
          </a:ln>
        </c:spPr>
        <c:txPr>
          <a:bodyPr rot="0" vert="horz"/>
          <a:lstStyle/>
          <a:p>
            <a:pPr>
              <a:defRPr lang="en-US"/>
            </a:pPr>
            <a:endParaRPr lang="en-US"/>
          </a:p>
        </c:txPr>
        <c:crossAx val="188935552"/>
        <c:crosses val="autoZero"/>
        <c:crossBetween val="midCat"/>
      </c:valAx>
      <c:spPr>
        <a:noFill/>
        <a:ln w="1270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4153015248093988"/>
          <c:y val="0.51087926509186354"/>
          <c:w val="0.4627977752780903"/>
          <c:h val="0.2369892825896763"/>
        </c:manualLayout>
      </c:layout>
      <c:overlay val="0"/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 pitchFamily="34" charset="0"/>
          <a:ea typeface="Times New Roman"/>
          <a:cs typeface="Arial" pitchFamily="34" charset="0"/>
        </a:defRPr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163003062117233"/>
          <c:y val="3.8194444444444448E-2"/>
          <c:w val="0.78373578302712166"/>
          <c:h val="0.83569417104111987"/>
        </c:manualLayout>
      </c:layout>
      <c:scatterChart>
        <c:scatterStyle val="smoothMarker"/>
        <c:varyColors val="0"/>
        <c:ser>
          <c:idx val="4"/>
          <c:order val="0"/>
          <c:tx>
            <c:strRef>
              <c:f>simplified!$B$63</c:f>
              <c:strCache>
                <c:ptCount val="1"/>
                <c:pt idx="0">
                  <c:v>Experiment Data</c:v>
                </c:pt>
              </c:strCache>
            </c:strRef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</c:spPr>
          </c:marker>
          <c:dPt>
            <c:idx val="3"/>
            <c:marker>
              <c:spPr>
                <a:solidFill>
                  <a:schemeClr val="tx1"/>
                </a:solidFill>
                <a:ln w="12700">
                  <a:solidFill>
                    <a:schemeClr val="tx1">
                      <a:alpha val="98000"/>
                    </a:schemeClr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228B-4229-AB70-F608078C6244}"/>
              </c:ext>
            </c:extLst>
          </c:dPt>
          <c:xVal>
            <c:numRef>
              <c:f>simplified!$A$64:$A$69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simplified!$B$64:$B$69</c:f>
              <c:numCache>
                <c:formatCode>General</c:formatCode>
                <c:ptCount val="6"/>
                <c:pt idx="0">
                  <c:v>0</c:v>
                </c:pt>
                <c:pt idx="1">
                  <c:v>2.8984348604635448</c:v>
                </c:pt>
                <c:pt idx="2">
                  <c:v>3.4117634637475502</c:v>
                </c:pt>
                <c:pt idx="3">
                  <c:v>3.1894722616392999</c:v>
                </c:pt>
                <c:pt idx="4">
                  <c:v>3.6227321102777212</c:v>
                </c:pt>
                <c:pt idx="5">
                  <c:v>3.6826516994391509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28B-4229-AB70-F608078C6244}"/>
            </c:ext>
          </c:extLst>
        </c:ser>
        <c:ser>
          <c:idx val="0"/>
          <c:order val="1"/>
          <c:tx>
            <c:strRef>
              <c:f>simplified!$C$63</c:f>
              <c:strCache>
                <c:ptCount val="1"/>
                <c:pt idx="0">
                  <c:v>1st Order</c:v>
                </c:pt>
              </c:strCache>
            </c:strRef>
          </c:tx>
          <c:spPr>
            <a:ln w="12700">
              <a:solidFill>
                <a:schemeClr val="tx1"/>
              </a:solidFill>
            </a:ln>
          </c:spPr>
          <c:marker>
            <c:symbol val="none"/>
          </c:marker>
          <c:xVal>
            <c:numRef>
              <c:f>simplified!$A$64:$A$69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simplified!$C$64:$C$69</c:f>
              <c:numCache>
                <c:formatCode>General</c:formatCode>
                <c:ptCount val="6"/>
                <c:pt idx="0">
                  <c:v>0</c:v>
                </c:pt>
                <c:pt idx="1">
                  <c:v>2.8911179692649016</c:v>
                </c:pt>
                <c:pt idx="2">
                  <c:v>3.4604128518058008</c:v>
                </c:pt>
                <c:pt idx="3">
                  <c:v>3.594587618905281</c:v>
                </c:pt>
                <c:pt idx="4">
                  <c:v>3.599991862814135</c:v>
                </c:pt>
                <c:pt idx="5">
                  <c:v>3.5999999999816072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228B-4229-AB70-F608078C6244}"/>
            </c:ext>
          </c:extLst>
        </c:ser>
        <c:ser>
          <c:idx val="2"/>
          <c:order val="2"/>
          <c:tx>
            <c:strRef>
              <c:f>simplified!$D$63</c:f>
              <c:strCache>
                <c:ptCount val="1"/>
                <c:pt idx="0">
                  <c:v>2nd Order</c:v>
                </c:pt>
              </c:strCache>
            </c:strRef>
          </c:tx>
          <c:spPr>
            <a:ln w="25400">
              <a:solidFill>
                <a:schemeClr val="tx1"/>
              </a:solidFill>
              <a:prstDash val="sysDot"/>
            </a:ln>
          </c:spPr>
          <c:marker>
            <c:symbol val="none"/>
          </c:marker>
          <c:xVal>
            <c:numRef>
              <c:f>simplified!$A$64:$A$69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simplified!$D$64:$D$69</c:f>
              <c:numCache>
                <c:formatCode>General</c:formatCode>
                <c:ptCount val="6"/>
                <c:pt idx="0">
                  <c:v>0</c:v>
                </c:pt>
                <c:pt idx="1">
                  <c:v>2.9213872832369945</c:v>
                </c:pt>
                <c:pt idx="2">
                  <c:v>3.3032679738562094</c:v>
                </c:pt>
                <c:pt idx="3">
                  <c:v>3.5342657342657344</c:v>
                </c:pt>
                <c:pt idx="4">
                  <c:v>3.6623188405797102</c:v>
                </c:pt>
                <c:pt idx="5">
                  <c:v>3.729889298892989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228B-4229-AB70-F608078C6244}"/>
            </c:ext>
          </c:extLst>
        </c:ser>
        <c:ser>
          <c:idx val="3"/>
          <c:order val="3"/>
          <c:tx>
            <c:strRef>
              <c:f>simplified!$E$63</c:f>
              <c:strCache>
                <c:ptCount val="1"/>
                <c:pt idx="0">
                  <c:v>Elovich Model</c:v>
                </c:pt>
              </c:strCache>
            </c:strRef>
          </c:tx>
          <c:spPr>
            <a:ln w="12700">
              <a:solidFill>
                <a:schemeClr val="tx1"/>
              </a:solidFill>
              <a:prstDash val="lgDashDot"/>
            </a:ln>
          </c:spPr>
          <c:marker>
            <c:symbol val="none"/>
          </c:marker>
          <c:xVal>
            <c:numRef>
              <c:f>simplified!$A$64:$A$69</c:f>
              <c:numCache>
                <c:formatCode>General</c:formatCode>
                <c:ptCount val="6"/>
                <c:pt idx="0">
                  <c:v>0</c:v>
                </c:pt>
                <c:pt idx="1">
                  <c:v>0.25</c:v>
                </c:pt>
                <c:pt idx="2">
                  <c:v>0.5</c:v>
                </c:pt>
                <c:pt idx="3">
                  <c:v>1</c:v>
                </c:pt>
                <c:pt idx="4">
                  <c:v>2</c:v>
                </c:pt>
                <c:pt idx="5">
                  <c:v>4</c:v>
                </c:pt>
              </c:numCache>
            </c:numRef>
          </c:xVal>
          <c:yVal>
            <c:numRef>
              <c:f>simplified!$E$64:$E$69</c:f>
              <c:numCache>
                <c:formatCode>General</c:formatCode>
                <c:ptCount val="6"/>
                <c:pt idx="0">
                  <c:v>0</c:v>
                </c:pt>
                <c:pt idx="1">
                  <c:v>2.7943929883920213</c:v>
                </c:pt>
                <c:pt idx="2">
                  <c:v>3.051016223663308</c:v>
                </c:pt>
                <c:pt idx="3">
                  <c:v>3.3076884205771364</c:v>
                </c:pt>
                <c:pt idx="4">
                  <c:v>3.5643851055972844</c:v>
                </c:pt>
                <c:pt idx="5">
                  <c:v>3.8210940364925103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28B-4229-AB70-F608078C62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8935552"/>
        <c:axId val="195311104"/>
      </c:scatterChart>
      <c:valAx>
        <c:axId val="188935552"/>
        <c:scaling>
          <c:orientation val="minMax"/>
          <c:max val="4.2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lang="en-US" sz="1200" b="1"/>
                </a:pPr>
                <a:r>
                  <a:rPr lang="en-US" sz="1200" b="1"/>
                  <a:t>t (h)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0_ 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en-US"/>
          </a:p>
        </c:txPr>
        <c:crossAx val="195311104"/>
        <c:crosses val="autoZero"/>
        <c:crossBetween val="midCat"/>
      </c:valAx>
      <c:valAx>
        <c:axId val="19531110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 sz="1200" b="1"/>
                </a:pPr>
                <a:r>
                  <a:rPr lang="en-US" sz="1200" b="1"/>
                  <a:t> q</a:t>
                </a:r>
                <a:r>
                  <a:rPr lang="en-US" sz="1200" b="1" baseline="-25000"/>
                  <a:t>t </a:t>
                </a:r>
                <a:r>
                  <a:rPr lang="en-US" sz="1200" b="1"/>
                  <a:t>(mg/g)</a:t>
                </a:r>
              </a:p>
            </c:rich>
          </c:tx>
          <c:layout>
            <c:manualLayout>
              <c:xMode val="edge"/>
              <c:yMode val="edge"/>
              <c:x val="1.0990509866822203E-2"/>
              <c:y val="0.35498262369981531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/>
            </a:pPr>
            <a:endParaRPr lang="en-US"/>
          </a:p>
        </c:txPr>
        <c:crossAx val="188935552"/>
        <c:crosses val="autoZero"/>
        <c:crossBetween val="midCat"/>
      </c:valAx>
      <c:spPr>
        <a:noFill/>
        <a:ln w="1270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4153015248093988"/>
          <c:y val="0.51087926509186354"/>
          <c:w val="0.4627977752780903"/>
          <c:h val="0.2369892825896763"/>
        </c:manualLayout>
      </c:layout>
      <c:overlay val="0"/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 pitchFamily="34" charset="0"/>
          <a:ea typeface="Times New Roman"/>
          <a:cs typeface="Arial" pitchFamily="34" charset="0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0.21873</cdr:x>
      <cdr:y>0.04437</cdr:y>
    </cdr:from>
    <cdr:to>
      <cdr:x>0.3619</cdr:x>
      <cdr:y>0.15077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698500" y="140335"/>
          <a:ext cx="457200" cy="33655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91440" tIns="45720" rIns="91440" bIns="45720">
          <a:noAutofit/>
        </a:bodyPr>
        <a:lstStyle xmlns:a="http://schemas.openxmlformats.org/drawingml/2006/main"/>
        <a:p xmlns:a="http://schemas.openxmlformats.org/drawingml/2006/main">
          <a:pPr marL="0" marR="0" algn="ctr">
            <a:lnSpc>
              <a:spcPct val="200000"/>
            </a:lnSpc>
            <a:spcBef>
              <a:spcPts val="0"/>
            </a:spcBef>
            <a:spcAft>
              <a:spcPts val="0"/>
            </a:spcAft>
          </a:pPr>
          <a:r>
            <a:rPr lang="en-US" sz="1200"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Malgun Gothic" panose="020B0503020000020004" pitchFamily="34" charset="-127"/>
            </a:rPr>
            <a:t>(a)</a:t>
          </a:r>
          <a:endParaRPr lang="en-US" sz="1200">
            <a:effectLst/>
            <a:latin typeface="Times New Roman" panose="02020603050405020304" pitchFamily="18" charset="0"/>
            <a:ea typeface="Malgun Gothic" panose="020B0503020000020004" pitchFamily="34" charset="-127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0.22271</cdr:x>
      <cdr:y>0.05405</cdr:y>
    </cdr:from>
    <cdr:to>
      <cdr:x>0.36588</cdr:x>
      <cdr:y>0.16095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711200" y="170180"/>
          <a:ext cx="457200" cy="33655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91440" tIns="45720" rIns="91440" bIns="45720">
          <a:noAutofit/>
        </a:bodyPr>
        <a:lstStyle xmlns:a="http://schemas.openxmlformats.org/drawingml/2006/main"/>
        <a:p xmlns:a="http://schemas.openxmlformats.org/drawingml/2006/main">
          <a:pPr marL="0" marR="0" algn="ctr">
            <a:lnSpc>
              <a:spcPct val="200000"/>
            </a:lnSpc>
            <a:spcBef>
              <a:spcPts val="0"/>
            </a:spcBef>
            <a:spcAft>
              <a:spcPts val="0"/>
            </a:spcAft>
          </a:pPr>
          <a:r>
            <a:rPr lang="en-US" sz="1200"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Malgun Gothic" panose="020B0503020000020004" pitchFamily="34" charset="-127"/>
            </a:rPr>
            <a:t>(b)</a:t>
          </a:r>
          <a:endParaRPr lang="en-US" sz="1200">
            <a:effectLst/>
            <a:latin typeface="Times New Roman" panose="02020603050405020304" pitchFamily="18" charset="0"/>
            <a:ea typeface="Malgun Gothic" panose="020B0503020000020004" pitchFamily="34" charset="-127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0.20282</cdr:x>
      <cdr:y>0.04598</cdr:y>
    </cdr:from>
    <cdr:to>
      <cdr:x>0.34599</cdr:x>
      <cdr:y>0.15333</cdr:y>
    </cdr:to>
    <cdr:sp macro="" textlink="">
      <cdr:nvSpPr>
        <cdr:cNvPr id="2" name="Rectangle 1"/>
        <cdr:cNvSpPr/>
      </cdr:nvSpPr>
      <cdr:spPr>
        <a:xfrm xmlns:a="http://schemas.openxmlformats.org/drawingml/2006/main">
          <a:off x="647700" y="144145"/>
          <a:ext cx="457200" cy="336550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91440" tIns="45720" rIns="91440" bIns="45720">
          <a:noAutofit/>
        </a:bodyPr>
        <a:lstStyle xmlns:a="http://schemas.openxmlformats.org/drawingml/2006/main"/>
        <a:p xmlns:a="http://schemas.openxmlformats.org/drawingml/2006/main">
          <a:pPr marL="0" marR="0" algn="ctr">
            <a:lnSpc>
              <a:spcPct val="200000"/>
            </a:lnSpc>
            <a:spcBef>
              <a:spcPts val="0"/>
            </a:spcBef>
            <a:spcAft>
              <a:spcPts val="0"/>
            </a:spcAft>
          </a:pPr>
          <a:r>
            <a:rPr lang="en-US" sz="1200">
              <a:solidFill>
                <a:srgbClr val="000000"/>
              </a:solidFill>
              <a:effectLst>
                <a:outerShdw blurRad="38100" dist="19050" dir="2700000" algn="tl">
                  <a:schemeClr val="dk1">
                    <a:alpha val="40000"/>
                  </a:schemeClr>
                </a:outerShdw>
              </a:effectLst>
              <a:latin typeface="Times New Roman" panose="02020603050405020304" pitchFamily="18" charset="0"/>
              <a:ea typeface="Malgun Gothic" panose="020B0503020000020004" pitchFamily="34" charset="-127"/>
            </a:rPr>
            <a:t>(c)</a:t>
          </a:r>
          <a:endParaRPr lang="en-US" sz="1200">
            <a:effectLst/>
            <a:latin typeface="Times New Roman" panose="02020603050405020304" pitchFamily="18" charset="0"/>
            <a:ea typeface="Malgun Gothic" panose="020B0503020000020004" pitchFamily="34" charset="-127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Chen</dc:creator>
  <cp:keywords/>
  <dc:description/>
  <cp:lastModifiedBy>陈 好</cp:lastModifiedBy>
  <cp:revision>2</cp:revision>
  <dcterms:created xsi:type="dcterms:W3CDTF">2022-02-22T00:36:00Z</dcterms:created>
  <dcterms:modified xsi:type="dcterms:W3CDTF">2022-02-22T00:36:00Z</dcterms:modified>
</cp:coreProperties>
</file>