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C2A9C" w:rsidRPr="003C2A9C" w:rsidRDefault="003C2A9C" w:rsidP="003C2A9C">
      <w:pPr>
        <w:widowControl/>
        <w:snapToGrid w:val="0"/>
        <w:spacing w:line="312" w:lineRule="auto"/>
        <w:jc w:val="center"/>
        <w:rPr>
          <w:rFonts w:ascii="Times New Roman" w:eastAsia="Times New Roman" w:hAnsi="Times New Roman" w:cs="Times New Roman"/>
          <w:b/>
          <w:color w:val="000000"/>
          <w:kern w:val="0"/>
          <w:sz w:val="32"/>
          <w:szCs w:val="28"/>
        </w:rPr>
      </w:pPr>
      <w:r w:rsidRPr="003C2A9C">
        <w:rPr>
          <w:rFonts w:ascii="Times New Roman" w:eastAsia="Times New Roman" w:hAnsi="Times New Roman" w:cs="Times New Roman"/>
          <w:b/>
          <w:color w:val="000000"/>
          <w:kern w:val="0"/>
          <w:sz w:val="32"/>
          <w:szCs w:val="28"/>
        </w:rPr>
        <w:t xml:space="preserve">Implementing a new dose-response model for estimating infection probability of </w:t>
      </w:r>
      <w:r w:rsidRPr="003C2A9C">
        <w:rPr>
          <w:rFonts w:ascii="Times New Roman" w:eastAsia="Times New Roman" w:hAnsi="Times New Roman" w:cs="Times New Roman"/>
          <w:b/>
          <w:i/>
          <w:color w:val="000000"/>
          <w:kern w:val="0"/>
          <w:sz w:val="32"/>
          <w:szCs w:val="28"/>
        </w:rPr>
        <w:t>Campylobacter jejuni</w:t>
      </w:r>
      <w:r w:rsidRPr="003C2A9C">
        <w:rPr>
          <w:rFonts w:ascii="Times New Roman" w:eastAsia="Times New Roman" w:hAnsi="Times New Roman" w:cs="Times New Roman"/>
          <w:b/>
          <w:color w:val="000000"/>
          <w:kern w:val="0"/>
          <w:sz w:val="32"/>
          <w:szCs w:val="28"/>
        </w:rPr>
        <w:t xml:space="preserve"> based on </w:t>
      </w:r>
      <w:r w:rsidRPr="003C2A9C">
        <w:rPr>
          <w:rFonts w:ascii="Times New Roman" w:eastAsia="Times New Roman" w:hAnsi="Times New Roman" w:cs="Times New Roman"/>
          <w:b/>
          <w:color w:val="000000"/>
          <w:kern w:val="0"/>
          <w:sz w:val="32"/>
          <w:szCs w:val="28"/>
        </w:rPr>
        <w:br/>
        <w:t>the key events dose-response framework</w:t>
      </w:r>
    </w:p>
    <w:p w:rsidR="003C2A9C" w:rsidRPr="003C2A9C" w:rsidRDefault="003C2A9C" w:rsidP="003C2A9C">
      <w:pPr>
        <w:widowControl/>
        <w:snapToGrid w:val="0"/>
        <w:spacing w:line="312" w:lineRule="auto"/>
        <w:jc w:val="center"/>
        <w:rPr>
          <w:rFonts w:ascii="Times New Roman" w:eastAsia="Times New Roman" w:hAnsi="Times New Roman" w:cs="Times New Roman"/>
          <w:b/>
          <w:color w:val="000000"/>
          <w:kern w:val="0"/>
          <w:sz w:val="32"/>
          <w:szCs w:val="28"/>
        </w:rPr>
      </w:pPr>
    </w:p>
    <w:p w:rsidR="003C2A9C" w:rsidRDefault="003C2A9C" w:rsidP="003C2A9C">
      <w:pPr>
        <w:widowControl/>
        <w:snapToGrid w:val="0"/>
        <w:spacing w:line="312" w:lineRule="auto"/>
        <w:jc w:val="center"/>
        <w:rPr>
          <w:rFonts w:ascii="Times New Roman" w:eastAsia="ＭＳ 明朝" w:hAnsi="Times New Roman" w:cs="Times New Roman"/>
          <w:b/>
          <w:color w:val="000000"/>
          <w:kern w:val="0"/>
          <w:sz w:val="32"/>
          <w:szCs w:val="28"/>
        </w:rPr>
      </w:pPr>
      <w:r w:rsidRPr="003C2A9C">
        <w:rPr>
          <w:rFonts w:ascii="Times New Roman" w:eastAsia="Times New Roman" w:hAnsi="Times New Roman" w:cs="Times New Roman"/>
          <w:b/>
          <w:color w:val="000000"/>
          <w:kern w:val="0"/>
          <w:sz w:val="32"/>
          <w:szCs w:val="28"/>
        </w:rPr>
        <w:t>Supple</w:t>
      </w:r>
      <w:r w:rsidRPr="003C2A9C">
        <w:rPr>
          <w:rFonts w:ascii="Times New Roman" w:eastAsia="ＭＳ 明朝" w:hAnsi="Times New Roman" w:cs="Times New Roman"/>
          <w:b/>
          <w:color w:val="000000"/>
          <w:kern w:val="0"/>
          <w:sz w:val="32"/>
          <w:szCs w:val="28"/>
        </w:rPr>
        <w:t xml:space="preserve">mentary </w:t>
      </w:r>
      <w:r>
        <w:rPr>
          <w:rFonts w:ascii="Times New Roman" w:eastAsia="ＭＳ 明朝" w:hAnsi="Times New Roman" w:cs="Times New Roman"/>
          <w:b/>
          <w:color w:val="000000"/>
          <w:kern w:val="0"/>
          <w:sz w:val="32"/>
          <w:szCs w:val="28"/>
        </w:rPr>
        <w:t>information</w:t>
      </w:r>
    </w:p>
    <w:p w:rsidR="003D24FA" w:rsidRPr="003C2A9C" w:rsidRDefault="003D24FA" w:rsidP="003C2A9C">
      <w:pPr>
        <w:widowControl/>
        <w:snapToGrid w:val="0"/>
        <w:spacing w:line="312" w:lineRule="auto"/>
        <w:jc w:val="center"/>
        <w:rPr>
          <w:rFonts w:ascii="Times New Roman" w:eastAsia="Times New Roman" w:hAnsi="Times New Roman" w:cs="Times New Roman"/>
          <w:b/>
          <w:color w:val="000000"/>
          <w:kern w:val="0"/>
          <w:sz w:val="32"/>
          <w:szCs w:val="28"/>
        </w:rPr>
      </w:pPr>
    </w:p>
    <w:p w:rsidR="003C2A9C" w:rsidRPr="003C2A9C" w:rsidRDefault="003C2A9C" w:rsidP="003C2A9C">
      <w:pPr>
        <w:widowControl/>
        <w:snapToGrid w:val="0"/>
        <w:spacing w:line="312" w:lineRule="auto"/>
        <w:jc w:val="left"/>
        <w:rPr>
          <w:rFonts w:ascii="Times New Roman" w:eastAsia="Times New Roman" w:hAnsi="Times New Roman" w:cs="Times New Roman"/>
          <w:color w:val="000000"/>
          <w:kern w:val="0"/>
          <w:sz w:val="24"/>
          <w:szCs w:val="22"/>
        </w:rPr>
      </w:pPr>
    </w:p>
    <w:p w:rsidR="003C2A9C" w:rsidRPr="003C2A9C" w:rsidRDefault="003C2A9C" w:rsidP="003C2A9C">
      <w:pPr>
        <w:widowControl/>
        <w:spacing w:line="312" w:lineRule="auto"/>
        <w:jc w:val="right"/>
        <w:rPr>
          <w:rFonts w:ascii="Times New Roman" w:eastAsia="Times New Roman" w:hAnsi="Times New Roman" w:cs="Times New Roman"/>
          <w:color w:val="000000"/>
          <w:kern w:val="0"/>
          <w:sz w:val="24"/>
          <w:szCs w:val="22"/>
        </w:rPr>
      </w:pPr>
      <w:r w:rsidRPr="003C2A9C">
        <w:rPr>
          <w:rFonts w:ascii="Times New Roman" w:eastAsia="Times New Roman" w:hAnsi="Times New Roman" w:cs="Times New Roman"/>
          <w:color w:val="000000"/>
          <w:kern w:val="0"/>
          <w:sz w:val="24"/>
          <w:szCs w:val="22"/>
        </w:rPr>
        <w:t>Hiroki Abe, Kohei Takeoka, Yuto Fuchisawa, Kento Koyama, Shigenobu Koseki</w:t>
      </w:r>
      <w:r w:rsidRPr="003C2A9C">
        <w:rPr>
          <w:rFonts w:ascii="Times New Roman" w:eastAsia="Times New Roman" w:hAnsi="Times New Roman" w:cs="Times New Roman"/>
          <w:color w:val="000000"/>
          <w:kern w:val="0"/>
          <w:sz w:val="24"/>
          <w:szCs w:val="22"/>
          <w:vertAlign w:val="superscript"/>
        </w:rPr>
        <w:t>*</w:t>
      </w:r>
    </w:p>
    <w:p w:rsidR="003C2A9C" w:rsidRPr="003C2A9C" w:rsidRDefault="003C2A9C" w:rsidP="003C2A9C">
      <w:pPr>
        <w:widowControl/>
        <w:snapToGrid w:val="0"/>
        <w:spacing w:line="312" w:lineRule="auto"/>
        <w:jc w:val="left"/>
        <w:rPr>
          <w:rFonts w:ascii="Times New Roman" w:eastAsia="Times New Roman" w:hAnsi="Times New Roman" w:cs="Times New Roman"/>
          <w:color w:val="000000"/>
          <w:kern w:val="0"/>
          <w:sz w:val="24"/>
          <w:szCs w:val="22"/>
        </w:rPr>
      </w:pPr>
    </w:p>
    <w:p w:rsidR="003C2A9C" w:rsidRPr="003C2A9C" w:rsidRDefault="003C2A9C" w:rsidP="003C2A9C">
      <w:pPr>
        <w:widowControl/>
        <w:snapToGrid w:val="0"/>
        <w:spacing w:line="312" w:lineRule="auto"/>
        <w:jc w:val="right"/>
        <w:rPr>
          <w:rFonts w:ascii="Times New Roman" w:eastAsia="Times New Roman" w:hAnsi="Times New Roman" w:cs="Times New Roman"/>
          <w:kern w:val="0"/>
          <w:sz w:val="24"/>
          <w:szCs w:val="22"/>
        </w:rPr>
      </w:pPr>
      <w:r w:rsidRPr="003C2A9C">
        <w:rPr>
          <w:rFonts w:ascii="Times New Roman" w:eastAsia="Times New Roman" w:hAnsi="Times New Roman" w:cs="Times New Roman"/>
          <w:kern w:val="0"/>
          <w:sz w:val="24"/>
          <w:szCs w:val="22"/>
        </w:rPr>
        <w:t>Graduate School of Agricultural Science, Hokkaido University, Kita-9, Nishi-9, Kita-ku, Sapporo 060-8589, Japan</w:t>
      </w:r>
    </w:p>
    <w:p w:rsidR="003C2A9C" w:rsidRPr="003C2A9C" w:rsidRDefault="003C2A9C" w:rsidP="003C2A9C">
      <w:pPr>
        <w:widowControl/>
        <w:snapToGrid w:val="0"/>
        <w:spacing w:line="312" w:lineRule="auto"/>
        <w:jc w:val="left"/>
        <w:rPr>
          <w:rFonts w:ascii="Times New Roman" w:eastAsia="Times New Roman" w:hAnsi="Times New Roman" w:cs="Times New Roman"/>
          <w:kern w:val="0"/>
          <w:sz w:val="24"/>
          <w:szCs w:val="22"/>
        </w:rPr>
      </w:pPr>
    </w:p>
    <w:p w:rsidR="003C2A9C" w:rsidRPr="003C2A9C" w:rsidRDefault="003C2A9C" w:rsidP="003C2A9C">
      <w:pPr>
        <w:widowControl/>
        <w:spacing w:line="312" w:lineRule="auto"/>
        <w:jc w:val="right"/>
        <w:rPr>
          <w:rFonts w:ascii="Times New Roman" w:eastAsia="Times New Roman" w:hAnsi="Times New Roman" w:cs="Times New Roman"/>
          <w:kern w:val="0"/>
          <w:sz w:val="24"/>
          <w:szCs w:val="22"/>
        </w:rPr>
      </w:pPr>
      <w:r w:rsidRPr="003C2A9C">
        <w:rPr>
          <w:rFonts w:ascii="Times New Roman" w:eastAsia="Times New Roman" w:hAnsi="Times New Roman" w:cs="Times New Roman"/>
          <w:kern w:val="0"/>
          <w:sz w:val="24"/>
          <w:szCs w:val="22"/>
          <w:vertAlign w:val="superscript"/>
        </w:rPr>
        <w:t>*</w:t>
      </w:r>
      <w:r w:rsidRPr="003C2A9C">
        <w:rPr>
          <w:rFonts w:ascii="Times New Roman" w:eastAsia="Times New Roman" w:hAnsi="Times New Roman" w:cs="Times New Roman"/>
          <w:kern w:val="0"/>
          <w:sz w:val="24"/>
          <w:szCs w:val="22"/>
        </w:rPr>
        <w:t>Corresponding author: Phone/fax: +81 11 706 2552</w:t>
      </w:r>
    </w:p>
    <w:p w:rsidR="00B20D9F" w:rsidRDefault="003C2A9C" w:rsidP="003C2A9C">
      <w:pPr>
        <w:spacing w:line="312" w:lineRule="auto"/>
        <w:jc w:val="right"/>
        <w:rPr>
          <w:rFonts w:ascii="Times New Roman" w:eastAsia="Times New Roman" w:hAnsi="Times New Roman" w:cs="Times New Roman"/>
          <w:kern w:val="0"/>
          <w:sz w:val="24"/>
          <w:szCs w:val="22"/>
        </w:rPr>
      </w:pPr>
      <w:r w:rsidRPr="003C2A9C">
        <w:rPr>
          <w:rFonts w:ascii="Times New Roman" w:eastAsia="Times New Roman" w:hAnsi="Times New Roman" w:cs="Times New Roman"/>
          <w:i/>
          <w:kern w:val="0"/>
          <w:sz w:val="24"/>
          <w:szCs w:val="22"/>
        </w:rPr>
        <w:t>E-mail address</w:t>
      </w:r>
      <w:r w:rsidRPr="003C2A9C">
        <w:rPr>
          <w:rFonts w:ascii="Times New Roman" w:eastAsia="Times New Roman" w:hAnsi="Times New Roman" w:cs="Times New Roman"/>
          <w:kern w:val="0"/>
          <w:sz w:val="24"/>
          <w:szCs w:val="22"/>
        </w:rPr>
        <w:t>: koseki@bpe.agr.hokudai.ac.jp (S. Koseki)</w:t>
      </w:r>
    </w:p>
    <w:p w:rsidR="003C2A9C" w:rsidRDefault="003C2A9C">
      <w:pPr>
        <w:widowControl/>
        <w:jc w:val="left"/>
        <w:rPr>
          <w:rFonts w:ascii="Times New Roman" w:eastAsia="Times New Roman" w:hAnsi="Times New Roman" w:cs="Times New Roman"/>
          <w:kern w:val="0"/>
          <w:sz w:val="24"/>
          <w:szCs w:val="22"/>
        </w:rPr>
      </w:pPr>
      <w:r>
        <w:rPr>
          <w:rFonts w:ascii="Times New Roman" w:eastAsia="Times New Roman" w:hAnsi="Times New Roman" w:cs="Times New Roman"/>
          <w:kern w:val="0"/>
          <w:sz w:val="24"/>
          <w:szCs w:val="22"/>
        </w:rPr>
        <w:br w:type="page"/>
      </w:r>
    </w:p>
    <w:p w:rsidR="00241DB5" w:rsidRPr="00860F70" w:rsidRDefault="00241DB5" w:rsidP="00241DB5">
      <w:pPr>
        <w:spacing w:line="276" w:lineRule="auto"/>
        <w:jc w:val="center"/>
        <w:rPr>
          <w:rFonts w:ascii="Times New Roman" w:eastAsia="Times New Roman" w:hAnsi="Times New Roman" w:cs="Times New Roman"/>
          <w:sz w:val="24"/>
        </w:rPr>
      </w:pPr>
      <w:r w:rsidRPr="00860F70">
        <w:rPr>
          <w:rFonts w:ascii="Times New Roman" w:eastAsia="Times New Roman" w:hAnsi="Times New Roman" w:cs="Times New Roman"/>
          <w:sz w:val="24"/>
        </w:rPr>
        <w:lastRenderedPageBreak/>
        <w:t xml:space="preserve">Table </w:t>
      </w:r>
      <w:r w:rsidR="009A6912">
        <w:rPr>
          <w:rFonts w:ascii="Times New Roman" w:eastAsia="Times New Roman" w:hAnsi="Times New Roman" w:cs="Times New Roman"/>
          <w:sz w:val="24"/>
        </w:rPr>
        <w:t>S</w:t>
      </w:r>
      <w:r w:rsidRPr="00860F70">
        <w:rPr>
          <w:rFonts w:ascii="Times New Roman" w:eastAsia="Times New Roman" w:hAnsi="Times New Roman" w:cs="Times New Roman"/>
          <w:sz w:val="24"/>
        </w:rPr>
        <w:t>1. Details of components in the constructed key events dose-response model</w:t>
      </w:r>
    </w:p>
    <w:tbl>
      <w:tblPr>
        <w:tblStyle w:val="ae"/>
        <w:tblpPr w:leftFromText="142" w:rightFromText="142" w:vertAnchor="page" w:horzAnchor="margin" w:tblpXSpec="center" w:tblpY="2476"/>
        <w:tblW w:w="0" w:type="auto"/>
        <w:tblBorders>
          <w:left w:val="nil"/>
          <w:right w:val="nil"/>
          <w:insideH w:val="nil"/>
          <w:insideV w:val="nil"/>
        </w:tblBorders>
        <w:tblLook w:val="04A0" w:firstRow="1" w:lastRow="0" w:firstColumn="1" w:lastColumn="0" w:noHBand="0" w:noVBand="1"/>
      </w:tblPr>
      <w:tblGrid>
        <w:gridCol w:w="1560"/>
        <w:gridCol w:w="1700"/>
        <w:gridCol w:w="3680"/>
        <w:gridCol w:w="1558"/>
      </w:tblGrid>
      <w:tr w:rsidR="00241DB5" w:rsidRPr="00860F70" w:rsidTr="005C7223">
        <w:tc>
          <w:tcPr>
            <w:tcW w:w="1560" w:type="dxa"/>
            <w:tcBorders>
              <w:top w:val="single" w:sz="4" w:space="0" w:color="auto"/>
              <w:bottom w:val="single" w:sz="4" w:space="0" w:color="auto"/>
            </w:tcBorders>
          </w:tcPr>
          <w:p w:rsidR="00241DB5" w:rsidRPr="00860F70" w:rsidRDefault="00241DB5" w:rsidP="005C7223">
            <w:pPr>
              <w:spacing w:line="276" w:lineRule="auto"/>
              <w:rPr>
                <w:rFonts w:ascii="Times New Roman" w:eastAsia="Times New Roman" w:hAnsi="Times New Roman" w:cs="Times New Roman"/>
                <w:sz w:val="24"/>
              </w:rPr>
            </w:pPr>
            <w:r w:rsidRPr="00860F70">
              <w:rPr>
                <w:rFonts w:ascii="Times New Roman" w:eastAsia="Times New Roman" w:hAnsi="Times New Roman" w:cs="Times New Roman"/>
                <w:sz w:val="24"/>
              </w:rPr>
              <w:t>Abbreviation</w:t>
            </w:r>
          </w:p>
        </w:tc>
        <w:tc>
          <w:tcPr>
            <w:tcW w:w="1701" w:type="dxa"/>
            <w:tcBorders>
              <w:top w:val="single" w:sz="4" w:space="0" w:color="auto"/>
              <w:bottom w:val="single" w:sz="4" w:space="0" w:color="auto"/>
            </w:tcBorders>
          </w:tcPr>
          <w:p w:rsidR="00241DB5" w:rsidRPr="00860F70" w:rsidRDefault="00241DB5" w:rsidP="005C7223">
            <w:pPr>
              <w:spacing w:line="276" w:lineRule="auto"/>
              <w:rPr>
                <w:rFonts w:ascii="Times New Roman" w:eastAsia="Times New Roman" w:hAnsi="Times New Roman" w:cs="Times New Roman"/>
                <w:sz w:val="24"/>
              </w:rPr>
            </w:pPr>
            <w:r w:rsidRPr="00860F70">
              <w:rPr>
                <w:rFonts w:ascii="Times New Roman" w:eastAsia="Times New Roman" w:hAnsi="Times New Roman" w:cs="Times New Roman"/>
                <w:sz w:val="24"/>
              </w:rPr>
              <w:t>Section</w:t>
            </w:r>
          </w:p>
        </w:tc>
        <w:tc>
          <w:tcPr>
            <w:tcW w:w="3685" w:type="dxa"/>
            <w:tcBorders>
              <w:top w:val="single" w:sz="4" w:space="0" w:color="auto"/>
              <w:bottom w:val="single" w:sz="4" w:space="0" w:color="auto"/>
            </w:tcBorders>
          </w:tcPr>
          <w:p w:rsidR="00241DB5" w:rsidRPr="00860F70" w:rsidRDefault="00241DB5" w:rsidP="005C7223">
            <w:pPr>
              <w:spacing w:line="276" w:lineRule="auto"/>
              <w:rPr>
                <w:rFonts w:ascii="Times New Roman" w:eastAsia="Times New Roman" w:hAnsi="Times New Roman" w:cs="Times New Roman"/>
                <w:sz w:val="24"/>
              </w:rPr>
            </w:pPr>
            <w:r w:rsidRPr="00860F70">
              <w:rPr>
                <w:rFonts w:ascii="Times New Roman" w:eastAsia="Times New Roman" w:hAnsi="Times New Roman" w:cs="Times New Roman"/>
                <w:sz w:val="24"/>
              </w:rPr>
              <w:t>Detail of components</w:t>
            </w:r>
          </w:p>
        </w:tc>
        <w:tc>
          <w:tcPr>
            <w:tcW w:w="1559" w:type="dxa"/>
            <w:tcBorders>
              <w:top w:val="single" w:sz="4" w:space="0" w:color="auto"/>
              <w:bottom w:val="single" w:sz="4" w:space="0" w:color="auto"/>
            </w:tcBorders>
          </w:tcPr>
          <w:p w:rsidR="00241DB5" w:rsidRPr="00860F70" w:rsidRDefault="00241DB5" w:rsidP="005C7223">
            <w:pPr>
              <w:spacing w:line="276" w:lineRule="auto"/>
              <w:rPr>
                <w:rFonts w:ascii="Times New Roman" w:eastAsia="Times New Roman" w:hAnsi="Times New Roman" w:cs="Times New Roman"/>
                <w:sz w:val="24"/>
              </w:rPr>
            </w:pPr>
            <w:r w:rsidRPr="00860F70">
              <w:rPr>
                <w:rFonts w:ascii="Times New Roman" w:eastAsia="Times New Roman" w:hAnsi="Times New Roman" w:cs="Times New Roman"/>
                <w:sz w:val="24"/>
              </w:rPr>
              <w:t>Data source</w:t>
            </w:r>
          </w:p>
        </w:tc>
      </w:tr>
      <w:tr w:rsidR="00241DB5" w:rsidRPr="00860F70" w:rsidTr="005C7223">
        <w:tc>
          <w:tcPr>
            <w:tcW w:w="1560" w:type="dxa"/>
            <w:tcBorders>
              <w:top w:val="single" w:sz="4" w:space="0" w:color="auto"/>
              <w:bottom w:val="single" w:sz="4" w:space="0" w:color="auto"/>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dose</m:t>
                    </m:r>
                  </m:sub>
                </m:sSub>
              </m:oMath>
            </m:oMathPara>
          </w:p>
        </w:tc>
        <w:tc>
          <w:tcPr>
            <w:tcW w:w="1701" w:type="dxa"/>
            <w:tcBorders>
              <w:top w:val="single" w:sz="4" w:space="0" w:color="auto"/>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Dose</w:t>
            </w:r>
          </w:p>
        </w:tc>
        <w:tc>
          <w:tcPr>
            <w:tcW w:w="3685" w:type="dxa"/>
            <w:tcBorders>
              <w:top w:val="single" w:sz="4" w:space="0" w:color="auto"/>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Pathogen count intake</w:t>
            </w:r>
          </w:p>
        </w:tc>
        <w:tc>
          <w:tcPr>
            <w:tcW w:w="1559" w:type="dxa"/>
            <w:tcBorders>
              <w:top w:val="single" w:sz="4" w:space="0" w:color="auto"/>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Describing variables</w:t>
            </w:r>
          </w:p>
        </w:tc>
      </w:tr>
      <w:tr w:rsidR="00241DB5" w:rsidRPr="00860F70" w:rsidTr="005C7223">
        <w:tc>
          <w:tcPr>
            <w:tcW w:w="1560" w:type="dxa"/>
            <w:tcBorders>
              <w:top w:val="single" w:sz="4" w:space="0" w:color="auto"/>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pH</m:t>
                    </m:r>
                  </m:e>
                  <m:sub>
                    <m:r>
                      <m:rPr>
                        <m:sty m:val="p"/>
                      </m:rPr>
                      <w:rPr>
                        <w:rFonts w:ascii="Cambria Math" w:hAnsi="Cambria Math" w:cs="Times New Roman"/>
                        <w:sz w:val="24"/>
                      </w:rPr>
                      <m:t>0</m:t>
                    </m:r>
                  </m:sub>
                </m:sSub>
              </m:oMath>
            </m:oMathPara>
          </w:p>
        </w:tc>
        <w:tc>
          <w:tcPr>
            <w:tcW w:w="1701"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pH change of gastric juice after meal</w:t>
            </w:r>
          </w:p>
        </w:tc>
        <w:tc>
          <w:tcPr>
            <w:tcW w:w="3685" w:type="dxa"/>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pH immediately after meal</w:t>
            </w:r>
          </w:p>
        </w:tc>
        <w:tc>
          <w:tcPr>
            <w:tcW w:w="1559" w:type="dxa"/>
            <w:vMerge w:val="restart"/>
            <w:tcBorders>
              <w:top w:val="single" w:sz="4" w:space="0" w:color="auto"/>
              <w:bottom w:val="single" w:sz="4" w:space="0" w:color="auto"/>
            </w:tcBorders>
            <w:vAlign w:val="center"/>
          </w:tcPr>
          <w:p w:rsidR="00241DB5" w:rsidRDefault="00241DB5" w:rsidP="00241DB5">
            <w:pPr>
              <w:rPr>
                <w:rFonts w:ascii="Times New Roman" w:eastAsia="Times New Roman" w:hAnsi="Times New Roman" w:cs="Times New Roman"/>
                <w:sz w:val="16"/>
              </w:rPr>
            </w:pPr>
            <w:r w:rsidRPr="00860F70">
              <w:rPr>
                <w:rFonts w:ascii="Times New Roman" w:eastAsia="Times New Roman" w:hAnsi="Times New Roman" w:cs="Times New Roman"/>
                <w:sz w:val="16"/>
              </w:rPr>
              <w:t xml:space="preserve">Younger pH: </w:t>
            </w:r>
            <w:r w:rsidRPr="00860F70">
              <w:rPr>
                <w:rFonts w:ascii="Times New Roman" w:hAnsi="Times New Roman" w:cs="Times New Roman"/>
              </w:rPr>
              <w:br/>
            </w:r>
            <w:r w:rsidRPr="00860F70">
              <w:rPr>
                <w:rFonts w:ascii="Times New Roman" w:eastAsia="Times New Roman" w:hAnsi="Times New Roman" w:cs="Times New Roman"/>
                <w:sz w:val="16"/>
              </w:rPr>
              <w:t>Dressman et al.,</w:t>
            </w:r>
            <w:r>
              <w:rPr>
                <w:rFonts w:ascii="Times New Roman" w:eastAsia="Times New Roman" w:hAnsi="Times New Roman" w:cs="Times New Roman"/>
                <w:sz w:val="16"/>
              </w:rPr>
              <w:t xml:space="preserve"> </w:t>
            </w:r>
            <w:r w:rsidRPr="00241DB5">
              <w:rPr>
                <w:rFonts w:ascii="Times New Roman" w:eastAsia="Times New Roman" w:hAnsi="Times New Roman" w:cs="Times New Roman"/>
                <w:sz w:val="16"/>
                <w:vertAlign w:val="superscript"/>
              </w:rPr>
              <w:t>19</w:t>
            </w:r>
          </w:p>
          <w:p w:rsidR="00241DB5" w:rsidRPr="00860F70" w:rsidRDefault="00241DB5" w:rsidP="00241DB5">
            <w:pPr>
              <w:rPr>
                <w:rFonts w:ascii="Times New Roman" w:eastAsia="Times New Roman" w:hAnsi="Times New Roman" w:cs="Times New Roman"/>
                <w:sz w:val="16"/>
              </w:rPr>
            </w:pPr>
            <w:r w:rsidRPr="00860F70">
              <w:rPr>
                <w:rFonts w:ascii="Times New Roman" w:eastAsia="Times New Roman" w:hAnsi="Times New Roman" w:cs="Times New Roman"/>
                <w:sz w:val="16"/>
              </w:rPr>
              <w:t>Elder pH:</w:t>
            </w:r>
            <w:r w:rsidRPr="00860F70">
              <w:rPr>
                <w:rFonts w:ascii="Times New Roman" w:hAnsi="Times New Roman" w:cs="Times New Roman"/>
              </w:rPr>
              <w:br/>
            </w:r>
            <w:r w:rsidRPr="00860F70">
              <w:rPr>
                <w:rFonts w:ascii="Times New Roman" w:eastAsia="Times New Roman" w:hAnsi="Times New Roman" w:cs="Times New Roman"/>
                <w:sz w:val="16"/>
              </w:rPr>
              <w:t xml:space="preserve">Russel et al., </w:t>
            </w:r>
            <w:r w:rsidRPr="00241DB5">
              <w:rPr>
                <w:rFonts w:ascii="Times New Roman" w:eastAsia="Times New Roman" w:hAnsi="Times New Roman" w:cs="Times New Roman"/>
                <w:sz w:val="16"/>
                <w:vertAlign w:val="superscript"/>
              </w:rPr>
              <w:t>20</w:t>
            </w:r>
          </w:p>
        </w:tc>
      </w:tr>
      <w:tr w:rsidR="00241DB5" w:rsidRPr="00860F70" w:rsidTr="005C7223">
        <w:tc>
          <w:tcPr>
            <w:tcW w:w="1560" w:type="dxa"/>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k</m:t>
                    </m:r>
                  </m:e>
                  <m:sub>
                    <m:r>
                      <w:rPr>
                        <w:rFonts w:ascii="Cambria Math" w:hAnsi="Cambria Math" w:cs="Times New Roman"/>
                        <w:sz w:val="24"/>
                      </w:rPr>
                      <m:t>pH</m:t>
                    </m:r>
                  </m:sub>
                </m:sSub>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Rate of decrease in pH</w:t>
            </w:r>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pH</m:t>
                    </m:r>
                  </m:e>
                  <m:sub>
                    <m:r>
                      <w:rPr>
                        <w:rFonts w:ascii="Cambria Math" w:hAnsi="Cambria Math" w:cs="Times New Roman"/>
                        <w:sz w:val="24"/>
                      </w:rPr>
                      <m:t>min</m:t>
                    </m:r>
                  </m:sub>
                </m:sSub>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Minimum pH value</w:t>
            </w:r>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bottom w:val="single" w:sz="4" w:space="0" w:color="auto"/>
            </w:tcBorders>
          </w:tcPr>
          <w:p w:rsidR="00241DB5" w:rsidRPr="00860F70" w:rsidRDefault="00320F48" w:rsidP="005C7223">
            <w:pPr>
              <w:spacing w:line="276" w:lineRule="auto"/>
              <w:rPr>
                <w:rFonts w:ascii="Times New Roman" w:eastAsia="Times New Roman" w:hAnsi="Times New Roman" w:cs="Times New Roman"/>
                <w:i/>
                <w:sz w:val="24"/>
              </w:rPr>
            </w:pPr>
            <m:oMathPara>
              <m:oMath>
                <m:sSub>
                  <m:sSubPr>
                    <m:ctrlPr>
                      <w:rPr>
                        <w:rFonts w:ascii="Cambria Math" w:hAnsi="Cambria Math" w:cs="Times New Roman"/>
                        <w:i/>
                        <w:sz w:val="24"/>
                      </w:rPr>
                    </m:ctrlPr>
                  </m:sSubPr>
                  <m:e>
                    <m:r>
                      <w:rPr>
                        <w:rFonts w:ascii="Cambria Math" w:hAnsi="Cambria Math" w:cs="Times New Roman"/>
                        <w:sz w:val="24"/>
                      </w:rPr>
                      <m:t>σ</m:t>
                    </m:r>
                  </m:e>
                  <m:sub>
                    <m:r>
                      <w:rPr>
                        <w:rFonts w:ascii="Cambria Math" w:hAnsi="Cambria Math" w:cs="Times New Roman"/>
                        <w:sz w:val="24"/>
                      </w:rPr>
                      <m:t>pH</m:t>
                    </m:r>
                  </m:sub>
                </m:sSub>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S.D. of pH prediction</w:t>
            </w:r>
          </w:p>
        </w:tc>
        <w:tc>
          <w:tcPr>
            <w:tcW w:w="1559"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top w:val="single" w:sz="4" w:space="0" w:color="auto"/>
            </w:tcBorders>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a</m:t>
                </m:r>
              </m:oMath>
            </m:oMathPara>
          </w:p>
        </w:tc>
        <w:tc>
          <w:tcPr>
            <w:tcW w:w="1701"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Pathogen reduction model in gastric juice</w:t>
            </w:r>
          </w:p>
        </w:tc>
        <w:tc>
          <w:tcPr>
            <w:tcW w:w="3685" w:type="dxa"/>
            <w:vMerge w:val="restart"/>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 xml:space="preserve">Secondary parameter of </w:t>
            </w:r>
            <m:oMath>
              <m:r>
                <w:rPr>
                  <w:rFonts w:ascii="Cambria Math" w:hAnsi="Cambria Math" w:cs="Times New Roman"/>
                  <w:sz w:val="18"/>
                  <w:szCs w:val="18"/>
                </w:rPr>
                <m:t>δ</m:t>
              </m:r>
            </m:oMath>
          </w:p>
        </w:tc>
        <w:tc>
          <w:tcPr>
            <w:tcW w:w="1559" w:type="dxa"/>
            <w:vMerge w:val="restart"/>
            <w:tcBorders>
              <w:top w:val="single" w:sz="4" w:space="0" w:color="auto"/>
            </w:tcBorders>
            <w:vAlign w:val="center"/>
          </w:tcPr>
          <w:p w:rsidR="00241DB5" w:rsidRPr="00860F70" w:rsidRDefault="00241DB5" w:rsidP="00241DB5">
            <w:pPr>
              <w:rPr>
                <w:rFonts w:ascii="Times New Roman" w:eastAsia="Times New Roman" w:hAnsi="Times New Roman" w:cs="Times New Roman"/>
                <w:sz w:val="16"/>
              </w:rPr>
            </w:pPr>
            <w:r w:rsidRPr="00860F70">
              <w:rPr>
                <w:rFonts w:ascii="Times New Roman" w:eastAsia="Times New Roman" w:hAnsi="Times New Roman" w:cs="Times New Roman"/>
                <w:sz w:val="16"/>
              </w:rPr>
              <w:t xml:space="preserve">Takeoka et al., </w:t>
            </w:r>
            <w:r>
              <w:rPr>
                <w:rFonts w:ascii="Times New Roman" w:eastAsia="Times New Roman" w:hAnsi="Times New Roman" w:cs="Times New Roman"/>
                <w:sz w:val="16"/>
              </w:rPr>
              <w:br/>
            </w:r>
            <w:r w:rsidRPr="00860F70">
              <w:rPr>
                <w:rFonts w:ascii="Times New Roman" w:eastAsia="Times New Roman" w:hAnsi="Times New Roman" w:cs="Times New Roman"/>
                <w:sz w:val="16"/>
              </w:rPr>
              <w:t>in submission</w:t>
            </w:r>
          </w:p>
        </w:tc>
      </w:tr>
      <w:tr w:rsidR="00241DB5" w:rsidRPr="00860F70" w:rsidTr="005C7223">
        <w:tc>
          <w:tcPr>
            <w:tcW w:w="1560" w:type="dxa"/>
          </w:tcPr>
          <w:p w:rsidR="00241DB5" w:rsidRPr="00860F70" w:rsidRDefault="00241DB5" w:rsidP="005C7223">
            <w:pPr>
              <w:spacing w:line="276" w:lineRule="auto"/>
              <w:rPr>
                <w:rFonts w:ascii="Times New Roman" w:eastAsia="Times New Roman" w:hAnsi="Times New Roman" w:cs="Times New Roman"/>
                <w:sz w:val="24"/>
              </w:rPr>
            </w:pPr>
            <m:oMathPara>
              <m:oMath>
                <m:r>
                  <w:rPr>
                    <w:rFonts w:ascii="Cambria Math" w:hAnsi="Cambria Math" w:cs="Times New Roman"/>
                    <w:sz w:val="24"/>
                  </w:rPr>
                  <m:t>b</m:t>
                </m:r>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Merge/>
            <w:tcBorders>
              <w:top w:val="nil"/>
            </w:tcBorders>
          </w:tcPr>
          <w:p w:rsidR="00241DB5" w:rsidRPr="00860F70" w:rsidRDefault="00241DB5" w:rsidP="005C7223">
            <w:pPr>
              <w:spacing w:line="276" w:lineRule="auto"/>
              <w:rPr>
                <w:rFonts w:ascii="Times New Roman" w:hAnsi="Times New Roman" w:cs="Times New Roman"/>
              </w:rPr>
            </w:pPr>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Pr>
          <w:p w:rsidR="00241DB5" w:rsidRPr="00860F70" w:rsidRDefault="00241DB5" w:rsidP="005C7223">
            <w:pPr>
              <w:spacing w:line="276" w:lineRule="auto"/>
              <w:rPr>
                <w:rFonts w:ascii="Times New Roman" w:eastAsia="Times New Roman" w:hAnsi="Times New Roman" w:cs="Times New Roman"/>
                <w:sz w:val="24"/>
              </w:rPr>
            </w:pPr>
            <m:oMathPara>
              <m:oMath>
                <m:r>
                  <w:rPr>
                    <w:rFonts w:ascii="Cambria Math" w:hAnsi="Cambria Math" w:cs="Times New Roman"/>
                    <w:sz w:val="24"/>
                  </w:rPr>
                  <m:t>e</m:t>
                </m:r>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Merge w:val="restart"/>
            <w:vAlign w:val="center"/>
          </w:tcPr>
          <w:p w:rsidR="00241DB5" w:rsidRPr="00860F70" w:rsidRDefault="00241DB5" w:rsidP="005C7223">
            <w:pPr>
              <w:spacing w:line="276" w:lineRule="auto"/>
              <w:rPr>
                <w:rFonts w:ascii="Times New Roman" w:eastAsia="Times New Roman" w:hAnsi="Times New Roman" w:cs="Times New Roman"/>
                <w:i/>
                <w:sz w:val="18"/>
              </w:rPr>
            </w:pPr>
            <w:r w:rsidRPr="00860F70">
              <w:rPr>
                <w:rFonts w:ascii="Times New Roman" w:eastAsia="Times New Roman" w:hAnsi="Times New Roman" w:cs="Times New Roman"/>
                <w:sz w:val="18"/>
              </w:rPr>
              <w:t xml:space="preserve">Secondary parameter of </w:t>
            </w:r>
            <m:oMath>
              <m:r>
                <w:rPr>
                  <w:rFonts w:ascii="Cambria Math" w:hAnsi="Cambria Math" w:cs="Times New Roman"/>
                  <w:sz w:val="18"/>
                  <w:szCs w:val="18"/>
                </w:rPr>
                <m:t>p</m:t>
              </m:r>
            </m:oMath>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Pr>
          <w:p w:rsidR="00241DB5" w:rsidRPr="00860F70" w:rsidRDefault="00241DB5" w:rsidP="005C7223">
            <w:pPr>
              <w:spacing w:line="276" w:lineRule="auto"/>
              <w:rPr>
                <w:rFonts w:ascii="Times New Roman" w:eastAsia="Times New Roman" w:hAnsi="Times New Roman" w:cs="Times New Roman"/>
                <w:sz w:val="24"/>
              </w:rPr>
            </w:pPr>
            <m:oMathPara>
              <m:oMath>
                <m:r>
                  <w:rPr>
                    <w:rFonts w:ascii="Cambria Math" w:hAnsi="Cambria Math" w:cs="Times New Roman"/>
                    <w:sz w:val="24"/>
                  </w:rPr>
                  <m:t>f</m:t>
                </m:r>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Merge/>
            <w:tcBorders>
              <w:top w:val="nil"/>
            </w:tcBorders>
          </w:tcPr>
          <w:p w:rsidR="00241DB5" w:rsidRPr="00860F70" w:rsidRDefault="00241DB5" w:rsidP="005C7223">
            <w:pPr>
              <w:spacing w:line="276" w:lineRule="auto"/>
              <w:rPr>
                <w:rFonts w:ascii="Times New Roman" w:hAnsi="Times New Roman" w:cs="Times New Roman"/>
              </w:rPr>
            </w:pPr>
          </w:p>
        </w:tc>
        <w:tc>
          <w:tcPr>
            <w:tcW w:w="1559" w:type="dxa"/>
            <w:vMerge/>
            <w:tcBorders>
              <w:top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bottom w:val="single" w:sz="4" w:space="0" w:color="auto"/>
            </w:tcBorders>
          </w:tcPr>
          <w:p w:rsidR="00241DB5" w:rsidRPr="00860F70" w:rsidRDefault="00320F48" w:rsidP="005C7223">
            <w:pPr>
              <w:spacing w:line="276" w:lineRule="auto"/>
              <w:rPr>
                <w:rFonts w:ascii="Times New Roman" w:eastAsia="Times New Roman" w:hAnsi="Times New Roman" w:cs="Times New Roman"/>
                <w:i/>
                <w:sz w:val="24"/>
              </w:rPr>
            </w:pPr>
            <m:oMathPara>
              <m:oMath>
                <m:sSub>
                  <m:sSubPr>
                    <m:ctrlPr>
                      <w:rPr>
                        <w:rFonts w:ascii="Cambria Math" w:hAnsi="Cambria Math" w:cs="Times New Roman"/>
                        <w:i/>
                        <w:sz w:val="24"/>
                      </w:rPr>
                    </m:ctrlPr>
                  </m:sSubPr>
                  <m:e>
                    <m:r>
                      <w:rPr>
                        <w:rFonts w:ascii="Cambria Math" w:hAnsi="Cambria Math" w:cs="Times New Roman"/>
                        <w:sz w:val="24"/>
                      </w:rPr>
                      <m:t>S</m:t>
                    </m:r>
                  </m:e>
                  <m:sub>
                    <m:r>
                      <w:rPr>
                        <w:rFonts w:ascii="Cambria Math" w:hAnsi="Cambria Math" w:cs="Times New Roman"/>
                        <w:sz w:val="24"/>
                      </w:rPr>
                      <m:t>g</m:t>
                    </m:r>
                  </m:sub>
                </m:sSub>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 xml:space="preserve">Survival pathogen ratio in gastric juice </w:t>
            </w:r>
          </w:p>
        </w:tc>
        <w:tc>
          <w:tcPr>
            <w:tcW w:w="1559"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Computables</w:t>
            </w:r>
          </w:p>
        </w:tc>
      </w:tr>
      <w:tr w:rsidR="00241DB5" w:rsidRPr="00860F70" w:rsidTr="005C7223">
        <w:tc>
          <w:tcPr>
            <w:tcW w:w="1560" w:type="dxa"/>
            <w:tcBorders>
              <w:top w:val="single" w:sz="4" w:space="0" w:color="auto"/>
            </w:tcBorders>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α</m:t>
                </m:r>
              </m:oMath>
            </m:oMathPara>
          </w:p>
        </w:tc>
        <w:tc>
          <w:tcPr>
            <w:tcW w:w="1701"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Gastric retention of food</w:t>
            </w:r>
          </w:p>
        </w:tc>
        <w:tc>
          <w:tcPr>
            <w:tcW w:w="3685" w:type="dxa"/>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Shape parameter of gamma distribution</w:t>
            </w:r>
          </w:p>
        </w:tc>
        <w:tc>
          <w:tcPr>
            <w:tcW w:w="1559"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6"/>
              </w:rPr>
            </w:pPr>
            <w:r w:rsidRPr="00860F70">
              <w:rPr>
                <w:rFonts w:ascii="Times New Roman" w:eastAsia="Times New Roman" w:hAnsi="Times New Roman" w:cs="Times New Roman"/>
                <w:sz w:val="16"/>
              </w:rPr>
              <w:t xml:space="preserve">Hellström et al., </w:t>
            </w:r>
            <w:r w:rsidRPr="00241DB5">
              <w:rPr>
                <w:rFonts w:ascii="Times New Roman" w:eastAsia="Times New Roman" w:hAnsi="Times New Roman" w:cs="Times New Roman"/>
                <w:sz w:val="16"/>
                <w:vertAlign w:val="superscript"/>
              </w:rPr>
              <w:t>21</w:t>
            </w:r>
          </w:p>
        </w:tc>
      </w:tr>
      <w:tr w:rsidR="00241DB5" w:rsidRPr="00860F70" w:rsidTr="005C7223">
        <w:tc>
          <w:tcPr>
            <w:tcW w:w="1560" w:type="dxa"/>
            <w:tcBorders>
              <w:bottom w:val="single" w:sz="4" w:space="0" w:color="auto"/>
            </w:tcBorders>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β</m:t>
                </m:r>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Rate parameter of gamma distribution</w:t>
            </w:r>
          </w:p>
        </w:tc>
        <w:tc>
          <w:tcPr>
            <w:tcW w:w="1559"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top w:val="single" w:sz="4" w:space="0" w:color="auto"/>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intestine</m:t>
                    </m:r>
                  </m:sub>
                </m:sSub>
              </m:oMath>
            </m:oMathPara>
          </w:p>
        </w:tc>
        <w:tc>
          <w:tcPr>
            <w:tcW w:w="1701" w:type="dxa"/>
            <w:vMerge w:val="restart"/>
            <w:tcBorders>
              <w:top w:val="single" w:sz="4" w:space="0" w:color="auto"/>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Transit of pathogen</w:t>
            </w:r>
          </w:p>
        </w:tc>
        <w:tc>
          <w:tcPr>
            <w:tcW w:w="3685" w:type="dxa"/>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Survival pathogen transit ratio to intestine</w:t>
            </w:r>
          </w:p>
        </w:tc>
        <w:tc>
          <w:tcPr>
            <w:tcW w:w="1559" w:type="dxa"/>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Computables</w:t>
            </w:r>
          </w:p>
        </w:tc>
      </w:tr>
      <w:tr w:rsidR="00241DB5" w:rsidRPr="00860F70" w:rsidTr="005C7223">
        <w:tc>
          <w:tcPr>
            <w:tcW w:w="1560" w:type="dxa"/>
            <w:tcBorders>
              <w:bottom w:val="single" w:sz="4" w:space="0" w:color="auto"/>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intestine</m:t>
                    </m:r>
                  </m:sub>
                </m:sSub>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Survival pathogen transit count to intestine</w:t>
            </w:r>
          </w:p>
        </w:tc>
        <w:tc>
          <w:tcPr>
            <w:tcW w:w="1559"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Computables</w:t>
            </w:r>
          </w:p>
        </w:tc>
      </w:tr>
      <w:tr w:rsidR="00241DB5" w:rsidRPr="00860F70" w:rsidTr="005C7223">
        <w:tc>
          <w:tcPr>
            <w:tcW w:w="1560" w:type="dxa"/>
            <w:tcBorders>
              <w:top w:val="single" w:sz="4" w:space="0" w:color="auto"/>
              <w:bottom w:val="nil"/>
            </w:tcBorders>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V</m:t>
                </m:r>
              </m:oMath>
            </m:oMathPara>
          </w:p>
        </w:tc>
        <w:tc>
          <w:tcPr>
            <w:tcW w:w="1701"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Cell invasion of pathogens</w:t>
            </w:r>
          </w:p>
        </w:tc>
        <w:tc>
          <w:tcPr>
            <w:tcW w:w="3685" w:type="dxa"/>
            <w:tcBorders>
              <w:top w:val="single" w:sz="4" w:space="0" w:color="auto"/>
              <w:bottom w:val="nil"/>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Volumes of small intestine</w:t>
            </w:r>
          </w:p>
        </w:tc>
        <w:tc>
          <w:tcPr>
            <w:tcW w:w="1559" w:type="dxa"/>
            <w:tcBorders>
              <w:top w:val="single" w:sz="4" w:space="0" w:color="auto"/>
              <w:bottom w:val="nil"/>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 xml:space="preserve">Schiller et al., </w:t>
            </w:r>
            <w:r w:rsidRPr="00241DB5">
              <w:rPr>
                <w:rFonts w:ascii="Times New Roman" w:eastAsia="Times New Roman" w:hAnsi="Times New Roman" w:cs="Times New Roman"/>
                <w:sz w:val="16"/>
                <w:vertAlign w:val="superscript"/>
              </w:rPr>
              <w:t>22</w:t>
            </w:r>
          </w:p>
        </w:tc>
      </w:tr>
      <w:tr w:rsidR="00241DB5" w:rsidRPr="00860F70" w:rsidTr="005C7223">
        <w:tc>
          <w:tcPr>
            <w:tcW w:w="1560" w:type="dxa"/>
            <w:tcBorders>
              <w:top w:val="nil"/>
              <w:bottom w:val="nil"/>
            </w:tcBorders>
          </w:tcPr>
          <w:p w:rsidR="00241DB5" w:rsidRPr="00860F70" w:rsidRDefault="00320F48" w:rsidP="005C7223">
            <w:pPr>
              <w:spacing w:line="276" w:lineRule="auto"/>
              <w:rPr>
                <w:rFonts w:ascii="Times New Roman" w:eastAsia="Times New Roman" w:hAnsi="Times New Roman" w:cs="Times New Roman"/>
                <w:i/>
                <w:sz w:val="24"/>
              </w:rPr>
            </w:pPr>
            <m:oMathPara>
              <m:oMath>
                <m:sSub>
                  <m:sSubPr>
                    <m:ctrlPr>
                      <w:rPr>
                        <w:rFonts w:ascii="Cambria Math" w:eastAsia="ＭＳ 明朝" w:hAnsi="Cambria Math" w:cs="Times New Roman"/>
                        <w:i/>
                        <w:sz w:val="24"/>
                      </w:rPr>
                    </m:ctrlPr>
                  </m:sSubPr>
                  <m:e>
                    <m:r>
                      <w:rPr>
                        <w:rFonts w:ascii="Cambria Math" w:eastAsia="ＭＳ 明朝" w:hAnsi="Cambria Math" w:cs="Times New Roman"/>
                        <w:sz w:val="24"/>
                      </w:rPr>
                      <m:t>N</m:t>
                    </m:r>
                  </m:e>
                  <m:sub>
                    <m:r>
                      <w:rPr>
                        <w:rFonts w:ascii="Cambria Math" w:eastAsia="ＭＳ 明朝" w:hAnsi="Cambria Math" w:cs="Times New Roman"/>
                        <w:sz w:val="24"/>
                      </w:rPr>
                      <m:t>max</m:t>
                    </m:r>
                  </m:sub>
                </m:sSub>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tcBorders>
              <w:top w:val="nil"/>
              <w:bottom w:val="nil"/>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Maximum invading counts to 1 cm</w:t>
            </w:r>
            <w:r w:rsidRPr="00860F70">
              <w:rPr>
                <w:rFonts w:ascii="Times New Roman" w:eastAsia="Times New Roman" w:hAnsi="Times New Roman" w:cs="Times New Roman"/>
                <w:sz w:val="18"/>
                <w:vertAlign w:val="superscript"/>
              </w:rPr>
              <w:t>2</w:t>
            </w:r>
            <w:r w:rsidRPr="00860F70">
              <w:rPr>
                <w:rFonts w:ascii="Times New Roman" w:eastAsia="Times New Roman" w:hAnsi="Times New Roman" w:cs="Times New Roman"/>
                <w:sz w:val="18"/>
              </w:rPr>
              <w:t xml:space="preserve"> of cell layer</w:t>
            </w:r>
          </w:p>
        </w:tc>
        <w:tc>
          <w:tcPr>
            <w:tcW w:w="1559" w:type="dxa"/>
            <w:vMerge w:val="restart"/>
            <w:tcBorders>
              <w:top w:val="nil"/>
              <w:bottom w:val="nil"/>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 xml:space="preserve">Abe et al., </w:t>
            </w:r>
            <w:r w:rsidRPr="00241DB5">
              <w:rPr>
                <w:rFonts w:ascii="Times New Roman" w:eastAsia="Times New Roman" w:hAnsi="Times New Roman" w:cs="Times New Roman"/>
                <w:sz w:val="16"/>
                <w:vertAlign w:val="superscript"/>
              </w:rPr>
              <w:t>6</w:t>
            </w:r>
          </w:p>
        </w:tc>
      </w:tr>
      <w:tr w:rsidR="00241DB5" w:rsidRPr="00860F70" w:rsidTr="005C7223">
        <w:tc>
          <w:tcPr>
            <w:tcW w:w="1560" w:type="dxa"/>
            <w:tcBorders>
              <w:top w:val="nil"/>
              <w:bottom w:val="nil"/>
            </w:tcBorders>
          </w:tcPr>
          <w:p w:rsidR="00241DB5" w:rsidRPr="00860F70" w:rsidRDefault="00241DB5" w:rsidP="005C7223">
            <w:pPr>
              <w:spacing w:line="276" w:lineRule="auto"/>
              <w:rPr>
                <w:rFonts w:ascii="Times New Roman" w:eastAsia="Times New Roman" w:hAnsi="Times New Roman" w:cs="Times New Roman"/>
                <w:sz w:val="24"/>
              </w:rPr>
            </w:pPr>
            <m:oMathPara>
              <m:oMath>
                <m:r>
                  <m:rPr>
                    <m:sty m:val="p"/>
                  </m:rPr>
                  <w:rPr>
                    <w:rFonts w:ascii="Cambria Math" w:eastAsia="ＭＳ 明朝" w:hAnsi="Cambria Math" w:cs="Times New Roman"/>
                    <w:sz w:val="24"/>
                  </w:rPr>
                  <m:t>µ</m:t>
                </m:r>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tcBorders>
              <w:top w:val="nil"/>
              <w:bottom w:val="nil"/>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Cell-invading rate</w:t>
            </w:r>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top w:val="nil"/>
              <w:bottom w:val="nil"/>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eastAsia="ＭＳ 明朝" w:hAnsi="Cambria Math" w:cs="Times New Roman"/>
                        <w:i/>
                        <w:sz w:val="24"/>
                      </w:rPr>
                    </m:ctrlPr>
                  </m:sSubPr>
                  <m:e>
                    <m:r>
                      <w:rPr>
                        <w:rFonts w:ascii="Cambria Math" w:eastAsia="ＭＳ 明朝" w:hAnsi="Cambria Math" w:cs="Times New Roman"/>
                        <w:sz w:val="24"/>
                      </w:rPr>
                      <m:t>σ</m:t>
                    </m:r>
                  </m:e>
                  <m:sub>
                    <m:r>
                      <w:rPr>
                        <w:rFonts w:ascii="Cambria Math" w:eastAsia="ＭＳ 明朝" w:hAnsi="Cambria Math" w:cs="Times New Roman"/>
                        <w:sz w:val="24"/>
                      </w:rPr>
                      <m:t>invading</m:t>
                    </m:r>
                  </m:sub>
                </m:sSub>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tcBorders>
              <w:top w:val="nil"/>
              <w:bottom w:val="nil"/>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S.D. of invading pathogen count prediction</w:t>
            </w:r>
          </w:p>
        </w:tc>
        <w:tc>
          <w:tcPr>
            <w:tcW w:w="1559" w:type="dxa"/>
            <w:vMerge/>
            <w:tcBorders>
              <w:top w:val="nil"/>
              <w:bottom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top w:val="nil"/>
              <w:bottom w:val="single" w:sz="4" w:space="0" w:color="auto"/>
            </w:tcBorders>
          </w:tcPr>
          <w:p w:rsidR="00241DB5" w:rsidRPr="00860F70" w:rsidRDefault="00241DB5" w:rsidP="005C7223">
            <w:pPr>
              <w:spacing w:line="276" w:lineRule="auto"/>
              <w:rPr>
                <w:rFonts w:ascii="Times New Roman" w:eastAsia="Times New Roman" w:hAnsi="Times New Roman" w:cs="Times New Roman"/>
                <w:sz w:val="24"/>
              </w:rPr>
            </w:pPr>
            <m:oMathPara>
              <m:oMath>
                <m:r>
                  <w:rPr>
                    <w:rFonts w:ascii="Cambria Math" w:hAnsi="Cambria Math" w:cs="Times New Roman"/>
                    <w:sz w:val="24"/>
                  </w:rPr>
                  <m:t>S</m:t>
                </m:r>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top w:val="nil"/>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Surface area of intestine</w:t>
            </w:r>
          </w:p>
        </w:tc>
        <w:tc>
          <w:tcPr>
            <w:tcW w:w="1559" w:type="dxa"/>
            <w:tcBorders>
              <w:top w:val="nil"/>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 xml:space="preserve">Helander et al., </w:t>
            </w:r>
            <w:r w:rsidRPr="00241DB5">
              <w:rPr>
                <w:rFonts w:ascii="Times New Roman" w:eastAsia="Times New Roman" w:hAnsi="Times New Roman" w:cs="Times New Roman"/>
                <w:sz w:val="16"/>
                <w:vertAlign w:val="superscript"/>
              </w:rPr>
              <w:t>23</w:t>
            </w:r>
          </w:p>
        </w:tc>
      </w:tr>
      <w:tr w:rsidR="00241DB5" w:rsidRPr="00860F70" w:rsidTr="005C7223">
        <w:tc>
          <w:tcPr>
            <w:tcW w:w="1560" w:type="dxa"/>
            <w:tcBorders>
              <w:top w:val="single" w:sz="4" w:space="0" w:color="auto"/>
            </w:tcBorders>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α'</m:t>
                </m:r>
              </m:oMath>
            </m:oMathPara>
          </w:p>
        </w:tc>
        <w:tc>
          <w:tcPr>
            <w:tcW w:w="1701" w:type="dxa"/>
            <w:vMerge w:val="restart"/>
            <w:tcBorders>
              <w:top w:val="single" w:sz="4" w:space="0" w:color="auto"/>
              <w:bottom w:val="single" w:sz="4" w:space="0" w:color="auto"/>
            </w:tcBorders>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Intestinal retention of food</w:t>
            </w:r>
          </w:p>
        </w:tc>
        <w:tc>
          <w:tcPr>
            <w:tcW w:w="3685" w:type="dxa"/>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Shape parameter of gamma distribution</w:t>
            </w:r>
          </w:p>
        </w:tc>
        <w:tc>
          <w:tcPr>
            <w:tcW w:w="1559" w:type="dxa"/>
            <w:vMerge w:val="restart"/>
            <w:tcBorders>
              <w:top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 xml:space="preserve">Read et al., </w:t>
            </w:r>
            <w:r w:rsidRPr="00241DB5">
              <w:rPr>
                <w:rFonts w:ascii="Times New Roman" w:eastAsia="Times New Roman" w:hAnsi="Times New Roman" w:cs="Times New Roman"/>
                <w:sz w:val="16"/>
                <w:vertAlign w:val="superscript"/>
              </w:rPr>
              <w:t>24</w:t>
            </w:r>
          </w:p>
        </w:tc>
      </w:tr>
      <w:tr w:rsidR="00241DB5" w:rsidRPr="00860F70" w:rsidTr="005C7223">
        <w:tc>
          <w:tcPr>
            <w:tcW w:w="1560" w:type="dxa"/>
          </w:tcPr>
          <w:p w:rsidR="00241DB5" w:rsidRPr="00860F70" w:rsidRDefault="00241DB5" w:rsidP="005C7223">
            <w:pPr>
              <w:spacing w:line="276" w:lineRule="auto"/>
              <w:rPr>
                <w:rFonts w:ascii="Times New Roman" w:eastAsia="Times New Roman" w:hAnsi="Times New Roman" w:cs="Times New Roman"/>
                <w:i/>
                <w:sz w:val="24"/>
              </w:rPr>
            </w:pPr>
            <m:oMathPara>
              <m:oMath>
                <m:r>
                  <w:rPr>
                    <w:rFonts w:ascii="Cambria Math" w:hAnsi="Cambria Math" w:cs="Times New Roman"/>
                    <w:sz w:val="24"/>
                  </w:rPr>
                  <m:t>β'</m:t>
                </m:r>
              </m:oMath>
            </m:oMathPara>
          </w:p>
        </w:tc>
        <w:tc>
          <w:tcPr>
            <w:tcW w:w="1701" w:type="dxa"/>
            <w:vMerge/>
            <w:tcBorders>
              <w:top w:val="nil"/>
              <w:bottom w:val="nil"/>
            </w:tcBorders>
          </w:tcPr>
          <w:p w:rsidR="00241DB5" w:rsidRPr="00860F70" w:rsidRDefault="00241DB5" w:rsidP="005C7223">
            <w:pPr>
              <w:spacing w:line="276" w:lineRule="auto"/>
              <w:rPr>
                <w:rFonts w:ascii="Times New Roman" w:hAnsi="Times New Roman" w:cs="Times New Roman"/>
              </w:rPr>
            </w:pPr>
          </w:p>
        </w:tc>
        <w:tc>
          <w:tcPr>
            <w:tcW w:w="3685" w:type="dxa"/>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Rate parameter of gamma distribution</w:t>
            </w:r>
          </w:p>
        </w:tc>
        <w:tc>
          <w:tcPr>
            <w:tcW w:w="1559" w:type="dxa"/>
            <w:vMerge/>
            <w:tcBorders>
              <w:top w:val="nil"/>
            </w:tcBorders>
          </w:tcPr>
          <w:p w:rsidR="00241DB5" w:rsidRPr="00860F70" w:rsidRDefault="00241DB5" w:rsidP="005C7223">
            <w:pPr>
              <w:spacing w:line="276" w:lineRule="auto"/>
              <w:rPr>
                <w:rFonts w:ascii="Times New Roman" w:hAnsi="Times New Roman" w:cs="Times New Roman"/>
              </w:rPr>
            </w:pPr>
          </w:p>
        </w:tc>
      </w:tr>
      <w:tr w:rsidR="00241DB5" w:rsidRPr="00860F70" w:rsidTr="005C7223">
        <w:tc>
          <w:tcPr>
            <w:tcW w:w="1560" w:type="dxa"/>
            <w:tcBorders>
              <w:bottom w:val="single" w:sz="4" w:space="0" w:color="auto"/>
            </w:tcBorders>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eastAsia="游明朝" w:hAnsi="Cambria Math" w:cs="Times New Roman"/>
                        <w:i/>
                        <w:iCs/>
                        <w:sz w:val="24"/>
                      </w:rPr>
                    </m:ctrlPr>
                  </m:sSubPr>
                  <m:e>
                    <m:r>
                      <w:rPr>
                        <w:rFonts w:ascii="Cambria Math" w:eastAsia="游明朝" w:hAnsi="Cambria Math" w:cs="Times New Roman"/>
                        <w:sz w:val="24"/>
                      </w:rPr>
                      <m:t>t</m:t>
                    </m:r>
                  </m:e>
                  <m:sub>
                    <m:r>
                      <w:rPr>
                        <w:rFonts w:ascii="Cambria Math" w:eastAsia="游明朝" w:hAnsi="Cambria Math" w:cs="Times New Roman"/>
                        <w:sz w:val="24"/>
                      </w:rPr>
                      <m:t>intestinal</m:t>
                    </m:r>
                  </m:sub>
                </m:sSub>
              </m:oMath>
            </m:oMathPara>
          </w:p>
        </w:tc>
        <w:tc>
          <w:tcPr>
            <w:tcW w:w="1701" w:type="dxa"/>
            <w:vMerge/>
            <w:tcBorders>
              <w:top w:val="nil"/>
              <w:bottom w:val="single" w:sz="4" w:space="0" w:color="auto"/>
            </w:tcBorders>
          </w:tcPr>
          <w:p w:rsidR="00241DB5" w:rsidRPr="00860F70" w:rsidRDefault="00241DB5" w:rsidP="005C7223">
            <w:pPr>
              <w:spacing w:line="276" w:lineRule="auto"/>
              <w:rPr>
                <w:rFonts w:ascii="Times New Roman" w:hAnsi="Times New Roman" w:cs="Times New Roman"/>
              </w:rPr>
            </w:pPr>
          </w:p>
        </w:tc>
        <w:tc>
          <w:tcPr>
            <w:tcW w:w="3685"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Intestinal retention time</w:t>
            </w:r>
          </w:p>
        </w:tc>
        <w:tc>
          <w:tcPr>
            <w:tcW w:w="1559" w:type="dxa"/>
            <w:tcBorders>
              <w:bottom w:val="single" w:sz="4" w:space="0" w:color="auto"/>
            </w:tcBorders>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Computables</w:t>
            </w:r>
          </w:p>
        </w:tc>
      </w:tr>
      <w:tr w:rsidR="00241DB5" w:rsidRPr="00860F70" w:rsidTr="005C7223">
        <w:tc>
          <w:tcPr>
            <w:tcW w:w="1560" w:type="dxa"/>
          </w:tcPr>
          <w:p w:rsidR="00241DB5" w:rsidRPr="00860F70" w:rsidRDefault="00320F48" w:rsidP="005C7223">
            <w:pPr>
              <w:spacing w:line="276" w:lineRule="auto"/>
              <w:rPr>
                <w:rFonts w:ascii="Times New Roman" w:eastAsia="Times New Roman" w:hAnsi="Times New Roman" w:cs="Times New Roman"/>
                <w:sz w:val="24"/>
              </w:rPr>
            </w:pPr>
            <m:oMathPara>
              <m:oMath>
                <m:sSub>
                  <m:sSubPr>
                    <m:ctrlPr>
                      <w:rPr>
                        <w:rFonts w:ascii="Cambria Math" w:hAnsi="Cambria Math" w:cs="Times New Roman"/>
                        <w:i/>
                        <w:iCs/>
                        <w:sz w:val="24"/>
                      </w:rPr>
                    </m:ctrlPr>
                  </m:sSubPr>
                  <m:e>
                    <m:r>
                      <w:rPr>
                        <w:rFonts w:ascii="Cambria Math" w:hAnsi="Cambria Math" w:cs="Times New Roman"/>
                        <w:sz w:val="24"/>
                      </w:rPr>
                      <m:t>P</m:t>
                    </m:r>
                  </m:e>
                  <m:sub>
                    <m:r>
                      <w:rPr>
                        <w:rFonts w:ascii="Cambria Math" w:hAnsi="Cambria Math" w:cs="Times New Roman"/>
                        <w:sz w:val="24"/>
                      </w:rPr>
                      <m:t>infection</m:t>
                    </m:r>
                  </m:sub>
                </m:sSub>
              </m:oMath>
            </m:oMathPara>
          </w:p>
        </w:tc>
        <w:tc>
          <w:tcPr>
            <w:tcW w:w="1701" w:type="dxa"/>
            <w:vAlign w:val="center"/>
          </w:tcPr>
          <w:p w:rsidR="00241DB5" w:rsidRPr="00860F70" w:rsidRDefault="00241DB5" w:rsidP="00241DB5">
            <w:pPr>
              <w:rPr>
                <w:rFonts w:ascii="Times New Roman" w:eastAsia="Times New Roman" w:hAnsi="Times New Roman" w:cs="Times New Roman"/>
                <w:sz w:val="18"/>
              </w:rPr>
            </w:pPr>
            <w:r w:rsidRPr="00860F70">
              <w:rPr>
                <w:rFonts w:ascii="Times New Roman" w:eastAsia="Times New Roman" w:hAnsi="Times New Roman" w:cs="Times New Roman"/>
                <w:sz w:val="18"/>
              </w:rPr>
              <w:t>Calculation of invading probability</w:t>
            </w:r>
          </w:p>
        </w:tc>
        <w:tc>
          <w:tcPr>
            <w:tcW w:w="3685" w:type="dxa"/>
            <w:vAlign w:val="center"/>
          </w:tcPr>
          <w:p w:rsidR="00241DB5" w:rsidRPr="00860F70" w:rsidRDefault="00241DB5" w:rsidP="005C7223">
            <w:pPr>
              <w:spacing w:line="276" w:lineRule="auto"/>
              <w:rPr>
                <w:rFonts w:ascii="Times New Roman" w:eastAsia="Times New Roman" w:hAnsi="Times New Roman" w:cs="Times New Roman"/>
                <w:sz w:val="18"/>
              </w:rPr>
            </w:pPr>
            <w:r w:rsidRPr="00860F70">
              <w:rPr>
                <w:rFonts w:ascii="Times New Roman" w:eastAsia="Times New Roman" w:hAnsi="Times New Roman" w:cs="Times New Roman"/>
                <w:sz w:val="18"/>
              </w:rPr>
              <w:t>Infection (invading) probability</w:t>
            </w:r>
          </w:p>
        </w:tc>
        <w:tc>
          <w:tcPr>
            <w:tcW w:w="1559" w:type="dxa"/>
            <w:vAlign w:val="center"/>
          </w:tcPr>
          <w:p w:rsidR="00241DB5" w:rsidRPr="00860F70" w:rsidRDefault="00241DB5" w:rsidP="005C7223">
            <w:pPr>
              <w:spacing w:line="276" w:lineRule="auto"/>
              <w:rPr>
                <w:rFonts w:ascii="Times New Roman" w:eastAsia="Times New Roman" w:hAnsi="Times New Roman" w:cs="Times New Roman"/>
                <w:sz w:val="16"/>
              </w:rPr>
            </w:pPr>
            <w:r w:rsidRPr="00860F70">
              <w:rPr>
                <w:rFonts w:ascii="Times New Roman" w:eastAsia="Times New Roman" w:hAnsi="Times New Roman" w:cs="Times New Roman"/>
                <w:sz w:val="16"/>
              </w:rPr>
              <w:t>Objective variables</w:t>
            </w:r>
          </w:p>
        </w:tc>
      </w:tr>
    </w:tbl>
    <w:p w:rsidR="00241DB5" w:rsidRPr="00860F70" w:rsidRDefault="00241DB5" w:rsidP="00241DB5">
      <w:pPr>
        <w:spacing w:line="276" w:lineRule="auto"/>
        <w:rPr>
          <w:rFonts w:ascii="Times New Roman" w:eastAsia="Times New Roman" w:hAnsi="Times New Roman" w:cs="Times New Roman"/>
        </w:rPr>
      </w:pPr>
    </w:p>
    <w:p w:rsidR="00241DB5" w:rsidRPr="00860F70" w:rsidRDefault="00241DB5" w:rsidP="00241DB5">
      <w:pPr>
        <w:spacing w:line="276" w:lineRule="auto"/>
        <w:rPr>
          <w:rFonts w:ascii="Times New Roman" w:eastAsia="Times New Roman" w:hAnsi="Times New Roman" w:cs="Times New Roman"/>
          <w:b/>
          <w:bCs/>
        </w:rPr>
      </w:pPr>
    </w:p>
    <w:p w:rsidR="003C2A9C" w:rsidRDefault="003C2A9C" w:rsidP="003C2A9C">
      <w:pPr>
        <w:spacing w:line="312" w:lineRule="auto"/>
        <w:jc w:val="left"/>
        <w:rPr>
          <w:rFonts w:ascii="Times New Roman" w:hAnsi="Times New Roman" w:cs="Times New Roman"/>
        </w:rPr>
      </w:pPr>
    </w:p>
    <w:p w:rsidR="003C2A9C" w:rsidRDefault="003C2A9C" w:rsidP="003C2A9C">
      <w:pPr>
        <w:spacing w:line="312" w:lineRule="auto"/>
        <w:jc w:val="left"/>
        <w:rPr>
          <w:rFonts w:ascii="Times New Roman" w:hAnsi="Times New Roman" w:cs="Times New Roman"/>
        </w:rPr>
      </w:pPr>
    </w:p>
    <w:p w:rsidR="003C2A9C" w:rsidRDefault="003C2A9C" w:rsidP="003C2A9C">
      <w:pPr>
        <w:spacing w:line="312" w:lineRule="auto"/>
        <w:jc w:val="left"/>
        <w:rPr>
          <w:rFonts w:ascii="Times New Roman" w:hAnsi="Times New Roman" w:cs="Times New Roman"/>
        </w:rPr>
      </w:pPr>
    </w:p>
    <w:p w:rsidR="003C2A9C" w:rsidRDefault="00377E80" w:rsidP="003C2A9C">
      <w:pPr>
        <w:spacing w:line="312" w:lineRule="auto"/>
        <w:jc w:val="left"/>
        <w:rPr>
          <w:rFonts w:ascii="Times New Roman" w:hAnsi="Times New Roman" w:cs="Times New Roman"/>
        </w:rPr>
      </w:pPr>
      <w:r w:rsidRPr="00377E80">
        <w:rPr>
          <w:rFonts w:ascii="Times New Roman" w:hAnsi="Times New Roman" w:cs="Times New Roman"/>
          <w:noProof/>
        </w:rPr>
        <w:lastRenderedPageBreak/>
        <w:drawing>
          <wp:inline distT="0" distB="0" distL="0" distR="0" wp14:anchorId="4A993BED" wp14:editId="7263DF62">
            <wp:extent cx="5396230" cy="1358900"/>
            <wp:effectExtent l="0" t="0" r="127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96230" cy="1358900"/>
                    </a:xfrm>
                    <a:prstGeom prst="rect">
                      <a:avLst/>
                    </a:prstGeom>
                  </pic:spPr>
                </pic:pic>
              </a:graphicData>
            </a:graphic>
          </wp:inline>
        </w:drawing>
      </w:r>
    </w:p>
    <w:p w:rsidR="00377E80" w:rsidRDefault="00377E80" w:rsidP="00377E80">
      <w:pPr>
        <w:jc w:val="left"/>
        <w:rPr>
          <w:rFonts w:ascii="Times New Roman" w:hAnsi="Times New Roman" w:cs="Times New Roman"/>
        </w:rPr>
      </w:pPr>
      <w:r>
        <w:rPr>
          <w:rFonts w:ascii="Times New Roman" w:hAnsi="Times New Roman" w:cs="Times New Roman"/>
        </w:rPr>
        <w:t>Fig</w:t>
      </w:r>
      <w:r w:rsidR="009A6912">
        <w:rPr>
          <w:rFonts w:ascii="Times New Roman" w:hAnsi="Times New Roman" w:cs="Times New Roman"/>
        </w:rPr>
        <w:t>ure S1</w:t>
      </w:r>
      <w:r w:rsidRPr="00377E80">
        <w:rPr>
          <w:rFonts w:ascii="Times New Roman" w:hAnsi="Times New Roman" w:cs="Times New Roman"/>
        </w:rPr>
        <w:t>. The scheme of the calculation for survival pathogen transit ratio from stomach to intestine (Eq. 4). (1): It is assumed that the intestinal transit rate of pathogen is equal to that of food. The survival ratio of the instantaneous pathogen transit corresponds to the instantaneous value of the survival curve. (2): Multiply the instantaneous values of survival curve and intestinal transit to calculate the instantaneous values of viable transit. (3): Integrating intestinal transit gives the ratio of all pathogens (dead or alive) that have transferred into a</w:t>
      </w:r>
      <w:r w:rsidR="009A6912">
        <w:rPr>
          <w:rFonts w:ascii="Times New Roman" w:hAnsi="Times New Roman" w:cs="Times New Roman"/>
        </w:rPr>
        <w:t>n</w:t>
      </w:r>
      <w:r w:rsidRPr="00377E80">
        <w:rPr>
          <w:rFonts w:ascii="Times New Roman" w:hAnsi="Times New Roman" w:cs="Times New Roman"/>
        </w:rPr>
        <w:t xml:space="preserve"> intestine. Similarly, the integral of viable transit represents the survival transit ratio of pathogens that have transferred into a</w:t>
      </w:r>
      <w:r w:rsidR="009A6912">
        <w:rPr>
          <w:rFonts w:ascii="Times New Roman" w:hAnsi="Times New Roman" w:cs="Times New Roman"/>
        </w:rPr>
        <w:t>n</w:t>
      </w:r>
      <w:r w:rsidRPr="00377E80">
        <w:rPr>
          <w:rFonts w:ascii="Times New Roman" w:hAnsi="Times New Roman" w:cs="Times New Roman"/>
        </w:rPr>
        <w:t xml:space="preserve"> intestine.</w:t>
      </w:r>
    </w:p>
    <w:p w:rsidR="009A6912" w:rsidRDefault="009A6912" w:rsidP="00377E80">
      <w:pPr>
        <w:jc w:val="left"/>
        <w:rPr>
          <w:rFonts w:ascii="Times New Roman" w:hAnsi="Times New Roman" w:cs="Times New Roman"/>
        </w:rPr>
      </w:pPr>
    </w:p>
    <w:p w:rsidR="009A6912" w:rsidRDefault="009A6912" w:rsidP="00377E80">
      <w:pPr>
        <w:jc w:val="left"/>
        <w:rPr>
          <w:rFonts w:ascii="Times New Roman" w:hAnsi="Times New Roman" w:cs="Times New Roman"/>
        </w:rPr>
      </w:pPr>
    </w:p>
    <w:p w:rsidR="00D41829" w:rsidRDefault="00D41829" w:rsidP="00377E80">
      <w:pPr>
        <w:jc w:val="left"/>
        <w:rPr>
          <w:rFonts w:ascii="Times New Roman" w:hAnsi="Times New Roman" w:cs="Times New Roman"/>
        </w:rPr>
      </w:pPr>
    </w:p>
    <w:p w:rsidR="00D41829" w:rsidRDefault="00D41829" w:rsidP="00377E80">
      <w:pPr>
        <w:jc w:val="left"/>
        <w:rPr>
          <w:rFonts w:ascii="Times New Roman" w:hAnsi="Times New Roman" w:cs="Times New Roman"/>
        </w:rPr>
      </w:pPr>
    </w:p>
    <w:p w:rsidR="00D41829" w:rsidRDefault="00D41829" w:rsidP="00377E80">
      <w:pPr>
        <w:jc w:val="left"/>
        <w:rPr>
          <w:rFonts w:ascii="Times New Roman" w:hAnsi="Times New Roman" w:cs="Times New Roman"/>
        </w:rPr>
      </w:pPr>
    </w:p>
    <w:p w:rsidR="00D41829" w:rsidRDefault="00D41829" w:rsidP="00377E80">
      <w:pPr>
        <w:jc w:val="left"/>
        <w:rPr>
          <w:rFonts w:ascii="Times New Roman" w:hAnsi="Times New Roman" w:cs="Times New Roman" w:hint="eastAsia"/>
        </w:rPr>
      </w:pPr>
    </w:p>
    <w:p w:rsidR="009A6912" w:rsidRDefault="009A6912" w:rsidP="00377E80">
      <w:pPr>
        <w:jc w:val="left"/>
        <w:rPr>
          <w:rFonts w:ascii="Times New Roman" w:hAnsi="Times New Roman" w:cs="Times New Roman"/>
        </w:rPr>
      </w:pPr>
      <w:r w:rsidRPr="009A6912">
        <w:rPr>
          <w:rFonts w:ascii="Times New Roman" w:hAnsi="Times New Roman" w:cs="Times New Roman"/>
          <w:noProof/>
        </w:rPr>
        <w:drawing>
          <wp:inline distT="0" distB="0" distL="0" distR="0" wp14:anchorId="4877911D" wp14:editId="0991A636">
            <wp:extent cx="5396230" cy="2527935"/>
            <wp:effectExtent l="0" t="0" r="127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96230" cy="2527935"/>
                    </a:xfrm>
                    <a:prstGeom prst="rect">
                      <a:avLst/>
                    </a:prstGeom>
                  </pic:spPr>
                </pic:pic>
              </a:graphicData>
            </a:graphic>
          </wp:inline>
        </w:drawing>
      </w:r>
    </w:p>
    <w:p w:rsidR="009A6912" w:rsidRDefault="009A6912" w:rsidP="00377E80">
      <w:pPr>
        <w:jc w:val="left"/>
        <w:rPr>
          <w:rFonts w:ascii="Times New Roman" w:hAnsi="Times New Roman" w:cs="Times New Roman"/>
        </w:rPr>
      </w:pPr>
      <w:r>
        <w:rPr>
          <w:rFonts w:ascii="Times New Roman" w:hAnsi="Times New Roman" w:cs="Times New Roman"/>
        </w:rPr>
        <w:t>Figure S2</w:t>
      </w:r>
      <w:r w:rsidRPr="009A6912">
        <w:rPr>
          <w:rFonts w:ascii="Times New Roman" w:hAnsi="Times New Roman" w:cs="Times New Roman"/>
        </w:rPr>
        <w:t>. Trace-plots and posterior distributions for estimated parameters of younger and elderly people’s pH change by Bayesian inference. Each color indicates each trace-plot and each distribution of the MCMC chain.</w:t>
      </w:r>
    </w:p>
    <w:p w:rsidR="009A6912" w:rsidRDefault="009A6912">
      <w:pPr>
        <w:widowControl/>
        <w:jc w:val="left"/>
        <w:rPr>
          <w:rFonts w:ascii="Times New Roman" w:hAnsi="Times New Roman" w:cs="Times New Roman"/>
        </w:rPr>
      </w:pPr>
      <w:r>
        <w:rPr>
          <w:rFonts w:ascii="Times New Roman" w:hAnsi="Times New Roman" w:cs="Times New Roman"/>
        </w:rPr>
        <w:br w:type="page"/>
      </w:r>
    </w:p>
    <w:p w:rsidR="009A6912" w:rsidRDefault="009A6912">
      <w:pPr>
        <w:widowControl/>
        <w:jc w:val="left"/>
        <w:rPr>
          <w:rFonts w:ascii="Times New Roman" w:hAnsi="Times New Roman" w:cs="Times New Roman"/>
        </w:rPr>
      </w:pPr>
      <w:r w:rsidRPr="009A6912">
        <w:rPr>
          <w:rFonts w:ascii="Times New Roman" w:hAnsi="Times New Roman" w:cs="Times New Roman"/>
          <w:noProof/>
        </w:rPr>
        <w:lastRenderedPageBreak/>
        <w:drawing>
          <wp:inline distT="0" distB="0" distL="0" distR="0" wp14:anchorId="1252A55F" wp14:editId="3CBD8CBF">
            <wp:extent cx="5396230" cy="1988820"/>
            <wp:effectExtent l="0" t="0" r="1270" b="508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96230" cy="1988820"/>
                    </a:xfrm>
                    <a:prstGeom prst="rect">
                      <a:avLst/>
                    </a:prstGeom>
                  </pic:spPr>
                </pic:pic>
              </a:graphicData>
            </a:graphic>
          </wp:inline>
        </w:drawing>
      </w:r>
    </w:p>
    <w:p w:rsidR="009A6912" w:rsidRDefault="00A35C47">
      <w:pPr>
        <w:widowControl/>
        <w:jc w:val="left"/>
        <w:rPr>
          <w:rFonts w:ascii="Times New Roman" w:hAnsi="Times New Roman" w:cs="Times New Roman"/>
        </w:rPr>
      </w:pPr>
      <w:r>
        <w:rPr>
          <w:rFonts w:ascii="Times New Roman" w:hAnsi="Times New Roman" w:cs="Times New Roman"/>
        </w:rPr>
        <w:t>Figure S3</w:t>
      </w:r>
      <w:r w:rsidRPr="009A6912">
        <w:rPr>
          <w:rFonts w:ascii="Times New Roman" w:hAnsi="Times New Roman" w:cs="Times New Roman"/>
        </w:rPr>
        <w:t>.</w:t>
      </w:r>
      <w:r w:rsidR="009A6912" w:rsidRPr="009A6912">
        <w:rPr>
          <w:rFonts w:ascii="Times New Roman" w:hAnsi="Times New Roman" w:cs="Times New Roman"/>
        </w:rPr>
        <w:t xml:space="preserve"> Trace-plots and posterior distributions for estimated parameters of gastric retention of liquid and solid by Bayesian inference. Each color indicates each trace-plot and each distribution of the MCMC chain.</w:t>
      </w:r>
    </w:p>
    <w:p w:rsidR="009A6912" w:rsidRDefault="009A6912">
      <w:pPr>
        <w:widowControl/>
        <w:jc w:val="left"/>
        <w:rPr>
          <w:rFonts w:ascii="Times New Roman" w:hAnsi="Times New Roman" w:cs="Times New Roman"/>
        </w:rPr>
      </w:pPr>
    </w:p>
    <w:p w:rsidR="009A6912" w:rsidRDefault="009A6912">
      <w:pPr>
        <w:widowControl/>
        <w:jc w:val="left"/>
        <w:rPr>
          <w:rFonts w:ascii="Times New Roman" w:hAnsi="Times New Roman" w:cs="Times New Roman"/>
        </w:rPr>
      </w:pPr>
    </w:p>
    <w:p w:rsidR="00D41829" w:rsidRDefault="00D41829">
      <w:pPr>
        <w:widowControl/>
        <w:jc w:val="left"/>
        <w:rPr>
          <w:rFonts w:ascii="Times New Roman" w:hAnsi="Times New Roman" w:cs="Times New Roman"/>
        </w:rPr>
      </w:pPr>
    </w:p>
    <w:p w:rsidR="00D41829" w:rsidRDefault="00D41829">
      <w:pPr>
        <w:widowControl/>
        <w:jc w:val="left"/>
        <w:rPr>
          <w:rFonts w:ascii="Times New Roman" w:hAnsi="Times New Roman" w:cs="Times New Roman"/>
        </w:rPr>
      </w:pPr>
    </w:p>
    <w:p w:rsidR="00D41829" w:rsidRDefault="00D41829">
      <w:pPr>
        <w:widowControl/>
        <w:jc w:val="left"/>
        <w:rPr>
          <w:rFonts w:ascii="Times New Roman" w:hAnsi="Times New Roman" w:cs="Times New Roman"/>
        </w:rPr>
      </w:pPr>
    </w:p>
    <w:p w:rsidR="00D41829" w:rsidRDefault="00D41829">
      <w:pPr>
        <w:widowControl/>
        <w:jc w:val="left"/>
        <w:rPr>
          <w:rFonts w:ascii="Times New Roman" w:hAnsi="Times New Roman" w:cs="Times New Roman"/>
        </w:rPr>
      </w:pPr>
    </w:p>
    <w:p w:rsidR="00D41829" w:rsidRDefault="00D41829">
      <w:pPr>
        <w:widowControl/>
        <w:jc w:val="left"/>
        <w:rPr>
          <w:rFonts w:ascii="Times New Roman" w:hAnsi="Times New Roman" w:cs="Times New Roman"/>
        </w:rPr>
      </w:pPr>
    </w:p>
    <w:p w:rsidR="00D41829" w:rsidRDefault="00D41829">
      <w:pPr>
        <w:widowControl/>
        <w:jc w:val="left"/>
        <w:rPr>
          <w:rFonts w:ascii="Times New Roman" w:hAnsi="Times New Roman" w:cs="Times New Roman" w:hint="eastAsia"/>
        </w:rPr>
      </w:pPr>
    </w:p>
    <w:p w:rsidR="009A6912" w:rsidRDefault="009A6912" w:rsidP="009A6912">
      <w:pPr>
        <w:widowControl/>
        <w:jc w:val="center"/>
        <w:rPr>
          <w:rFonts w:ascii="Times New Roman" w:hAnsi="Times New Roman" w:cs="Times New Roman"/>
        </w:rPr>
      </w:pPr>
      <w:r w:rsidRPr="009A6912">
        <w:rPr>
          <w:rFonts w:ascii="Times New Roman" w:hAnsi="Times New Roman" w:cs="Times New Roman"/>
          <w:noProof/>
        </w:rPr>
        <w:drawing>
          <wp:inline distT="0" distB="0" distL="0" distR="0" wp14:anchorId="4BAE2B6C" wp14:editId="586B49DA">
            <wp:extent cx="2828384" cy="2091128"/>
            <wp:effectExtent l="0" t="0" r="3810" b="444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53683" cy="2109833"/>
                    </a:xfrm>
                    <a:prstGeom prst="rect">
                      <a:avLst/>
                    </a:prstGeom>
                  </pic:spPr>
                </pic:pic>
              </a:graphicData>
            </a:graphic>
          </wp:inline>
        </w:drawing>
      </w:r>
    </w:p>
    <w:p w:rsidR="009A6912" w:rsidRDefault="00A35C47">
      <w:pPr>
        <w:widowControl/>
        <w:jc w:val="left"/>
        <w:rPr>
          <w:rFonts w:ascii="Times New Roman" w:hAnsi="Times New Roman" w:cs="Times New Roman"/>
        </w:rPr>
      </w:pPr>
      <w:r>
        <w:rPr>
          <w:rFonts w:ascii="Times New Roman" w:hAnsi="Times New Roman" w:cs="Times New Roman"/>
        </w:rPr>
        <w:t>Figure S4</w:t>
      </w:r>
      <w:r w:rsidRPr="009A6912">
        <w:rPr>
          <w:rFonts w:ascii="Times New Roman" w:hAnsi="Times New Roman" w:cs="Times New Roman"/>
        </w:rPr>
        <w:t>.</w:t>
      </w:r>
      <w:r w:rsidR="009A6912" w:rsidRPr="009A6912">
        <w:rPr>
          <w:rFonts w:ascii="Times New Roman" w:hAnsi="Times New Roman" w:cs="Times New Roman"/>
        </w:rPr>
        <w:t xml:space="preserve"> Trace-plots and posterior distributions for estimated parameters of gastric retention of liquid and solid by Bayesian inference. Each color indicates each trace-plot and each distribution of the MCMC chain.</w:t>
      </w:r>
    </w:p>
    <w:p w:rsidR="009A6912" w:rsidRDefault="009A6912">
      <w:pPr>
        <w:widowControl/>
        <w:jc w:val="left"/>
        <w:rPr>
          <w:rFonts w:ascii="Times New Roman" w:hAnsi="Times New Roman" w:cs="Times New Roman"/>
        </w:rPr>
      </w:pPr>
      <w:r>
        <w:rPr>
          <w:rFonts w:ascii="Times New Roman" w:hAnsi="Times New Roman" w:cs="Times New Roman"/>
        </w:rPr>
        <w:br w:type="page"/>
      </w:r>
    </w:p>
    <w:p w:rsidR="009A6912" w:rsidRDefault="009A6912" w:rsidP="00377E80">
      <w:pPr>
        <w:jc w:val="left"/>
        <w:rPr>
          <w:rFonts w:ascii="Times New Roman" w:hAnsi="Times New Roman" w:cs="Times New Roman"/>
        </w:rPr>
      </w:pPr>
      <w:r w:rsidRPr="009A6912">
        <w:rPr>
          <w:rFonts w:ascii="Times New Roman" w:hAnsi="Times New Roman" w:cs="Times New Roman"/>
          <w:noProof/>
        </w:rPr>
        <w:lastRenderedPageBreak/>
        <w:drawing>
          <wp:inline distT="0" distB="0" distL="0" distR="0" wp14:anchorId="0F5A6365" wp14:editId="72E80546">
            <wp:extent cx="5396230" cy="2858135"/>
            <wp:effectExtent l="0" t="0" r="127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96230" cy="2858135"/>
                    </a:xfrm>
                    <a:prstGeom prst="rect">
                      <a:avLst/>
                    </a:prstGeom>
                  </pic:spPr>
                </pic:pic>
              </a:graphicData>
            </a:graphic>
          </wp:inline>
        </w:drawing>
      </w:r>
    </w:p>
    <w:p w:rsidR="009A6912" w:rsidRDefault="00A35C47" w:rsidP="00377E80">
      <w:pPr>
        <w:jc w:val="left"/>
        <w:rPr>
          <w:rFonts w:ascii="Times New Roman" w:hAnsi="Times New Roman" w:cs="Times New Roman"/>
        </w:rPr>
      </w:pPr>
      <w:r>
        <w:rPr>
          <w:rFonts w:ascii="Times New Roman" w:hAnsi="Times New Roman" w:cs="Times New Roman"/>
        </w:rPr>
        <w:t>Figure S5</w:t>
      </w:r>
      <w:r w:rsidRPr="009A6912">
        <w:rPr>
          <w:rFonts w:ascii="Times New Roman" w:hAnsi="Times New Roman" w:cs="Times New Roman"/>
        </w:rPr>
        <w:t>.</w:t>
      </w:r>
      <w:r w:rsidR="009A6912" w:rsidRPr="009A6912">
        <w:rPr>
          <w:rFonts w:ascii="Times New Roman" w:hAnsi="Times New Roman" w:cs="Times New Roman"/>
        </w:rPr>
        <w:t xml:space="preserve"> Trace-plots and posterior distributions for estimated parameters of the modified model from reported cell-invasion model (Abe et al., 2021) of </w:t>
      </w:r>
      <w:r w:rsidR="009A6912" w:rsidRPr="00A35C47">
        <w:rPr>
          <w:rFonts w:ascii="Times New Roman" w:hAnsi="Times New Roman" w:cs="Times New Roman"/>
          <w:i/>
          <w:iCs/>
        </w:rPr>
        <w:t>C. jejuni</w:t>
      </w:r>
      <w:r w:rsidR="009A6912" w:rsidRPr="009A6912">
        <w:rPr>
          <w:rFonts w:ascii="Times New Roman" w:hAnsi="Times New Roman" w:cs="Times New Roman"/>
        </w:rPr>
        <w:t xml:space="preserve"> (RIMD 0366027, 0366042 and 0366048) by Bayesian inference. Each color indicates each trace-plot and each distribution of the MCMC chain.</w:t>
      </w:r>
    </w:p>
    <w:p w:rsidR="009A6912" w:rsidRDefault="009A6912" w:rsidP="00377E80">
      <w:pPr>
        <w:jc w:val="left"/>
        <w:rPr>
          <w:rFonts w:ascii="Times New Roman" w:hAnsi="Times New Roman" w:cs="Times New Roman"/>
        </w:rPr>
      </w:pPr>
    </w:p>
    <w:p w:rsidR="009A6912" w:rsidRDefault="009A6912" w:rsidP="00377E80">
      <w:pPr>
        <w:jc w:val="left"/>
        <w:rPr>
          <w:rFonts w:ascii="Times New Roman" w:hAnsi="Times New Roman" w:cs="Times New Roman"/>
        </w:rPr>
      </w:pPr>
    </w:p>
    <w:p w:rsidR="009A6912" w:rsidRDefault="009A6912" w:rsidP="009A6912">
      <w:pPr>
        <w:jc w:val="center"/>
        <w:rPr>
          <w:rFonts w:ascii="Times New Roman" w:hAnsi="Times New Roman" w:cs="Times New Roman"/>
        </w:rPr>
      </w:pPr>
      <w:r w:rsidRPr="009A6912">
        <w:rPr>
          <w:rFonts w:ascii="Times New Roman" w:hAnsi="Times New Roman" w:cs="Times New Roman"/>
          <w:noProof/>
        </w:rPr>
        <w:drawing>
          <wp:inline distT="0" distB="0" distL="0" distR="0" wp14:anchorId="6CBDFB2B" wp14:editId="215917D8">
            <wp:extent cx="4389681" cy="3072983"/>
            <wp:effectExtent l="0" t="0" r="5080" b="635"/>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95420" cy="3077000"/>
                    </a:xfrm>
                    <a:prstGeom prst="rect">
                      <a:avLst/>
                    </a:prstGeom>
                  </pic:spPr>
                </pic:pic>
              </a:graphicData>
            </a:graphic>
          </wp:inline>
        </w:drawing>
      </w:r>
    </w:p>
    <w:p w:rsidR="009A6912" w:rsidRDefault="00A35C47" w:rsidP="00377E80">
      <w:pPr>
        <w:jc w:val="left"/>
        <w:rPr>
          <w:rFonts w:ascii="Times New Roman" w:hAnsi="Times New Roman" w:cs="Times New Roman"/>
        </w:rPr>
      </w:pPr>
      <w:r>
        <w:rPr>
          <w:rFonts w:ascii="Times New Roman" w:hAnsi="Times New Roman" w:cs="Times New Roman"/>
        </w:rPr>
        <w:t>Figure S6</w:t>
      </w:r>
      <w:r w:rsidRPr="009A6912">
        <w:rPr>
          <w:rFonts w:ascii="Times New Roman" w:hAnsi="Times New Roman" w:cs="Times New Roman"/>
        </w:rPr>
        <w:t>.</w:t>
      </w:r>
      <w:r w:rsidR="009A6912" w:rsidRPr="009A6912">
        <w:rPr>
          <w:rFonts w:ascii="Times New Roman" w:hAnsi="Times New Roman" w:cs="Times New Roman"/>
        </w:rPr>
        <w:t xml:space="preserve"> Histograms and kernel distributions (solid) of final survival transit ratio (12 hours after meal). Host age and food type were, from top left: Young, Liquid; Elderly, Liquid; Young, Solid and Elderly, Solid.</w:t>
      </w:r>
    </w:p>
    <w:p w:rsidR="009A6912" w:rsidRDefault="009A6912" w:rsidP="009A6912">
      <w:pPr>
        <w:widowControl/>
        <w:jc w:val="center"/>
        <w:rPr>
          <w:rFonts w:ascii="Times New Roman" w:hAnsi="Times New Roman" w:cs="Times New Roman"/>
        </w:rPr>
      </w:pPr>
      <w:r w:rsidRPr="009A6912">
        <w:rPr>
          <w:rFonts w:ascii="Times New Roman" w:hAnsi="Times New Roman" w:cs="Times New Roman"/>
          <w:noProof/>
        </w:rPr>
        <w:lastRenderedPageBreak/>
        <w:drawing>
          <wp:inline distT="0" distB="0" distL="0" distR="0" wp14:anchorId="6EF0B13C" wp14:editId="49CB713A">
            <wp:extent cx="4320000" cy="2967776"/>
            <wp:effectExtent l="0" t="0" r="0" b="444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20000" cy="2967776"/>
                    </a:xfrm>
                    <a:prstGeom prst="rect">
                      <a:avLst/>
                    </a:prstGeom>
                  </pic:spPr>
                </pic:pic>
              </a:graphicData>
            </a:graphic>
          </wp:inline>
        </w:drawing>
      </w:r>
    </w:p>
    <w:p w:rsidR="009A6912" w:rsidRDefault="00A35C47">
      <w:pPr>
        <w:widowControl/>
        <w:jc w:val="left"/>
        <w:rPr>
          <w:rFonts w:ascii="Times New Roman" w:hAnsi="Times New Roman" w:cs="Times New Roman"/>
        </w:rPr>
      </w:pPr>
      <w:r>
        <w:rPr>
          <w:rFonts w:ascii="Times New Roman" w:hAnsi="Times New Roman" w:cs="Times New Roman"/>
        </w:rPr>
        <w:t>Figure S7</w:t>
      </w:r>
      <w:r w:rsidRPr="009A6912">
        <w:rPr>
          <w:rFonts w:ascii="Times New Roman" w:hAnsi="Times New Roman" w:cs="Times New Roman"/>
        </w:rPr>
        <w:t>.</w:t>
      </w:r>
      <w:r w:rsidR="009A6912" w:rsidRPr="009A6912">
        <w:rPr>
          <w:rFonts w:ascii="Times New Roman" w:hAnsi="Times New Roman" w:cs="Times New Roman"/>
        </w:rPr>
        <w:t xml:space="preserve"> Cell invading probability (solid curve: median, dash curve and covered range: 60% and 95%prediction band) of </w:t>
      </w:r>
      <w:r w:rsidR="009A6912" w:rsidRPr="00A35C47">
        <w:rPr>
          <w:rFonts w:ascii="Times New Roman" w:hAnsi="Times New Roman" w:cs="Times New Roman"/>
          <w:i/>
          <w:iCs/>
        </w:rPr>
        <w:t>C. jejuni</w:t>
      </w:r>
      <w:r w:rsidR="009A6912" w:rsidRPr="009A6912">
        <w:rPr>
          <w:rFonts w:ascii="Times New Roman" w:hAnsi="Times New Roman" w:cs="Times New Roman"/>
        </w:rPr>
        <w:t xml:space="preserve"> (RIMD 0366027) under each condition (Same position as Fig. 5) &amp; reported dose-response relationship (Teunis et al., 2005)</w:t>
      </w:r>
    </w:p>
    <w:p w:rsidR="009A6912" w:rsidRDefault="009A6912">
      <w:pPr>
        <w:widowControl/>
        <w:jc w:val="left"/>
        <w:rPr>
          <w:rFonts w:ascii="Times New Roman" w:hAnsi="Times New Roman" w:cs="Times New Roman"/>
        </w:rPr>
      </w:pPr>
    </w:p>
    <w:p w:rsidR="009A6912" w:rsidRDefault="009A6912">
      <w:pPr>
        <w:widowControl/>
        <w:jc w:val="left"/>
        <w:rPr>
          <w:rFonts w:ascii="Times New Roman" w:hAnsi="Times New Roman" w:cs="Times New Roman"/>
        </w:rPr>
      </w:pPr>
    </w:p>
    <w:p w:rsidR="009A6912" w:rsidRDefault="009A6912" w:rsidP="009A6912">
      <w:pPr>
        <w:widowControl/>
        <w:jc w:val="center"/>
        <w:rPr>
          <w:rFonts w:ascii="Times New Roman" w:hAnsi="Times New Roman" w:cs="Times New Roman"/>
        </w:rPr>
      </w:pPr>
      <w:r w:rsidRPr="009A6912">
        <w:rPr>
          <w:rFonts w:ascii="Times New Roman" w:hAnsi="Times New Roman" w:cs="Times New Roman"/>
          <w:noProof/>
        </w:rPr>
        <w:drawing>
          <wp:inline distT="0" distB="0" distL="0" distR="0" wp14:anchorId="585AAB64" wp14:editId="67EFF9DD">
            <wp:extent cx="4680000" cy="3215091"/>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80000" cy="3215091"/>
                    </a:xfrm>
                    <a:prstGeom prst="rect">
                      <a:avLst/>
                    </a:prstGeom>
                  </pic:spPr>
                </pic:pic>
              </a:graphicData>
            </a:graphic>
          </wp:inline>
        </w:drawing>
      </w:r>
    </w:p>
    <w:p w:rsidR="009A6912" w:rsidRDefault="00A35C47" w:rsidP="00377E80">
      <w:pPr>
        <w:jc w:val="left"/>
        <w:rPr>
          <w:rFonts w:ascii="Times New Roman" w:hAnsi="Times New Roman" w:cs="Times New Roman"/>
        </w:rPr>
      </w:pPr>
      <w:r>
        <w:rPr>
          <w:rFonts w:ascii="Times New Roman" w:hAnsi="Times New Roman" w:cs="Times New Roman"/>
        </w:rPr>
        <w:t>Figure S8</w:t>
      </w:r>
      <w:r w:rsidRPr="009A6912">
        <w:rPr>
          <w:rFonts w:ascii="Times New Roman" w:hAnsi="Times New Roman" w:cs="Times New Roman"/>
        </w:rPr>
        <w:t>.</w:t>
      </w:r>
      <w:r>
        <w:rPr>
          <w:rFonts w:ascii="Times New Roman" w:hAnsi="Times New Roman" w:cs="Times New Roman"/>
        </w:rPr>
        <w:t xml:space="preserve"> </w:t>
      </w:r>
      <w:r w:rsidR="009A6912" w:rsidRPr="009A6912">
        <w:rPr>
          <w:rFonts w:ascii="Times New Roman" w:hAnsi="Times New Roman" w:cs="Times New Roman"/>
        </w:rPr>
        <w:t xml:space="preserve">Cell invading probability (solid curve: median, dash curve and covered range: 60% and 95%prediction band) of </w:t>
      </w:r>
      <w:r w:rsidR="009A6912" w:rsidRPr="00A35C47">
        <w:rPr>
          <w:rFonts w:ascii="Times New Roman" w:hAnsi="Times New Roman" w:cs="Times New Roman"/>
          <w:i/>
          <w:iCs/>
        </w:rPr>
        <w:t xml:space="preserve">C. jejuni </w:t>
      </w:r>
      <w:r w:rsidR="009A6912" w:rsidRPr="009A6912">
        <w:rPr>
          <w:rFonts w:ascii="Times New Roman" w:hAnsi="Times New Roman" w:cs="Times New Roman"/>
        </w:rPr>
        <w:t>(RIMD 0366042) under each condition (Same position as Fig. 5) &amp; reported dose-response relationship (Teunis et al., 2005)</w:t>
      </w:r>
    </w:p>
    <w:p w:rsidR="009A6912" w:rsidRDefault="00A35C47" w:rsidP="00A35C47">
      <w:pPr>
        <w:jc w:val="center"/>
        <w:rPr>
          <w:rFonts w:ascii="Times New Roman" w:hAnsi="Times New Roman" w:cs="Times New Roman"/>
        </w:rPr>
      </w:pPr>
      <w:r w:rsidRPr="00A35C47">
        <w:rPr>
          <w:rFonts w:ascii="Times New Roman" w:hAnsi="Times New Roman" w:cs="Times New Roman"/>
          <w:noProof/>
        </w:rPr>
        <w:lastRenderedPageBreak/>
        <w:drawing>
          <wp:inline distT="0" distB="0" distL="0" distR="0" wp14:anchorId="685EDC96" wp14:editId="15F90F83">
            <wp:extent cx="4680000" cy="3215091"/>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80000" cy="3215091"/>
                    </a:xfrm>
                    <a:prstGeom prst="rect">
                      <a:avLst/>
                    </a:prstGeom>
                  </pic:spPr>
                </pic:pic>
              </a:graphicData>
            </a:graphic>
          </wp:inline>
        </w:drawing>
      </w:r>
    </w:p>
    <w:p w:rsidR="009A6912" w:rsidRDefault="00A35C47" w:rsidP="00377E80">
      <w:pPr>
        <w:jc w:val="left"/>
        <w:rPr>
          <w:rFonts w:ascii="Times New Roman" w:hAnsi="Times New Roman" w:cs="Times New Roman"/>
        </w:rPr>
      </w:pPr>
      <w:r>
        <w:rPr>
          <w:rFonts w:ascii="Times New Roman" w:hAnsi="Times New Roman" w:cs="Times New Roman"/>
        </w:rPr>
        <w:t>Figure S9</w:t>
      </w:r>
      <w:r w:rsidRPr="009A6912">
        <w:rPr>
          <w:rFonts w:ascii="Times New Roman" w:hAnsi="Times New Roman" w:cs="Times New Roman"/>
        </w:rPr>
        <w:t>.</w:t>
      </w:r>
      <w:r w:rsidRPr="00A35C47">
        <w:rPr>
          <w:rFonts w:ascii="Times New Roman" w:hAnsi="Times New Roman" w:cs="Times New Roman"/>
        </w:rPr>
        <w:t xml:space="preserve"> Cell invading probability (solid curve: median, dash curve and covered range: 60% and 95%prediction band) of </w:t>
      </w:r>
      <w:r w:rsidRPr="00A35C47">
        <w:rPr>
          <w:rFonts w:ascii="Times New Roman" w:hAnsi="Times New Roman" w:cs="Times New Roman"/>
          <w:i/>
          <w:iCs/>
        </w:rPr>
        <w:t>C. jejuni</w:t>
      </w:r>
      <w:r w:rsidRPr="00A35C47">
        <w:rPr>
          <w:rFonts w:ascii="Times New Roman" w:hAnsi="Times New Roman" w:cs="Times New Roman"/>
        </w:rPr>
        <w:t xml:space="preserve"> (RIMD 0366048) under each condition (Same position as Fig. 5) &amp; reported dose-response relationship (Teunis et al., 2005)</w:t>
      </w:r>
    </w:p>
    <w:sectPr w:rsidR="009A6912" w:rsidSect="00A75695">
      <w:footerReference w:type="even" r:id="rId16"/>
      <w:footerReference w:type="default" r:id="rId17"/>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20F48" w:rsidRDefault="00320F48" w:rsidP="003C2A9C">
      <w:r>
        <w:separator/>
      </w:r>
    </w:p>
  </w:endnote>
  <w:endnote w:type="continuationSeparator" w:id="0">
    <w:p w:rsidR="00320F48" w:rsidRDefault="00320F48" w:rsidP="003C2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d"/>
      </w:rPr>
      <w:id w:val="665440751"/>
      <w:docPartObj>
        <w:docPartGallery w:val="Page Numbers (Bottom of Page)"/>
        <w:docPartUnique/>
      </w:docPartObj>
    </w:sdtPr>
    <w:sdtEndPr>
      <w:rPr>
        <w:rStyle w:val="ad"/>
      </w:rPr>
    </w:sdtEndPr>
    <w:sdtContent>
      <w:p w:rsidR="003C2A9C" w:rsidRDefault="003C2A9C" w:rsidP="004D563A">
        <w:pPr>
          <w:pStyle w:val="ab"/>
          <w:framePr w:wrap="none" w:vAnchor="text" w:hAnchor="margin" w:xAlign="center" w:y="1"/>
          <w:rPr>
            <w:rStyle w:val="ad"/>
          </w:rPr>
        </w:pPr>
        <w:r>
          <w:rPr>
            <w:rStyle w:val="ad"/>
          </w:rPr>
          <w:fldChar w:fldCharType="begin"/>
        </w:r>
        <w:r>
          <w:rPr>
            <w:rStyle w:val="ad"/>
          </w:rPr>
          <w:instrText xml:space="preserve"> PAGE </w:instrText>
        </w:r>
        <w:r>
          <w:rPr>
            <w:rStyle w:val="ad"/>
          </w:rPr>
          <w:fldChar w:fldCharType="end"/>
        </w:r>
      </w:p>
    </w:sdtContent>
  </w:sdt>
  <w:p w:rsidR="003C2A9C" w:rsidRDefault="003C2A9C">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d"/>
      </w:rPr>
      <w:id w:val="689419050"/>
      <w:docPartObj>
        <w:docPartGallery w:val="Page Numbers (Bottom of Page)"/>
        <w:docPartUnique/>
      </w:docPartObj>
    </w:sdtPr>
    <w:sdtEndPr>
      <w:rPr>
        <w:rStyle w:val="ad"/>
        <w:rFonts w:ascii="Times New Roman" w:hAnsi="Times New Roman" w:cs="Times New Roman"/>
      </w:rPr>
    </w:sdtEndPr>
    <w:sdtContent>
      <w:p w:rsidR="003C2A9C" w:rsidRPr="003C2A9C" w:rsidRDefault="003C2A9C" w:rsidP="004D563A">
        <w:pPr>
          <w:pStyle w:val="ab"/>
          <w:framePr w:wrap="none" w:vAnchor="text" w:hAnchor="margin" w:xAlign="center" w:y="1"/>
          <w:rPr>
            <w:rStyle w:val="ad"/>
            <w:rFonts w:ascii="Times New Roman" w:hAnsi="Times New Roman" w:cs="Times New Roman"/>
          </w:rPr>
        </w:pPr>
        <w:r w:rsidRPr="003C2A9C">
          <w:rPr>
            <w:rStyle w:val="ad"/>
            <w:rFonts w:ascii="Times New Roman" w:hAnsi="Times New Roman" w:cs="Times New Roman"/>
          </w:rPr>
          <w:fldChar w:fldCharType="begin"/>
        </w:r>
        <w:r w:rsidRPr="003C2A9C">
          <w:rPr>
            <w:rStyle w:val="ad"/>
            <w:rFonts w:ascii="Times New Roman" w:hAnsi="Times New Roman" w:cs="Times New Roman"/>
          </w:rPr>
          <w:instrText xml:space="preserve"> PAGE </w:instrText>
        </w:r>
        <w:r w:rsidRPr="003C2A9C">
          <w:rPr>
            <w:rStyle w:val="ad"/>
            <w:rFonts w:ascii="Times New Roman" w:hAnsi="Times New Roman" w:cs="Times New Roman"/>
          </w:rPr>
          <w:fldChar w:fldCharType="separate"/>
        </w:r>
        <w:r w:rsidRPr="003C2A9C">
          <w:rPr>
            <w:rStyle w:val="ad"/>
            <w:rFonts w:ascii="Times New Roman" w:hAnsi="Times New Roman" w:cs="Times New Roman"/>
            <w:noProof/>
          </w:rPr>
          <w:t>1</w:t>
        </w:r>
        <w:r w:rsidRPr="003C2A9C">
          <w:rPr>
            <w:rStyle w:val="ad"/>
            <w:rFonts w:ascii="Times New Roman" w:hAnsi="Times New Roman" w:cs="Times New Roman"/>
          </w:rPr>
          <w:fldChar w:fldCharType="end"/>
        </w:r>
      </w:p>
    </w:sdtContent>
  </w:sdt>
  <w:p w:rsidR="003C2A9C" w:rsidRPr="003C2A9C" w:rsidRDefault="003C2A9C">
    <w:pPr>
      <w:pStyle w:val="ab"/>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20F48" w:rsidRDefault="00320F48" w:rsidP="003C2A9C">
      <w:r>
        <w:separator/>
      </w:r>
    </w:p>
  </w:footnote>
  <w:footnote w:type="continuationSeparator" w:id="0">
    <w:p w:rsidR="00320F48" w:rsidRDefault="00320F48" w:rsidP="003C2A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F5066C"/>
    <w:multiLevelType w:val="multilevel"/>
    <w:tmpl w:val="2A043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A9C"/>
    <w:rsid w:val="00241DB5"/>
    <w:rsid w:val="00320F48"/>
    <w:rsid w:val="00377E80"/>
    <w:rsid w:val="003C2A9C"/>
    <w:rsid w:val="003D24FA"/>
    <w:rsid w:val="005C2CCE"/>
    <w:rsid w:val="009A6912"/>
    <w:rsid w:val="00A20843"/>
    <w:rsid w:val="00A35C47"/>
    <w:rsid w:val="00A75695"/>
    <w:rsid w:val="00CF54EF"/>
    <w:rsid w:val="00D41829"/>
    <w:rsid w:val="00DD7BB9"/>
    <w:rsid w:val="00E86F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3C59E24"/>
  <w15:chartTrackingRefBased/>
  <w15:docId w15:val="{61D477F6-89C9-2B45-8CE5-CF4188812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C2A9C"/>
    <w:rPr>
      <w:rFonts w:ascii="ＭＳ 明朝" w:eastAsia="ＭＳ 明朝"/>
      <w:sz w:val="18"/>
      <w:szCs w:val="18"/>
    </w:rPr>
  </w:style>
  <w:style w:type="character" w:customStyle="1" w:styleId="a4">
    <w:name w:val="吹き出し (文字)"/>
    <w:basedOn w:val="a0"/>
    <w:link w:val="a3"/>
    <w:uiPriority w:val="99"/>
    <w:semiHidden/>
    <w:rsid w:val="003C2A9C"/>
    <w:rPr>
      <w:rFonts w:ascii="ＭＳ 明朝" w:eastAsia="ＭＳ 明朝"/>
      <w:sz w:val="18"/>
      <w:szCs w:val="18"/>
    </w:rPr>
  </w:style>
  <w:style w:type="character" w:styleId="a5">
    <w:name w:val="annotation reference"/>
    <w:basedOn w:val="a0"/>
    <w:rsid w:val="003C2A9C"/>
    <w:rPr>
      <w:sz w:val="18"/>
    </w:rPr>
  </w:style>
  <w:style w:type="paragraph" w:styleId="a6">
    <w:name w:val="annotation text"/>
    <w:basedOn w:val="a"/>
    <w:link w:val="a7"/>
    <w:rsid w:val="003C2A9C"/>
    <w:pPr>
      <w:widowControl/>
      <w:spacing w:after="160" w:line="259" w:lineRule="auto"/>
      <w:jc w:val="left"/>
    </w:pPr>
    <w:rPr>
      <w:kern w:val="0"/>
      <w:sz w:val="22"/>
      <w:szCs w:val="22"/>
    </w:rPr>
  </w:style>
  <w:style w:type="character" w:customStyle="1" w:styleId="a7">
    <w:name w:val="コメント文字列 (文字)"/>
    <w:basedOn w:val="a0"/>
    <w:link w:val="a6"/>
    <w:rsid w:val="003C2A9C"/>
    <w:rPr>
      <w:kern w:val="0"/>
      <w:sz w:val="22"/>
      <w:szCs w:val="22"/>
    </w:rPr>
  </w:style>
  <w:style w:type="paragraph" w:styleId="a8">
    <w:name w:val="Revision"/>
    <w:hidden/>
    <w:uiPriority w:val="99"/>
    <w:semiHidden/>
    <w:rsid w:val="003C2A9C"/>
  </w:style>
  <w:style w:type="paragraph" w:styleId="a9">
    <w:name w:val="header"/>
    <w:basedOn w:val="a"/>
    <w:link w:val="aa"/>
    <w:uiPriority w:val="99"/>
    <w:unhideWhenUsed/>
    <w:rsid w:val="003C2A9C"/>
    <w:pPr>
      <w:tabs>
        <w:tab w:val="center" w:pos="4252"/>
        <w:tab w:val="right" w:pos="8504"/>
      </w:tabs>
      <w:snapToGrid w:val="0"/>
    </w:pPr>
  </w:style>
  <w:style w:type="character" w:customStyle="1" w:styleId="aa">
    <w:name w:val="ヘッダー (文字)"/>
    <w:basedOn w:val="a0"/>
    <w:link w:val="a9"/>
    <w:uiPriority w:val="99"/>
    <w:rsid w:val="003C2A9C"/>
  </w:style>
  <w:style w:type="paragraph" w:styleId="ab">
    <w:name w:val="footer"/>
    <w:basedOn w:val="a"/>
    <w:link w:val="ac"/>
    <w:uiPriority w:val="99"/>
    <w:unhideWhenUsed/>
    <w:rsid w:val="003C2A9C"/>
    <w:pPr>
      <w:tabs>
        <w:tab w:val="center" w:pos="4252"/>
        <w:tab w:val="right" w:pos="8504"/>
      </w:tabs>
      <w:snapToGrid w:val="0"/>
    </w:pPr>
  </w:style>
  <w:style w:type="character" w:customStyle="1" w:styleId="ac">
    <w:name w:val="フッター (文字)"/>
    <w:basedOn w:val="a0"/>
    <w:link w:val="ab"/>
    <w:uiPriority w:val="99"/>
    <w:rsid w:val="003C2A9C"/>
  </w:style>
  <w:style w:type="character" w:styleId="ad">
    <w:name w:val="page number"/>
    <w:basedOn w:val="a0"/>
    <w:uiPriority w:val="99"/>
    <w:semiHidden/>
    <w:unhideWhenUsed/>
    <w:rsid w:val="003C2A9C"/>
  </w:style>
  <w:style w:type="table" w:styleId="ae">
    <w:name w:val="Table Grid"/>
    <w:basedOn w:val="a1"/>
    <w:rsid w:val="00241DB5"/>
    <w:rPr>
      <w:kern w:val="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708</Words>
  <Characters>4040</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安部　大樹</dc:creator>
  <cp:keywords/>
  <dc:description/>
  <cp:lastModifiedBy>安部　大樹</cp:lastModifiedBy>
  <cp:revision>4</cp:revision>
  <dcterms:created xsi:type="dcterms:W3CDTF">2021-01-14T08:38:00Z</dcterms:created>
  <dcterms:modified xsi:type="dcterms:W3CDTF">2021-01-14T10:01:00Z</dcterms:modified>
</cp:coreProperties>
</file>