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3670B3" w14:textId="0027ED40" w:rsidR="00E11D0F" w:rsidRPr="00E11D0F" w:rsidRDefault="00E11D0F" w:rsidP="00E11D0F">
      <w:pPr>
        <w:jc w:val="both"/>
        <w:rPr>
          <w:lang w:val="en-US"/>
        </w:rPr>
      </w:pPr>
      <w:r w:rsidRPr="00E11D0F">
        <w:rPr>
          <w:b/>
          <w:bCs/>
          <w:lang w:val="en-US"/>
        </w:rPr>
        <w:t>Supp</w:t>
      </w:r>
      <w:r>
        <w:rPr>
          <w:b/>
          <w:bCs/>
          <w:lang w:val="en-US"/>
        </w:rPr>
        <w:t xml:space="preserve">lementary </w:t>
      </w:r>
      <w:r w:rsidRPr="00E11D0F">
        <w:rPr>
          <w:b/>
          <w:bCs/>
          <w:lang w:val="en-US"/>
        </w:rPr>
        <w:t>Table 2</w:t>
      </w:r>
    </w:p>
    <w:tbl>
      <w:tblPr>
        <w:tblStyle w:val="PlainTable2"/>
        <w:tblW w:w="9620" w:type="dxa"/>
        <w:tblLook w:val="0620" w:firstRow="1" w:lastRow="0" w:firstColumn="0" w:lastColumn="0" w:noHBand="1" w:noVBand="1"/>
      </w:tblPr>
      <w:tblGrid>
        <w:gridCol w:w="3402"/>
        <w:gridCol w:w="2198"/>
        <w:gridCol w:w="921"/>
        <w:gridCol w:w="142"/>
        <w:gridCol w:w="1984"/>
        <w:gridCol w:w="973"/>
      </w:tblGrid>
      <w:tr w:rsidR="00E11D0F" w:rsidRPr="00E11D0F" w14:paraId="749FF2C4" w14:textId="77777777" w:rsidTr="00E11D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3402" w:type="dxa"/>
            <w:hideMark/>
          </w:tcPr>
          <w:p w14:paraId="65A4F780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3119" w:type="dxa"/>
            <w:gridSpan w:val="2"/>
            <w:hideMark/>
          </w:tcPr>
          <w:p w14:paraId="04B7D2B4" w14:textId="6F8EA3DB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Radiographic glenohumeral</w:t>
            </w:r>
            <w:r>
              <w:rPr>
                <w:b w:val="0"/>
                <w:bCs w:val="0"/>
                <w:sz w:val="20"/>
                <w:szCs w:val="20"/>
                <w:lang w:val="en-US"/>
              </w:rPr>
              <w:t xml:space="preserve"> </w:t>
            </w:r>
            <w:r w:rsidRPr="00E11D0F">
              <w:rPr>
                <w:sz w:val="20"/>
                <w:szCs w:val="20"/>
                <w:lang w:val="en-US"/>
              </w:rPr>
              <w:t>OA</w:t>
            </w:r>
          </w:p>
        </w:tc>
        <w:tc>
          <w:tcPr>
            <w:tcW w:w="3099" w:type="dxa"/>
            <w:gridSpan w:val="3"/>
            <w:hideMark/>
          </w:tcPr>
          <w:p w14:paraId="1B1AF7C5" w14:textId="77777777" w:rsidR="00E11D0F" w:rsidRPr="00E11D0F" w:rsidRDefault="00E11D0F" w:rsidP="00E11D0F">
            <w:pPr>
              <w:spacing w:after="160" w:line="259" w:lineRule="auto"/>
              <w:jc w:val="center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Radiographic MTP1 OA</w:t>
            </w:r>
          </w:p>
        </w:tc>
      </w:tr>
      <w:tr w:rsidR="00E11D0F" w:rsidRPr="00E11D0F" w14:paraId="6DB1E20F" w14:textId="77777777" w:rsidTr="00E11D0F">
        <w:trPr>
          <w:trHeight w:val="300"/>
        </w:trPr>
        <w:tc>
          <w:tcPr>
            <w:tcW w:w="3402" w:type="dxa"/>
            <w:hideMark/>
          </w:tcPr>
          <w:p w14:paraId="37313DDE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198" w:type="dxa"/>
            <w:hideMark/>
          </w:tcPr>
          <w:p w14:paraId="771F4071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b/>
                <w:bCs/>
                <w:sz w:val="20"/>
                <w:szCs w:val="20"/>
                <w:lang w:val="en-US"/>
              </w:rPr>
              <w:t xml:space="preserve">OR (95% CI) </w:t>
            </w:r>
          </w:p>
        </w:tc>
        <w:tc>
          <w:tcPr>
            <w:tcW w:w="1063" w:type="dxa"/>
            <w:gridSpan w:val="2"/>
            <w:hideMark/>
          </w:tcPr>
          <w:p w14:paraId="04F8243E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b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984" w:type="dxa"/>
            <w:hideMark/>
          </w:tcPr>
          <w:p w14:paraId="3E93154C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b/>
                <w:bCs/>
                <w:sz w:val="20"/>
                <w:szCs w:val="20"/>
                <w:lang w:val="en-US"/>
              </w:rPr>
              <w:t xml:space="preserve">OR (95% CI) </w:t>
            </w:r>
          </w:p>
        </w:tc>
        <w:tc>
          <w:tcPr>
            <w:tcW w:w="973" w:type="dxa"/>
            <w:hideMark/>
          </w:tcPr>
          <w:p w14:paraId="2BA4D5FC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b/>
                <w:bCs/>
                <w:sz w:val="20"/>
                <w:szCs w:val="20"/>
                <w:lang w:val="en-US"/>
              </w:rPr>
              <w:t>P-value</w:t>
            </w:r>
          </w:p>
        </w:tc>
      </w:tr>
      <w:tr w:rsidR="00E11D0F" w:rsidRPr="00E11D0F" w14:paraId="51B37566" w14:textId="77777777" w:rsidTr="00E11D0F">
        <w:trPr>
          <w:trHeight w:val="300"/>
        </w:trPr>
        <w:tc>
          <w:tcPr>
            <w:tcW w:w="3402" w:type="dxa"/>
            <w:hideMark/>
          </w:tcPr>
          <w:p w14:paraId="5C3A5E85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</w:rPr>
              <w:t xml:space="preserve">Active </w:t>
            </w:r>
            <w:proofErr w:type="spellStart"/>
            <w:r w:rsidRPr="00E11D0F">
              <w:rPr>
                <w:sz w:val="20"/>
                <w:szCs w:val="20"/>
              </w:rPr>
              <w:t>disease</w:t>
            </w:r>
            <w:proofErr w:type="spellEnd"/>
            <w:r w:rsidRPr="00E11D0F">
              <w:rPr>
                <w:sz w:val="20"/>
                <w:szCs w:val="20"/>
              </w:rPr>
              <w:t xml:space="preserve"> </w:t>
            </w:r>
            <w:proofErr w:type="spellStart"/>
            <w:r w:rsidRPr="00E11D0F">
              <w:rPr>
                <w:sz w:val="20"/>
                <w:szCs w:val="20"/>
              </w:rPr>
              <w:t>duration</w:t>
            </w:r>
            <w:proofErr w:type="spellEnd"/>
            <w:r w:rsidRPr="00E11D0F">
              <w:rPr>
                <w:sz w:val="20"/>
                <w:szCs w:val="20"/>
              </w:rPr>
              <w:t xml:space="preserve"> (</w:t>
            </w:r>
            <w:proofErr w:type="spellStart"/>
            <w:r w:rsidRPr="00E11D0F">
              <w:rPr>
                <w:sz w:val="20"/>
                <w:szCs w:val="20"/>
              </w:rPr>
              <w:t>years</w:t>
            </w:r>
            <w:proofErr w:type="spellEnd"/>
            <w:r w:rsidRPr="00E11D0F">
              <w:rPr>
                <w:sz w:val="20"/>
                <w:szCs w:val="20"/>
              </w:rPr>
              <w:t>)*</w:t>
            </w:r>
          </w:p>
        </w:tc>
        <w:tc>
          <w:tcPr>
            <w:tcW w:w="2198" w:type="dxa"/>
            <w:hideMark/>
          </w:tcPr>
          <w:p w14:paraId="464904EF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1.06 (0.95 – 1.18)</w:t>
            </w:r>
          </w:p>
        </w:tc>
        <w:tc>
          <w:tcPr>
            <w:tcW w:w="1063" w:type="dxa"/>
            <w:gridSpan w:val="2"/>
            <w:hideMark/>
          </w:tcPr>
          <w:p w14:paraId="7A4F1EE3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0.282</w:t>
            </w:r>
          </w:p>
        </w:tc>
        <w:tc>
          <w:tcPr>
            <w:tcW w:w="1984" w:type="dxa"/>
            <w:hideMark/>
          </w:tcPr>
          <w:p w14:paraId="4860D10B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1.01 (0.93 – 1.10)</w:t>
            </w:r>
          </w:p>
        </w:tc>
        <w:tc>
          <w:tcPr>
            <w:tcW w:w="973" w:type="dxa"/>
            <w:hideMark/>
          </w:tcPr>
          <w:p w14:paraId="45406019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0.824</w:t>
            </w:r>
          </w:p>
        </w:tc>
      </w:tr>
      <w:tr w:rsidR="00E11D0F" w:rsidRPr="00E11D0F" w14:paraId="48FEF070" w14:textId="77777777" w:rsidTr="00E11D0F">
        <w:trPr>
          <w:trHeight w:val="300"/>
        </w:trPr>
        <w:tc>
          <w:tcPr>
            <w:tcW w:w="3402" w:type="dxa"/>
            <w:hideMark/>
          </w:tcPr>
          <w:p w14:paraId="6CABAD7B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</w:rPr>
              <w:t xml:space="preserve">Treatment </w:t>
            </w:r>
            <w:proofErr w:type="spellStart"/>
            <w:r w:rsidRPr="00E11D0F">
              <w:rPr>
                <w:sz w:val="20"/>
                <w:szCs w:val="20"/>
              </w:rPr>
              <w:t>modality</w:t>
            </w:r>
            <w:proofErr w:type="spellEnd"/>
            <w:r w:rsidRPr="00E11D0F">
              <w:rPr>
                <w:sz w:val="20"/>
                <w:szCs w:val="20"/>
              </w:rPr>
              <w:t xml:space="preserve"> **</w:t>
            </w:r>
          </w:p>
        </w:tc>
        <w:tc>
          <w:tcPr>
            <w:tcW w:w="2198" w:type="dxa"/>
            <w:hideMark/>
          </w:tcPr>
          <w:p w14:paraId="112B4950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5.01 (1.03 – 24.54)</w:t>
            </w:r>
          </w:p>
        </w:tc>
        <w:tc>
          <w:tcPr>
            <w:tcW w:w="1063" w:type="dxa"/>
            <w:gridSpan w:val="2"/>
            <w:hideMark/>
          </w:tcPr>
          <w:p w14:paraId="44A83ED4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0.047</w:t>
            </w:r>
          </w:p>
        </w:tc>
        <w:tc>
          <w:tcPr>
            <w:tcW w:w="1984" w:type="dxa"/>
            <w:hideMark/>
          </w:tcPr>
          <w:p w14:paraId="057F30C6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fr-FR"/>
              </w:rPr>
              <w:t>1.26 0.42 – 1.38</w:t>
            </w:r>
          </w:p>
        </w:tc>
        <w:tc>
          <w:tcPr>
            <w:tcW w:w="973" w:type="dxa"/>
            <w:hideMark/>
          </w:tcPr>
          <w:p w14:paraId="7B7EC2AA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fr-FR"/>
              </w:rPr>
              <w:t>0.683</w:t>
            </w:r>
          </w:p>
        </w:tc>
      </w:tr>
      <w:tr w:rsidR="00E11D0F" w:rsidRPr="00E11D0F" w14:paraId="15D15E2E" w14:textId="77777777" w:rsidTr="00E11D0F">
        <w:trPr>
          <w:trHeight w:val="300"/>
        </w:trPr>
        <w:tc>
          <w:tcPr>
            <w:tcW w:w="3402" w:type="dxa"/>
            <w:hideMark/>
          </w:tcPr>
          <w:p w14:paraId="775ADC1D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  <w:lang w:val="en-US"/>
              </w:rPr>
            </w:pPr>
            <w:r w:rsidRPr="00E11D0F">
              <w:rPr>
                <w:sz w:val="20"/>
                <w:szCs w:val="20"/>
                <w:lang w:val="en-US"/>
              </w:rPr>
              <w:t>Pre-treatment IGF-1 level (nmol/L)***</w:t>
            </w:r>
          </w:p>
        </w:tc>
        <w:tc>
          <w:tcPr>
            <w:tcW w:w="2198" w:type="dxa"/>
            <w:hideMark/>
          </w:tcPr>
          <w:p w14:paraId="73BB4629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1.06 (1.01 – 1.12)</w:t>
            </w:r>
          </w:p>
        </w:tc>
        <w:tc>
          <w:tcPr>
            <w:tcW w:w="1063" w:type="dxa"/>
            <w:gridSpan w:val="2"/>
            <w:hideMark/>
          </w:tcPr>
          <w:p w14:paraId="727F7606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0.021</w:t>
            </w:r>
          </w:p>
        </w:tc>
        <w:tc>
          <w:tcPr>
            <w:tcW w:w="1984" w:type="dxa"/>
            <w:hideMark/>
          </w:tcPr>
          <w:p w14:paraId="1EDFAA02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fr-FR"/>
              </w:rPr>
              <w:t>1.00 (0.97 – 1.02)</w:t>
            </w:r>
          </w:p>
        </w:tc>
        <w:tc>
          <w:tcPr>
            <w:tcW w:w="973" w:type="dxa"/>
            <w:hideMark/>
          </w:tcPr>
          <w:p w14:paraId="0589E2E0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0.688</w:t>
            </w:r>
          </w:p>
        </w:tc>
      </w:tr>
      <w:tr w:rsidR="00E11D0F" w:rsidRPr="00E11D0F" w14:paraId="15DDAA26" w14:textId="77777777" w:rsidTr="00E11D0F">
        <w:trPr>
          <w:trHeight w:val="300"/>
        </w:trPr>
        <w:tc>
          <w:tcPr>
            <w:tcW w:w="3402" w:type="dxa"/>
            <w:hideMark/>
          </w:tcPr>
          <w:p w14:paraId="1C16C409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  <w:lang w:val="en-US"/>
              </w:rPr>
            </w:pPr>
            <w:r w:rsidRPr="00E11D0F">
              <w:rPr>
                <w:sz w:val="20"/>
                <w:szCs w:val="20"/>
                <w:lang w:val="en-US"/>
              </w:rPr>
              <w:t>Current IGF-1 level (nmol/L)***</w:t>
            </w:r>
          </w:p>
        </w:tc>
        <w:tc>
          <w:tcPr>
            <w:tcW w:w="2198" w:type="dxa"/>
            <w:hideMark/>
          </w:tcPr>
          <w:p w14:paraId="306B3F06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0.95 (0.82 – 1.10)</w:t>
            </w:r>
          </w:p>
        </w:tc>
        <w:tc>
          <w:tcPr>
            <w:tcW w:w="1063" w:type="dxa"/>
            <w:gridSpan w:val="2"/>
            <w:hideMark/>
          </w:tcPr>
          <w:p w14:paraId="1D5D9409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0.463</w:t>
            </w:r>
          </w:p>
        </w:tc>
        <w:tc>
          <w:tcPr>
            <w:tcW w:w="1984" w:type="dxa"/>
            <w:hideMark/>
          </w:tcPr>
          <w:p w14:paraId="2A04E25B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fr-FR"/>
              </w:rPr>
              <w:t>0.94 (0.83 – 1.06)</w:t>
            </w:r>
          </w:p>
        </w:tc>
        <w:tc>
          <w:tcPr>
            <w:tcW w:w="973" w:type="dxa"/>
            <w:hideMark/>
          </w:tcPr>
          <w:p w14:paraId="186C82AB" w14:textId="77777777" w:rsidR="00E11D0F" w:rsidRPr="00E11D0F" w:rsidRDefault="00E11D0F" w:rsidP="00E11D0F">
            <w:pPr>
              <w:spacing w:after="160" w:line="259" w:lineRule="auto"/>
              <w:jc w:val="both"/>
              <w:rPr>
                <w:sz w:val="20"/>
                <w:szCs w:val="20"/>
              </w:rPr>
            </w:pPr>
            <w:r w:rsidRPr="00E11D0F">
              <w:rPr>
                <w:sz w:val="20"/>
                <w:szCs w:val="20"/>
                <w:lang w:val="en-US"/>
              </w:rPr>
              <w:t>0.303</w:t>
            </w:r>
          </w:p>
        </w:tc>
      </w:tr>
    </w:tbl>
    <w:p w14:paraId="3A11FE12" w14:textId="16C55FD5" w:rsidR="00E841F3" w:rsidRDefault="00E841F3" w:rsidP="00E841F3">
      <w:pPr>
        <w:jc w:val="both"/>
        <w:rPr>
          <w:lang w:val="en-US"/>
        </w:rPr>
      </w:pPr>
      <w:r w:rsidRPr="00E11D0F">
        <w:rPr>
          <w:b/>
          <w:bCs/>
          <w:lang w:val="en-US"/>
        </w:rPr>
        <w:t>Supp</w:t>
      </w:r>
      <w:r>
        <w:rPr>
          <w:b/>
          <w:bCs/>
          <w:lang w:val="en-US"/>
        </w:rPr>
        <w:t xml:space="preserve">lementary </w:t>
      </w:r>
      <w:r w:rsidRPr="00E11D0F">
        <w:rPr>
          <w:b/>
          <w:bCs/>
          <w:lang w:val="en-US"/>
        </w:rPr>
        <w:t>Table 2</w:t>
      </w:r>
      <w:r>
        <w:rPr>
          <w:b/>
          <w:bCs/>
          <w:lang w:val="en-US"/>
        </w:rPr>
        <w:t xml:space="preserve"> </w:t>
      </w:r>
      <w:r w:rsidRPr="00E11D0F">
        <w:rPr>
          <w:b/>
          <w:bCs/>
          <w:lang w:val="en-US"/>
        </w:rPr>
        <w:t xml:space="preserve">– Risk factors for radiographic glenohumeral and MTP1 </w:t>
      </w:r>
      <w:r>
        <w:rPr>
          <w:b/>
          <w:bCs/>
          <w:lang w:val="en-US"/>
        </w:rPr>
        <w:t>OA</w:t>
      </w:r>
    </w:p>
    <w:p w14:paraId="5F4CCBA2" w14:textId="77777777" w:rsidR="00E841F3" w:rsidRPr="00E11D0F" w:rsidRDefault="00E841F3" w:rsidP="00E841F3">
      <w:pPr>
        <w:jc w:val="both"/>
        <w:rPr>
          <w:lang w:val="en-US"/>
        </w:rPr>
      </w:pPr>
      <w:r>
        <w:rPr>
          <w:lang w:val="en-US"/>
        </w:rPr>
        <w:t xml:space="preserve">For both glenohumeral and MTP1 joint radiographic OA, logistic regression analyses were performed to assess specific risk factors. </w:t>
      </w:r>
      <w:r w:rsidRPr="00E11D0F">
        <w:rPr>
          <w:lang w:val="en-GB"/>
        </w:rPr>
        <w:t xml:space="preserve">Values are reported as </w:t>
      </w:r>
      <w:r>
        <w:rPr>
          <w:lang w:val="en-GB"/>
        </w:rPr>
        <w:t xml:space="preserve">Odds ratios (OR) with 95% confidence intervals (CI). </w:t>
      </w:r>
      <w:r w:rsidRPr="00E11D0F">
        <w:rPr>
          <w:lang w:val="en-GB"/>
        </w:rPr>
        <w:t>* Available for 47 patients</w:t>
      </w:r>
      <w:r>
        <w:rPr>
          <w:lang w:val="en-GB"/>
        </w:rPr>
        <w:t xml:space="preserve">, </w:t>
      </w:r>
      <w:r w:rsidRPr="00E11D0F">
        <w:rPr>
          <w:lang w:val="en-GB"/>
        </w:rPr>
        <w:t xml:space="preserve">** Treatment modality is defined as currently being in remission due to </w:t>
      </w:r>
      <w:proofErr w:type="spellStart"/>
      <w:r w:rsidRPr="00E11D0F">
        <w:rPr>
          <w:lang w:val="en-GB"/>
        </w:rPr>
        <w:t>pharmaT</w:t>
      </w:r>
      <w:proofErr w:type="spellEnd"/>
      <w:r>
        <w:rPr>
          <w:lang w:val="en-GB"/>
        </w:rPr>
        <w:t xml:space="preserve">, </w:t>
      </w:r>
      <w:r w:rsidRPr="00E11D0F">
        <w:rPr>
          <w:lang w:val="en-GB"/>
        </w:rPr>
        <w:t>***</w:t>
      </w:r>
      <w:r w:rsidRPr="00E11D0F">
        <w:rPr>
          <w:lang w:val="en-US"/>
        </w:rPr>
        <w:t>Available for 37 patients</w:t>
      </w:r>
      <w:r>
        <w:rPr>
          <w:lang w:val="en-US"/>
        </w:rPr>
        <w:t>.</w:t>
      </w:r>
    </w:p>
    <w:p w14:paraId="7CB1B1E1" w14:textId="77777777" w:rsidR="00406226" w:rsidRPr="00757EB0" w:rsidRDefault="00406226" w:rsidP="00E648D9">
      <w:pPr>
        <w:jc w:val="both"/>
        <w:rPr>
          <w:lang w:val="en-US"/>
        </w:rPr>
      </w:pPr>
    </w:p>
    <w:sectPr w:rsidR="00406226" w:rsidRPr="00757EB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85CE87" w14:textId="77777777" w:rsidR="00757EB0" w:rsidRDefault="00757EB0" w:rsidP="00757EB0">
      <w:pPr>
        <w:spacing w:after="0" w:line="240" w:lineRule="auto"/>
      </w:pPr>
      <w:r>
        <w:separator/>
      </w:r>
    </w:p>
  </w:endnote>
  <w:endnote w:type="continuationSeparator" w:id="0">
    <w:p w14:paraId="59A87136" w14:textId="77777777" w:rsidR="00757EB0" w:rsidRDefault="00757EB0" w:rsidP="00757E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822152" w14:textId="77777777" w:rsidR="00757EB0" w:rsidRDefault="00757EB0" w:rsidP="00757EB0">
      <w:pPr>
        <w:spacing w:after="0" w:line="240" w:lineRule="auto"/>
      </w:pPr>
      <w:r>
        <w:separator/>
      </w:r>
    </w:p>
  </w:footnote>
  <w:footnote w:type="continuationSeparator" w:id="0">
    <w:p w14:paraId="30A26F98" w14:textId="77777777" w:rsidR="00757EB0" w:rsidRDefault="00757EB0" w:rsidP="00757E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B48A27" w14:textId="2298BDC0" w:rsidR="00757EB0" w:rsidRPr="00E841F3" w:rsidRDefault="00757EB0">
    <w:pPr>
      <w:pStyle w:val="Header"/>
      <w:rPr>
        <w:sz w:val="20"/>
        <w:szCs w:val="20"/>
        <w:lang w:val="en-US"/>
      </w:rPr>
    </w:pPr>
    <w:r w:rsidRPr="00E841F3">
      <w:rPr>
        <w:sz w:val="20"/>
        <w:szCs w:val="20"/>
        <w:lang w:val="en-US"/>
      </w:rPr>
      <w:t>Supp</w:t>
    </w:r>
    <w:r w:rsidR="00E841F3" w:rsidRPr="00E841F3">
      <w:rPr>
        <w:sz w:val="20"/>
        <w:szCs w:val="20"/>
        <w:lang w:val="en-US"/>
      </w:rPr>
      <w:t>l</w:t>
    </w:r>
    <w:r w:rsidR="00E841F3">
      <w:rPr>
        <w:sz w:val="20"/>
        <w:szCs w:val="20"/>
        <w:lang w:val="en-US"/>
      </w:rPr>
      <w:t>.</w:t>
    </w:r>
    <w:r w:rsidRPr="00E841F3">
      <w:rPr>
        <w:sz w:val="20"/>
        <w:szCs w:val="20"/>
        <w:lang w:val="en-US"/>
      </w:rPr>
      <w:t xml:space="preserve"> Table </w:t>
    </w:r>
    <w:r w:rsidR="00E11D0F" w:rsidRPr="00E841F3">
      <w:rPr>
        <w:sz w:val="20"/>
        <w:szCs w:val="20"/>
        <w:lang w:val="en-US"/>
      </w:rPr>
      <w:t>2</w:t>
    </w:r>
    <w:r w:rsidRPr="00E841F3">
      <w:rPr>
        <w:sz w:val="20"/>
        <w:szCs w:val="20"/>
        <w:lang w:val="en-US"/>
      </w:rPr>
      <w:tab/>
      <w:t>Pelsma et al. (</w:t>
    </w:r>
    <w:r w:rsidR="00E841F3">
      <w:rPr>
        <w:sz w:val="20"/>
        <w:szCs w:val="20"/>
        <w:lang w:val="en-US"/>
      </w:rPr>
      <w:t>2022</w:t>
    </w:r>
    <w:r w:rsidRPr="00E841F3">
      <w:rPr>
        <w:sz w:val="20"/>
        <w:szCs w:val="20"/>
        <w:lang w:val="en-US"/>
      </w:rPr>
      <w:t>)</w:t>
    </w:r>
    <w:r w:rsidRPr="00E841F3">
      <w:rPr>
        <w:sz w:val="20"/>
        <w:szCs w:val="20"/>
        <w:lang w:val="en-US"/>
      </w:rPr>
      <w:tab/>
    </w:r>
    <w:r w:rsidR="00E841F3">
      <w:rPr>
        <w:sz w:val="20"/>
        <w:szCs w:val="20"/>
        <w:lang w:val="en-US"/>
      </w:rPr>
      <w:t>March 22, 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EB0"/>
    <w:rsid w:val="00406226"/>
    <w:rsid w:val="00757EB0"/>
    <w:rsid w:val="00E11D0F"/>
    <w:rsid w:val="00E648D9"/>
    <w:rsid w:val="00E8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80C2B"/>
  <w15:chartTrackingRefBased/>
  <w15:docId w15:val="{4D055835-AE7F-4095-869C-26C291B60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757EB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57E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EB0"/>
  </w:style>
  <w:style w:type="paragraph" w:styleId="Footer">
    <w:name w:val="footer"/>
    <w:basedOn w:val="Normal"/>
    <w:link w:val="FooterChar"/>
    <w:uiPriority w:val="99"/>
    <w:unhideWhenUsed/>
    <w:rsid w:val="00757E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E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6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3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747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Pelsma, I.C.M. (DKP)</dc:creator>
  <cp:keywords/>
  <dc:description/>
  <cp:lastModifiedBy>Pelsma, I.C.M. (DKP)</cp:lastModifiedBy>
  <cp:revision>2</cp:revision>
  <dcterms:created xsi:type="dcterms:W3CDTF">2022-03-23T09:27:00Z</dcterms:created>
  <dcterms:modified xsi:type="dcterms:W3CDTF">2022-03-23T09:27:00Z</dcterms:modified>
</cp:coreProperties>
</file>