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6EBD4" w14:textId="77777777" w:rsidR="002624B9" w:rsidRPr="00B8526C" w:rsidRDefault="002624B9" w:rsidP="002624B9">
      <w:pPr>
        <w:spacing w:line="48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8526C">
        <w:rPr>
          <w:rFonts w:ascii="Times New Roman" w:hAnsi="Times New Roman"/>
          <w:b/>
          <w:color w:val="000000"/>
          <w:sz w:val="28"/>
          <w:szCs w:val="28"/>
        </w:rPr>
        <w:t>Linkage of proteasomal impairment and autophagy activation by C9orf72 poly-GA aggregate formation</w:t>
      </w:r>
    </w:p>
    <w:p w14:paraId="0911F551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Mei Pu 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1,2,3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, Yusi Tai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1,3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, Luyang Yuan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, Yu Zhang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, Huijie Guo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1,2,3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, Zongbing Hao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6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C87A71">
        <w:rPr>
          <w:rFonts w:ascii="Times New Roman" w:hAnsi="Times New Roman"/>
          <w:bCs/>
          <w:color w:val="000000" w:themeColor="text1"/>
          <w:sz w:val="24"/>
          <w:szCs w:val="24"/>
        </w:rPr>
        <w:t>Jing Chen</w:t>
      </w:r>
      <w:r w:rsidRPr="00C87A71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C87A71">
        <w:rPr>
          <w:rFonts w:ascii="Times New Roman" w:hAnsi="Times New Roman"/>
          <w:bCs/>
          <w:color w:val="000000" w:themeColor="text1"/>
          <w:sz w:val="24"/>
          <w:szCs w:val="24"/>
        </w:rPr>
        <w:t>, Xinming Qi</w:t>
      </w:r>
      <w:r w:rsidRPr="00C87A71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1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, Guanghui Wang 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6*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, Zhouteng Tao 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1,7*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and Jin Ren</w:t>
      </w:r>
      <w:r w:rsidRPr="00C87A71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 1,2 ,3,4*</w:t>
      </w:r>
    </w:p>
    <w:p w14:paraId="10FCDAFA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1 Center for Drug Safety Evaluation and Research, State Key Laboratory of Drug Research, Shanghai Institute of Materia Medica, Chinese Academy of Sciences, Shanghai, China.</w:t>
      </w:r>
    </w:p>
    <w:p w14:paraId="4F696549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2 School of Life Science and Technology, ShanghaiTech University, Shanghai, China</w:t>
      </w:r>
    </w:p>
    <w:p w14:paraId="195F91C4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3 University of Chinese Academy of Sciences, Beijing, China</w:t>
      </w:r>
    </w:p>
    <w:p w14:paraId="0267C36E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4 School of Chinese Materia Medica, Nanjing University of Chinese Medicine, Nanjing, China</w:t>
      </w:r>
    </w:p>
    <w:p w14:paraId="61C1016A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5 Key Laboratory of Receptor Research, Department of Neuropharmacology, Shanghai Institute of Materia Medica, Chinese Academy of Sciences, Shanghai, China</w:t>
      </w:r>
    </w:p>
    <w:p w14:paraId="44603107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6 Laboratory of Molecular Neuropathology, Jiangsu Key Laboratory of Neuropsychiatric Diseases &amp; Department of Pharmacology, College of Pharmaceutical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br/>
        <w:t>Sciences, Soochow University, Suzhou, Jiangsu, China</w:t>
      </w:r>
    </w:p>
    <w:p w14:paraId="3945AB24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 7 State Key Laboratory of Transient Optics and Photonics, Xi’an Institute of Optics and Precision Mechanics, Chinese Academy of Sciences, Xi’an, China</w:t>
      </w:r>
    </w:p>
    <w:p w14:paraId="40C35680" w14:textId="77777777" w:rsidR="002624B9" w:rsidRPr="00C87A71" w:rsidRDefault="002624B9" w:rsidP="00B8526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eastAsia="AdvOTc8fb9ce9" w:hAnsi="Times New Roman"/>
          <w:color w:val="000000" w:themeColor="text1"/>
          <w:sz w:val="24"/>
          <w:szCs w:val="24"/>
        </w:rPr>
        <w:t xml:space="preserve">*Corresponding author: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0DA3ED9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Zhouteng Tao, Ph.D. Center for Drug Safety Evaluation and Research, Shanghai Institute of Materia Medica, Chinese Academy of Sciences, 501 Haike Road, Shanghai, China. </w:t>
      </w:r>
    </w:p>
    <w:p w14:paraId="6FA9D635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Email:</w:t>
      </w:r>
      <w:r w:rsidRPr="00C87A71">
        <w:rPr>
          <w:rStyle w:val="a3"/>
          <w:rFonts w:ascii="Times New Roman" w:hAnsi="Times New Roman"/>
          <w:color w:val="000000" w:themeColor="text1"/>
          <w:sz w:val="24"/>
          <w:szCs w:val="24"/>
        </w:rPr>
        <w:t xml:space="preserve"> taozhouteng@simm.ac.cn</w:t>
      </w:r>
    </w:p>
    <w:p w14:paraId="618BA51D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Guanghui Wang, Ph.D. Prof, Laboratory of Molecular Neuropathology, Jiangsu Key Laboratory of Neuropsychiatric Diseases &amp; Department of Pharmacology, College of Pharmaceutical Sciences, Soochow University, Suzhou, Jiangsu, China. </w:t>
      </w:r>
    </w:p>
    <w:p w14:paraId="454A3F19" w14:textId="77777777" w:rsidR="002624B9" w:rsidRPr="00C87A71" w:rsidRDefault="002624B9" w:rsidP="00B8526C">
      <w:pPr>
        <w:spacing w:line="360" w:lineRule="auto"/>
        <w:jc w:val="both"/>
        <w:rPr>
          <w:rStyle w:val="a3"/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Email: </w:t>
      </w:r>
      <w:r w:rsidRPr="00C87A71">
        <w:rPr>
          <w:rStyle w:val="a3"/>
          <w:rFonts w:ascii="Times New Roman" w:hAnsi="Times New Roman"/>
          <w:color w:val="000000" w:themeColor="text1"/>
          <w:sz w:val="24"/>
          <w:szCs w:val="24"/>
        </w:rPr>
        <w:t>wanggh@suda.edu.cn</w:t>
      </w:r>
    </w:p>
    <w:p w14:paraId="4C637BB2" w14:textId="77777777" w:rsidR="002624B9" w:rsidRPr="00C87A71" w:rsidRDefault="002624B9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Jin Ren, Ph.D. Prof, Center for Drug Safety Evaluation and Research, Shanghai Institute of Materia Medica, Chinese Academy of Sciences, 501 Haike Road, Shanghai, China. </w:t>
      </w:r>
    </w:p>
    <w:p w14:paraId="1F8D3ECC" w14:textId="7805F0D4" w:rsidR="002624B9" w:rsidRDefault="002624B9" w:rsidP="00B8526C">
      <w:pPr>
        <w:spacing w:line="360" w:lineRule="auto"/>
        <w:jc w:val="both"/>
        <w:rPr>
          <w:rStyle w:val="a3"/>
          <w:rFonts w:ascii="Times New Roman" w:hAnsi="Times New Roman"/>
          <w:color w:val="000000" w:themeColor="text1"/>
          <w:sz w:val="24"/>
          <w:szCs w:val="24"/>
          <w:u w:color="386EFF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Phone: +86-021-68371103-208, Email: </w:t>
      </w:r>
      <w:hyperlink r:id="rId6" w:history="1">
        <w:r w:rsidRPr="00C87A71">
          <w:rPr>
            <w:rStyle w:val="a3"/>
            <w:rFonts w:ascii="Times New Roman" w:hAnsi="Times New Roman"/>
            <w:color w:val="000000" w:themeColor="text1"/>
            <w:sz w:val="24"/>
            <w:szCs w:val="24"/>
            <w:u w:color="386EFF"/>
          </w:rPr>
          <w:t>jren@cdser.simm.ac.cn</w:t>
        </w:r>
      </w:hyperlink>
    </w:p>
    <w:p w14:paraId="56E2C661" w14:textId="77777777" w:rsidR="00D23192" w:rsidRDefault="00D23192" w:rsidP="00B8526C">
      <w:pPr>
        <w:spacing w:line="360" w:lineRule="auto"/>
        <w:jc w:val="both"/>
        <w:rPr>
          <w:rStyle w:val="a3"/>
          <w:rFonts w:ascii="Times New Roman" w:hAnsi="Times New Roman"/>
          <w:color w:val="000000" w:themeColor="text1"/>
          <w:sz w:val="24"/>
          <w:szCs w:val="24"/>
          <w:u w:color="386EFF"/>
        </w:rPr>
        <w:sectPr w:rsidR="00D231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8E169A" w14:textId="12734BDC" w:rsidR="002624B9" w:rsidRPr="00AB5AAC" w:rsidRDefault="002624B9" w:rsidP="0018209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7A71">
        <w:rPr>
          <w:rFonts w:ascii="Times New Roman" w:hAnsi="Times New Roman"/>
          <w:b/>
          <w:sz w:val="24"/>
          <w:szCs w:val="24"/>
        </w:rPr>
        <w:lastRenderedPageBreak/>
        <w:t>Supplementary Figures</w:t>
      </w:r>
    </w:p>
    <w:p w14:paraId="10B8F070" w14:textId="0E22C99E" w:rsidR="00AB5AAC" w:rsidRPr="0018209F" w:rsidRDefault="00AB5AAC" w:rsidP="0018209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hint="eastAsia"/>
          <w:b/>
          <w:noProof/>
          <w:sz w:val="20"/>
          <w:szCs w:val="20"/>
        </w:rPr>
        <w:drawing>
          <wp:inline distT="0" distB="0" distL="0" distR="0" wp14:anchorId="679D5FF4" wp14:editId="2C2F246C">
            <wp:extent cx="5274310" cy="25908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ry Fig.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5E844" w14:textId="77777777" w:rsidR="002624B9" w:rsidRPr="00C87A71" w:rsidRDefault="002624B9" w:rsidP="00C87A71">
      <w:pPr>
        <w:pStyle w:val="Default"/>
        <w:spacing w:line="360" w:lineRule="auto"/>
        <w:jc w:val="both"/>
        <w:rPr>
          <w:b/>
          <w:color w:val="000000" w:themeColor="text1"/>
        </w:rPr>
      </w:pPr>
      <w:r w:rsidRPr="00C87A71">
        <w:rPr>
          <w:b/>
        </w:rPr>
        <w:t>Supplementary Fig. 1</w:t>
      </w:r>
      <w:r w:rsidRPr="00C87A71">
        <w:rPr>
          <w:b/>
          <w:color w:val="000000" w:themeColor="text1"/>
        </w:rPr>
        <w:t xml:space="preserve"> Poly-GA mice develop hallmark features of c9FTD/ALS</w:t>
      </w:r>
    </w:p>
    <w:p w14:paraId="71AC35C4" w14:textId="77777777" w:rsidR="002624B9" w:rsidRPr="00C87A71" w:rsidRDefault="0018209F" w:rsidP="00C87A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(A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Confocal microscopy of mouse cortical tissue showing cell nuclei (blue) and the cellular distribution of the indicated GFP-tagged proteins 4 weeks after injected with PHP.eB particles expressing GFP, GFP-GA30 or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 GFP-GA150. Scale bar, 10 μm. (B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Representative images showing distribution of GFP-GA150 aggregates in different brain regions of GFP-150 mice after injected with PHP.eB particles expressing GFP-GA150 5 months. Scale bar, 100 μm.</w:t>
      </w:r>
    </w:p>
    <w:p w14:paraId="7697A1D3" w14:textId="1CBAA1FC" w:rsidR="002624B9" w:rsidRPr="00C87A71" w:rsidRDefault="002624B9" w:rsidP="00C87A7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2282526" w14:textId="0B977510" w:rsidR="00CA0A17" w:rsidRDefault="00CA0A17" w:rsidP="002624B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D0CCE95" w14:textId="7459672D" w:rsidR="00CD0702" w:rsidRDefault="00CD0702" w:rsidP="002624B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241F97E" w14:textId="3ECF3488" w:rsidR="00AB5AAC" w:rsidRPr="00B8526C" w:rsidRDefault="00AB5AAC" w:rsidP="002624B9">
      <w:pPr>
        <w:spacing w:after="0" w:line="48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 w:hint="eastAsia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E1F2817" wp14:editId="4AD54F8B">
            <wp:extent cx="5274310" cy="7350760"/>
            <wp:effectExtent l="0" t="0" r="2540" b="25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Fig.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5E245" w14:textId="77777777" w:rsidR="002624B9" w:rsidRPr="00C87A71" w:rsidRDefault="002624B9" w:rsidP="00B8526C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b/>
          <w:sz w:val="24"/>
          <w:szCs w:val="24"/>
        </w:rPr>
        <w:t xml:space="preserve">Supplementary Fig. </w:t>
      </w:r>
      <w:r w:rsidRPr="00C87A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2 </w:t>
      </w:r>
      <w:r w:rsidRPr="00C87A71">
        <w:rPr>
          <w:rFonts w:ascii="Times New Roman" w:hAnsi="Times New Roman"/>
          <w:b/>
          <w:color w:val="000000"/>
          <w:sz w:val="24"/>
          <w:szCs w:val="24"/>
        </w:rPr>
        <w:t>Poly-GA aggregates are necessary for their toxicity and specifically affected UPS</w:t>
      </w:r>
    </w:p>
    <w:p w14:paraId="4D664523" w14:textId="71913E16" w:rsidR="002624B9" w:rsidRPr="00C87A71" w:rsidRDefault="009965DA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(A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Confocal micrographs of GFP, GFP-GA30 or GFP-GA150 proteins expressed in N2a cells.</w:t>
      </w:r>
      <w:r w:rsidR="002624B9" w:rsidRPr="00C87A7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Scale bar, 10μm. (B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) Confocal micrographs of mCherry, mCherry-GA30 or 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lastRenderedPageBreak/>
        <w:t>mCherry-GA150 proteins expressed i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n N2a cells. Scale bar, 10μm. (C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Immunoblot analysis of lysates from N2a cells were co-transfected with GFPu and mCherry, mCherry-GA30 or mCherry-GA150, Blots were probed with antibodies specific for GFP.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(D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The effect of caspase-like(C-L) enzymatic activities in HEK293 cells expressing GFP, GFP-GA30 or GFP-GA150 were detected. The cells were t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reated with MG132 (10uM, 6h). (E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The effect of caspase-like (C-L) enzyme activities in N2a cells expressing GFP, GFP-GA30 or GFP-GA150 were detected.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(F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Immunofluorescence analysis of p62 (purple) in HEK293 cells expressing GFP, GFP-GA30 o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r GFP-GA150. Scale bar, 10μm. (G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HEK293 cells were co-transfected with HA-Ub and GFP, GFP-GA30 or GFP-GA150. Then the cells were stained using HA ant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ibody (red). Scale bar, 10μm. (H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Immunofluorescence analysis of p62 (purple) in HEK293 cells expressing GFP-GR150, GFP-PR96. Scale bar, 5μm. Nuclei were counterstained with DAPI (blue). GAPDH was used as a loading control.</w:t>
      </w:r>
      <w:r w:rsidR="002624B9" w:rsidRPr="00C87A7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Data were presented as mean ± SEM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of three independent experiments, **</w:t>
      </w:r>
      <w:r w:rsidR="002624B9" w:rsidRPr="00C87A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p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 &lt; 0.01. ns, not significant.</w:t>
      </w:r>
    </w:p>
    <w:p w14:paraId="677721E9" w14:textId="27590F88" w:rsidR="002624B9" w:rsidRDefault="00885FFA" w:rsidP="002624B9">
      <w:pPr>
        <w:spacing w:line="480" w:lineRule="auto"/>
        <w:jc w:val="both"/>
        <w:rPr>
          <w:noProof/>
        </w:rPr>
      </w:pPr>
      <w:r w:rsidRPr="00885FFA">
        <w:rPr>
          <w:noProof/>
        </w:rPr>
        <w:t xml:space="preserve"> </w:t>
      </w:r>
    </w:p>
    <w:p w14:paraId="641174FE" w14:textId="15576D6F" w:rsidR="00CD0702" w:rsidRDefault="00CD0702" w:rsidP="002624B9">
      <w:pPr>
        <w:spacing w:line="480" w:lineRule="auto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</w:p>
    <w:p w14:paraId="137CBADF" w14:textId="41A3F5B1" w:rsidR="00AB5AAC" w:rsidRPr="00B8526C" w:rsidRDefault="00AB5AAC" w:rsidP="002624B9">
      <w:pPr>
        <w:spacing w:line="480" w:lineRule="auto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hint="eastAsia"/>
          <w:noProof/>
          <w:color w:val="000000" w:themeColor="text1"/>
          <w:sz w:val="20"/>
          <w:szCs w:val="20"/>
          <w:shd w:val="clear" w:color="auto" w:fill="FFFFFF"/>
        </w:rPr>
        <w:lastRenderedPageBreak/>
        <w:drawing>
          <wp:inline distT="0" distB="0" distL="0" distR="0" wp14:anchorId="4A156376" wp14:editId="19D82D88">
            <wp:extent cx="5274310" cy="72212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ementary Fig.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2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CCB73" w14:textId="77777777" w:rsidR="002624B9" w:rsidRPr="00C87A71" w:rsidRDefault="002624B9" w:rsidP="00C87A71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b/>
          <w:sz w:val="24"/>
          <w:szCs w:val="24"/>
        </w:rPr>
        <w:t xml:space="preserve">Supplementary Fig. </w:t>
      </w:r>
      <w:r w:rsidRPr="00C87A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3 UPS-related proteins </w:t>
      </w:r>
      <w:r w:rsidR="000353F3" w:rsidRPr="00C87A71">
        <w:rPr>
          <w:rFonts w:ascii="Times New Roman" w:hAnsi="Times New Roman" w:hint="eastAsia"/>
          <w:b/>
          <w:color w:val="000000" w:themeColor="text1"/>
          <w:sz w:val="24"/>
          <w:szCs w:val="24"/>
        </w:rPr>
        <w:t>are</w:t>
      </w:r>
      <w:r w:rsidR="000353F3" w:rsidRPr="00C87A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87A71">
        <w:rPr>
          <w:rFonts w:ascii="Times New Roman" w:hAnsi="Times New Roman"/>
          <w:b/>
          <w:color w:val="000000" w:themeColor="text1"/>
          <w:sz w:val="24"/>
          <w:szCs w:val="24"/>
        </w:rPr>
        <w:t>recruited by poly-GA aggregates</w:t>
      </w:r>
    </w:p>
    <w:p w14:paraId="62F5D284" w14:textId="6C07D830" w:rsidR="002624B9" w:rsidRPr="00C87A71" w:rsidRDefault="009965DA" w:rsidP="00C87A71">
      <w:pPr>
        <w:pStyle w:val="-11"/>
        <w:widowControl w:val="0"/>
        <w:spacing w:line="36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(A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Immunoblot analysis of lysates from GFP, GFP-GA30, GFP-GA150-Aggregates or GFP-GA150-Total HEK293 cell lines. Blots were probed with antibodies speci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fic for GFP and Cleaved-PARP. (B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) Immunofluorescence analysis of </w:t>
      </w:r>
      <w:r w:rsidR="002624B9" w:rsidRPr="00C87A71">
        <w:rPr>
          <w:rFonts w:ascii="Times New Roman" w:eastAsia="等线" w:hAnsi="Times New Roman"/>
          <w:color w:val="000000" w:themeColor="text1"/>
          <w:sz w:val="24"/>
          <w:szCs w:val="24"/>
        </w:rPr>
        <w:t>γ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-tubulin (purple) in 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lastRenderedPageBreak/>
        <w:t>N2a cells expressing GFP, GFP-GA30 or GFP-GA150. Scale bar, 10μm.</w:t>
      </w:r>
      <w:r w:rsidR="002624B9" w:rsidRPr="00C87A7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(C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Immunofluorescence analysis of p62 (purple) in GFP, GFP-GA30, GFP-GA150-Total or GFP-GA150-Aggregates HEK293 cell lines. Scale bar, 5μm.</w:t>
      </w:r>
      <w:r w:rsidR="002624B9" w:rsidRPr="00C87A7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(D) The cells from (A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were co-transfected with HA-Ub. Then, the cells were stained using HA antibody (red). Scale bar, 5μm.</w:t>
      </w:r>
      <w:r w:rsidR="002624B9" w:rsidRPr="00C87A7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(E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The effect of caspase-like (C-L) enzyme activity in GFP, GFP-GA30, GFP-GA150-Aggregates or GFP-GA150-Total HEK293 cell lines were detected. Nuclei were counterstained with DAPI (blue). GAPDH was used as a loading control. Data were presented as mean ± SEM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of three independent experiments, **</w:t>
      </w:r>
      <w:r w:rsidR="002624B9" w:rsidRPr="00C87A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p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 &lt; 0.01. </w:t>
      </w:r>
    </w:p>
    <w:p w14:paraId="0B9A06B2" w14:textId="17EC93C6" w:rsidR="002624B9" w:rsidRDefault="00885FFA" w:rsidP="00C87A71">
      <w:pPr>
        <w:pStyle w:val="-11"/>
        <w:widowControl w:val="0"/>
        <w:spacing w:line="360" w:lineRule="auto"/>
        <w:ind w:left="0"/>
        <w:contextualSpacing w:val="0"/>
        <w:jc w:val="both"/>
        <w:rPr>
          <w:noProof/>
        </w:rPr>
      </w:pPr>
      <w:r w:rsidRPr="00885FFA">
        <w:rPr>
          <w:noProof/>
        </w:rPr>
        <w:t xml:space="preserve"> </w:t>
      </w:r>
    </w:p>
    <w:p w14:paraId="3A54FF49" w14:textId="0A41AF18" w:rsidR="00CD0702" w:rsidRDefault="00CD0702" w:rsidP="00C87A71">
      <w:pPr>
        <w:pStyle w:val="-11"/>
        <w:widowControl w:val="0"/>
        <w:spacing w:line="360" w:lineRule="auto"/>
        <w:ind w:left="0"/>
        <w:contextualSpacing w:val="0"/>
        <w:jc w:val="both"/>
        <w:rPr>
          <w:rFonts w:ascii="Times New Roman" w:hAnsi="Times New Roman"/>
          <w:color w:val="FF0000"/>
          <w:sz w:val="20"/>
          <w:szCs w:val="20"/>
          <w:shd w:val="clear" w:color="auto" w:fill="FFFFFF"/>
        </w:rPr>
      </w:pPr>
    </w:p>
    <w:p w14:paraId="739131F9" w14:textId="731EB651" w:rsidR="00AB5AAC" w:rsidRPr="00B8526C" w:rsidRDefault="00AB5AAC" w:rsidP="00C87A71">
      <w:pPr>
        <w:pStyle w:val="-11"/>
        <w:widowControl w:val="0"/>
        <w:spacing w:line="360" w:lineRule="auto"/>
        <w:ind w:left="0"/>
        <w:contextualSpacing w:val="0"/>
        <w:jc w:val="both"/>
        <w:rPr>
          <w:rFonts w:ascii="Times New Roman" w:hAnsi="Times New Roman"/>
          <w:color w:val="FF0000"/>
          <w:sz w:val="20"/>
          <w:szCs w:val="20"/>
          <w:shd w:val="clear" w:color="auto" w:fill="FFFFFF"/>
        </w:rPr>
      </w:pPr>
      <w:r>
        <w:rPr>
          <w:rFonts w:ascii="Times New Roman" w:hAnsi="Times New Roman" w:hint="eastAsia"/>
          <w:noProof/>
          <w:color w:val="FF0000"/>
          <w:sz w:val="20"/>
          <w:szCs w:val="20"/>
          <w:shd w:val="clear" w:color="auto" w:fill="FFFFFF"/>
        </w:rPr>
        <w:lastRenderedPageBreak/>
        <w:drawing>
          <wp:inline distT="0" distB="0" distL="0" distR="0" wp14:anchorId="7C45418D" wp14:editId="7D24DD10">
            <wp:extent cx="5274310" cy="6780530"/>
            <wp:effectExtent l="0" t="0" r="254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ry Fig.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8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F8DFE" w14:textId="77777777" w:rsidR="002624B9" w:rsidRPr="00C87A71" w:rsidRDefault="002624B9" w:rsidP="00B8526C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b/>
          <w:sz w:val="24"/>
          <w:szCs w:val="24"/>
        </w:rPr>
        <w:t xml:space="preserve">Supplementary Fig. </w:t>
      </w:r>
      <w:r w:rsidRPr="00C87A71">
        <w:rPr>
          <w:rFonts w:ascii="Times New Roman" w:hAnsi="Times New Roman"/>
          <w:b/>
          <w:color w:val="000000" w:themeColor="text1"/>
          <w:sz w:val="24"/>
          <w:szCs w:val="24"/>
        </w:rPr>
        <w:t>4 Poly-GA aggregates activate autophagy</w:t>
      </w:r>
    </w:p>
    <w:p w14:paraId="625DA488" w14:textId="03FD8F92" w:rsidR="00D23192" w:rsidRDefault="009965DA" w:rsidP="00B8526C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sectPr w:rsidR="00D2319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(A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GFP, GFP-GA30, GFP-GA150-Aggregates or GFP-GA150-Total HEK293 cells were subjected to EBSS (2h). LC3 (red) was visualized by immunofluorescence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 microscopy. Scale bar, 10μm. (B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Immunoblot showing p62, LC3 prot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ein levels in cells from (A). (C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) GFP, GFP-GA30, GFP-GA150-Aggregates or GFP-GA150-Total HEK293 cells were subjected to Torin1 treatment (250nm, 2h). Blots were probed with 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lastRenderedPageBreak/>
        <w:t>antibodies specific for p62 and LC3.</w:t>
      </w:r>
      <w:r w:rsidR="002624B9" w:rsidRPr="00C87A7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(D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) Immunoblot analysis of lysates from N2a cells expressing GFP, GFP-GA30 or GFP-GA150. Blots were probed with antibodies specific for p62 and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LC3. (E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N2a cells expressing GFP, GFP-GA30 or GFP-GA150 were subjected to BafA1 treatment (100nm, 18h). LC3 (red) was visualized by immunofluorescence microscopy. Scale bar, 5μm.</w:t>
      </w:r>
      <w:r w:rsidR="002624B9" w:rsidRPr="00C87A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(F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Immunofluorescence staining of p-p62 (S349) (red) and p-p62 (S403) (red) in the cortex of mice expressing GFP. Scale bars, 10μm. Nuclei were counterstained with DAPI (blue). GAPDH was used as a loading control.</w:t>
      </w:r>
      <w:r w:rsidR="002624B9" w:rsidRPr="00C87A7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Data were presented as mean ± SEM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of three independent experiments, *</w:t>
      </w:r>
      <w:r w:rsidR="002624B9" w:rsidRPr="00C87A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p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 &lt; 0.05, **</w:t>
      </w:r>
      <w:r w:rsidR="002624B9" w:rsidRPr="00C87A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p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 </w:t>
      </w:r>
      <w:r w:rsidR="00CD07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&lt; 0.0</w:t>
      </w:r>
      <w:r w:rsidR="00E0041D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</w:t>
      </w:r>
    </w:p>
    <w:p w14:paraId="61AD97C7" w14:textId="52966EA2" w:rsidR="00CD0702" w:rsidRDefault="00CD0702" w:rsidP="00BC5C62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</w:p>
    <w:p w14:paraId="1D920578" w14:textId="531B8168" w:rsidR="00E0041D" w:rsidRPr="00BC5C62" w:rsidRDefault="00E0041D" w:rsidP="00BC5C62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hint="eastAsia"/>
          <w:noProof/>
          <w:color w:val="000000" w:themeColor="text1"/>
          <w:sz w:val="20"/>
          <w:szCs w:val="20"/>
          <w:shd w:val="clear" w:color="auto" w:fill="FFFFFF"/>
        </w:rPr>
        <w:drawing>
          <wp:inline distT="0" distB="0" distL="0" distR="0" wp14:anchorId="61405C34" wp14:editId="12B8B222">
            <wp:extent cx="5274310" cy="408940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ry Fig.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A81E6" w14:textId="77777777" w:rsidR="002624B9" w:rsidRPr="00C87A71" w:rsidRDefault="002624B9" w:rsidP="00B8526C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b/>
          <w:sz w:val="24"/>
          <w:szCs w:val="24"/>
        </w:rPr>
        <w:t xml:space="preserve">Supplementary Fig. </w:t>
      </w:r>
      <w:r w:rsidRPr="00C87A71">
        <w:rPr>
          <w:rFonts w:ascii="Times New Roman" w:hAnsi="Times New Roman"/>
          <w:b/>
          <w:color w:val="000000" w:themeColor="text1"/>
          <w:sz w:val="24"/>
          <w:szCs w:val="24"/>
        </w:rPr>
        <w:t>5 Recruitment of autophagosomes by poly-GA aggregates in N2a cells is p62 dependent</w:t>
      </w:r>
    </w:p>
    <w:p w14:paraId="7A662759" w14:textId="31797755" w:rsidR="002624B9" w:rsidRPr="00C87A71" w:rsidRDefault="009965DA" w:rsidP="00B8526C">
      <w:pPr>
        <w:pStyle w:val="-11"/>
        <w:spacing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(A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N2a cells expressing GFP, GFP-GA30 or GFP-GA150 and transfected with the indicated siRNA targeting p62 (si-p62) or si-Control for 48 h. LC3 (red) and p62 (purple) were visualized by immunofluorescenc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>e microscopy. Scale bar, 5μm. (B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Immunoblot showing p62 and LC3</w:t>
      </w:r>
      <w:r w:rsidRPr="00C87A71">
        <w:rPr>
          <w:rFonts w:ascii="Times New Roman" w:hAnsi="Times New Roman"/>
          <w:color w:val="000000" w:themeColor="text1"/>
          <w:sz w:val="24"/>
          <w:szCs w:val="24"/>
        </w:rPr>
        <w:t xml:space="preserve"> protein levels in cells from (A). 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Nuclei were counterstained with DAPI (blue). GAPDH was used as a loading control.</w:t>
      </w:r>
      <w:bookmarkStart w:id="0" w:name="_GoBack"/>
      <w:bookmarkEnd w:id="0"/>
      <w:r w:rsidR="002624B9" w:rsidRPr="00C87A71">
        <w:rPr>
          <w:rFonts w:ascii="Times New Roman" w:hAnsi="Times New Roman"/>
          <w:color w:val="2E2E2E"/>
          <w:sz w:val="24"/>
          <w:szCs w:val="24"/>
        </w:rPr>
        <w:t xml:space="preserve"> 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Data were presented as mean ± SEM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of three independent experiments, *</w:t>
      </w:r>
      <w:r w:rsidR="002624B9" w:rsidRPr="00C87A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p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 &lt; 0.05, **</w:t>
      </w:r>
      <w:r w:rsidR="002624B9" w:rsidRPr="00C87A71"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  <w:t>p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 &lt; 0.01. ns, not significant.</w:t>
      </w:r>
    </w:p>
    <w:p w14:paraId="3C007685" w14:textId="1B56BFA7" w:rsidR="002624B9" w:rsidRDefault="002624B9" w:rsidP="002624B9">
      <w:pPr>
        <w:pStyle w:val="-11"/>
        <w:spacing w:line="48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38705416" w14:textId="6FCE476C" w:rsidR="00CD0702" w:rsidRDefault="00CD0702" w:rsidP="002624B9">
      <w:pPr>
        <w:pStyle w:val="-11"/>
        <w:spacing w:line="48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6D2F7536" w14:textId="20FAC384" w:rsidR="00E0041D" w:rsidRPr="00B8526C" w:rsidRDefault="00E0041D" w:rsidP="002624B9">
      <w:pPr>
        <w:pStyle w:val="-11"/>
        <w:spacing w:line="480" w:lineRule="auto"/>
        <w:ind w:left="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 w:hint="eastAsia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4F2B6AC8" wp14:editId="02F799A7">
            <wp:extent cx="4136136" cy="6836664"/>
            <wp:effectExtent l="0" t="0" r="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ementary Fig.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136" cy="683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FA973" w14:textId="77777777" w:rsidR="002624B9" w:rsidRPr="00C87A71" w:rsidRDefault="002624B9" w:rsidP="00B8526C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b/>
          <w:sz w:val="24"/>
          <w:szCs w:val="24"/>
        </w:rPr>
        <w:t xml:space="preserve">Supplementary Fig. </w:t>
      </w:r>
      <w:r w:rsidRPr="00C87A71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C87A71">
        <w:rPr>
          <w:rFonts w:ascii="Times New Roman" w:hAnsi="Times New Roman"/>
          <w:sz w:val="24"/>
          <w:szCs w:val="24"/>
        </w:rPr>
        <w:t xml:space="preserve"> </w:t>
      </w:r>
      <w:r w:rsidRPr="00C87A71">
        <w:rPr>
          <w:rFonts w:ascii="Times New Roman" w:hAnsi="Times New Roman"/>
          <w:b/>
          <w:color w:val="000000" w:themeColor="text1"/>
          <w:sz w:val="24"/>
          <w:szCs w:val="24"/>
        </w:rPr>
        <w:t>Rapamycin administration in poly-GA mice Reduces</w:t>
      </w:r>
      <w:r w:rsidRPr="00C87A71">
        <w:rPr>
          <w:rFonts w:ascii="Times New Roman" w:hAnsi="Times New Roman"/>
          <w:sz w:val="24"/>
          <w:szCs w:val="24"/>
        </w:rPr>
        <w:t xml:space="preserve"> </w:t>
      </w:r>
      <w:r w:rsidRPr="00C87A71">
        <w:rPr>
          <w:rFonts w:ascii="Times New Roman" w:hAnsi="Times New Roman"/>
          <w:b/>
          <w:color w:val="000000" w:themeColor="text1"/>
          <w:sz w:val="24"/>
          <w:szCs w:val="24"/>
        </w:rPr>
        <w:t>p62 and p-p62</w:t>
      </w:r>
    </w:p>
    <w:p w14:paraId="327BBD9F" w14:textId="21786A5E" w:rsidR="002624B9" w:rsidRPr="00C87A71" w:rsidRDefault="009965DA" w:rsidP="009965DA">
      <w:p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7A71">
        <w:rPr>
          <w:rFonts w:ascii="Times New Roman" w:hAnsi="Times New Roman"/>
          <w:color w:val="000000" w:themeColor="text1"/>
          <w:sz w:val="24"/>
          <w:szCs w:val="24"/>
        </w:rPr>
        <w:t>(A-C</w:t>
      </w:r>
      <w:r w:rsidR="002624B9" w:rsidRPr="00C87A71">
        <w:rPr>
          <w:rFonts w:ascii="Times New Roman" w:hAnsi="Times New Roman"/>
          <w:color w:val="000000" w:themeColor="text1"/>
          <w:sz w:val="24"/>
          <w:szCs w:val="24"/>
        </w:rPr>
        <w:t>) Immunofluorescence staining of p62, p-p62 (S349) and p-p62 (S403) in the cortex of mice expressing GFP-GA150 + Control and GFP-GA150 + Rapamycin. Scale bars, 100 μm.</w:t>
      </w:r>
    </w:p>
    <w:p w14:paraId="1733C714" w14:textId="77777777" w:rsidR="00CD0702" w:rsidRDefault="00CD0702" w:rsidP="009965DA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  <w:sectPr w:rsidR="00CD070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26430B" w14:textId="77777777" w:rsidR="002624B9" w:rsidRPr="00D23192" w:rsidRDefault="002624B9" w:rsidP="002624B9">
      <w:pPr>
        <w:rPr>
          <w:rFonts w:ascii="Times New Roman" w:hAnsi="Times New Roman"/>
          <w:b/>
          <w:sz w:val="24"/>
          <w:szCs w:val="24"/>
        </w:rPr>
      </w:pPr>
      <w:r w:rsidRPr="00D23192">
        <w:rPr>
          <w:rFonts w:ascii="Times New Roman" w:hAnsi="Times New Roman"/>
          <w:b/>
          <w:sz w:val="24"/>
          <w:szCs w:val="24"/>
        </w:rPr>
        <w:lastRenderedPageBreak/>
        <w:t>Supplementary</w:t>
      </w:r>
      <w:r w:rsidRPr="00D2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Table. 1 </w:t>
      </w:r>
      <w:r w:rsidRPr="00D23192">
        <w:rPr>
          <w:rFonts w:ascii="Times New Roman" w:hAnsi="Times New Roman"/>
          <w:b/>
          <w:sz w:val="24"/>
          <w:szCs w:val="24"/>
        </w:rPr>
        <w:t>cDNA sequence of the GFP-GA30 plasmid</w:t>
      </w:r>
    </w:p>
    <w:p w14:paraId="66E6E55F" w14:textId="77777777" w:rsidR="002624B9" w:rsidRPr="00D23192" w:rsidRDefault="002624B9" w:rsidP="002624B9">
      <w:pPr>
        <w:rPr>
          <w:rFonts w:ascii="Times New Roman" w:hAnsi="Times New Roman"/>
          <w:sz w:val="24"/>
          <w:szCs w:val="24"/>
        </w:rPr>
      </w:pPr>
      <w:r w:rsidRPr="00D23192">
        <w:rPr>
          <w:rFonts w:ascii="Times New Roman" w:hAnsi="Times New Roman"/>
          <w:sz w:val="24"/>
          <w:szCs w:val="24"/>
        </w:rPr>
        <w:t>GFP-GA30 plasmid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624B9" w:rsidRPr="00B8526C" w14:paraId="16B577B0" w14:textId="77777777" w:rsidTr="002624B9">
        <w:tc>
          <w:tcPr>
            <w:tcW w:w="8306" w:type="dxa"/>
          </w:tcPr>
          <w:p w14:paraId="42FA4853" w14:textId="77777777" w:rsidR="002624B9" w:rsidRPr="00B8526C" w:rsidRDefault="002624B9" w:rsidP="00491C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526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G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CCGGACTCAGATCTCGAGCTCAAGCTTCGAATTCCATG</w:t>
            </w:r>
            <w:r w:rsidRPr="00B8526C"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  <w:t>GGAGCAGGAGCAGGAGCAGGAGCAGGAGCAGGAGCAGGAGCAGGAGCAGGAGCAGGAGCAGGAGCAGGAGCAGGAGCAGGAGCAGGAGCAGGAGCAGGAGCAGGAGCAGGAGCAGGAGCAGGAGCAGGAGCAGGAGCAGGAGCAGGAGCAGGAGCAGGAGCAGGAGCAGGAGCAGGAGCA</w:t>
            </w:r>
            <w:r w:rsidRPr="00B8526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GTCGACGGTACCGCGGGCCCGGGATCC</w:t>
            </w:r>
          </w:p>
        </w:tc>
      </w:tr>
    </w:tbl>
    <w:p w14:paraId="4ABD651E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5EDD02FE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5FC8B4F8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31D3811C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1A0CE20C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7B4895C9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2AA73F66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6D37FDCD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181081D5" w14:textId="77777777" w:rsidR="002624B9" w:rsidRPr="00B8526C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4C5192A2" w14:textId="77777777" w:rsidR="002624B9" w:rsidRDefault="002624B9" w:rsidP="002624B9">
      <w:pPr>
        <w:rPr>
          <w:rFonts w:ascii="Times New Roman" w:hAnsi="Times New Roman"/>
          <w:b/>
          <w:sz w:val="20"/>
          <w:szCs w:val="20"/>
        </w:rPr>
      </w:pPr>
    </w:p>
    <w:p w14:paraId="70732AEA" w14:textId="77777777" w:rsidR="00B8526C" w:rsidRDefault="00B8526C" w:rsidP="002624B9">
      <w:pPr>
        <w:rPr>
          <w:rFonts w:ascii="Times New Roman" w:hAnsi="Times New Roman"/>
          <w:b/>
          <w:sz w:val="20"/>
          <w:szCs w:val="20"/>
        </w:rPr>
      </w:pPr>
    </w:p>
    <w:p w14:paraId="12FCBADD" w14:textId="77777777" w:rsidR="009965DA" w:rsidRPr="00B8526C" w:rsidRDefault="009965DA" w:rsidP="002624B9">
      <w:pPr>
        <w:rPr>
          <w:rFonts w:ascii="Times New Roman" w:hAnsi="Times New Roman"/>
          <w:b/>
          <w:sz w:val="20"/>
          <w:szCs w:val="20"/>
        </w:rPr>
      </w:pPr>
    </w:p>
    <w:p w14:paraId="40A7FC98" w14:textId="77777777" w:rsidR="002624B9" w:rsidRPr="00D23192" w:rsidRDefault="002624B9" w:rsidP="002624B9">
      <w:pPr>
        <w:rPr>
          <w:rFonts w:ascii="Times New Roman" w:hAnsi="Times New Roman"/>
          <w:b/>
          <w:sz w:val="24"/>
          <w:szCs w:val="24"/>
        </w:rPr>
      </w:pPr>
      <w:r w:rsidRPr="00D23192">
        <w:rPr>
          <w:rFonts w:ascii="Times New Roman" w:hAnsi="Times New Roman"/>
          <w:b/>
          <w:sz w:val="24"/>
          <w:szCs w:val="24"/>
        </w:rPr>
        <w:lastRenderedPageBreak/>
        <w:t>Supplementary</w:t>
      </w:r>
      <w:r w:rsidRPr="00D231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Table. </w:t>
      </w:r>
      <w:r w:rsidRPr="00D23192">
        <w:rPr>
          <w:rFonts w:ascii="Times New Roman" w:hAnsi="Times New Roman"/>
          <w:b/>
          <w:sz w:val="24"/>
          <w:szCs w:val="24"/>
        </w:rPr>
        <w:t>2 cDNA sequence of the GFP-GA150 plasmid</w:t>
      </w:r>
    </w:p>
    <w:p w14:paraId="0792298A" w14:textId="77777777" w:rsidR="002624B9" w:rsidRPr="00D23192" w:rsidRDefault="002624B9" w:rsidP="002624B9">
      <w:pPr>
        <w:rPr>
          <w:rFonts w:ascii="Times New Roman" w:hAnsi="Times New Roman"/>
          <w:sz w:val="24"/>
          <w:szCs w:val="24"/>
        </w:rPr>
      </w:pPr>
      <w:r w:rsidRPr="00D23192">
        <w:rPr>
          <w:rFonts w:ascii="Times New Roman" w:hAnsi="Times New Roman"/>
          <w:sz w:val="24"/>
          <w:szCs w:val="24"/>
        </w:rPr>
        <w:t>GFP-GA150 plasmid</w:t>
      </w:r>
    </w:p>
    <w:tbl>
      <w:tblPr>
        <w:tblStyle w:val="a4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624B9" w:rsidRPr="00B8526C" w14:paraId="5D218FCA" w14:textId="77777777" w:rsidTr="00491C0A">
        <w:tc>
          <w:tcPr>
            <w:tcW w:w="7437" w:type="dxa"/>
          </w:tcPr>
          <w:p w14:paraId="0D505034" w14:textId="77777777" w:rsidR="002624B9" w:rsidRPr="00B8526C" w:rsidRDefault="002624B9" w:rsidP="00491C0A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8526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TGGTGAGCAAGGGCGAGGAGCTGTTCACCGGGGTGGTGCCCATCCTGGTCGAGCTGGACGGCGACGTAAACGGCCACAAGTTCAGCGTGTCCGGCGAGGGCGAGGGCGATGCCACCTACGGCAAGCTGACCCTGAAGTTCATCTGCACCACCGGCAAGCTGCCCGTGCCCTGGCCCACCCTCGTGACCACCCTGACCTACGGCGTGCAGTGCTTCAGCCGCTACCCCGACCACATGAAGCAGCACGACTTCTTCAAGTCCGCCATGCCCGAAGGCTACGTCCAGGAGCGCACCATCTTCTTCAAGGACGACGGCAACTACAAGACCCGCGCCGAGGTGAAGTTCGAGGGCGACACCCTGGTGAACCGCATCGAGCTGAAGGGCATCGACTTCAAGGAGGACGGCAACATCCTGGGGCACAAGCTGGAGTACAACTACAACAGCCACAACGTCTATATCATGGCCGACAAGCAGAAGAACGGCATCAAGGTGAACTTCAAGATCCGCCACAACATCGAGGACGGCAGCGTGCAGCTCGCCGACCACTACCAGCAGAACACCCCCATCGGCGACGGCCCCGTGCTGCTGCCCGACAACCACTACCTGAGCACCCAGTCCGCCCTGAGCAAAGACCCCAACGAGAAGCGCGATCACATGGTCCTGCTGGAGTTCGTGACCGCCGCCGGGATCACTCTCGGCATGGACGAGCTGTACAAGTCCGGACTCAGATCTCGAGCTCAAGCTTCGAATTCCATG</w:t>
            </w:r>
            <w:r w:rsidRPr="00B8526C"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  <w:t>GGAGCAGGAGCAGGAGCAGGAGCAGGAGCAGGAGCAGGAGCAGGAGCAGGAGCAGGAGCAGGAGCAGGAGCAGGAGCAGGAGCAGGAGCAGGAGCAGGAGCAGGAGCAGGAGCAGGAGCAGGAGCAGGAGCAGGAGCAGGAGCAGGAGCAGGAGCAGGAGCAGGAGCAGGAGCAGGAGCAGTCGAGGGAGCAGGAGCAGGAGCAGGAGCAGGAGCAGGAGCAGGAGCAGGAGCAGGAGCAGGAGCAGGAGCAGGAGCAGGAGCAGGAGCAGGAGCAGGAGCAGGAGCAGGAGCAGGAGCAGGAGCAGGAGCAGGAGCAGGAGCAGGAGCAGGAGCAGGAGCAGGAGCAGGAGCAGGAGCAGGAGCAGTCGAGGGAGCAGGAGCAGGAGCAGGAGCAGGAGCAGGAGCAGGAGCAGGAGCAGGAGCAGGAGCAGGAGCAGGAGCAGGAGCAGGAGCAGGAGCAGGAGCAGGAGCAGGAGCAGGAGCAGGAGCAGGAGCAGGAGCAGGAGCAGGAGCAGGAGCAGGAGCAGGAGCAGGAGCAGGAGCAGGAGCAGTCGAGGGAGCAGGAGCAGGAGCAGGAGCAGGAGCAGGAGCAGGAGCAGGAGCAGGAGCAGGAGCAGGAGCAGGAGCAGGAGCAGGAGCAGGAGCAGGAGCAGGAGCAGGAGCAGGAGCAGGAGCAGGAGCAGGAGCAGGAGCAGGAGCAGGAGCAGGAGCAGGAGCAGGAGCAGGAGCAGGAGCAGTCGAGGGAGCAGGAGCAGGAGCAGGAGCAGGAGCAGGAGCAGGAGCAGGAGCAGGAGCAGGAGCAGGAGCAGGAGCAGGAGCAGGAGCAGGAGCAGGAGCAGGAGCAGGAGCAGGAGCAGGAGCAGGAGCAGGAGCAGGAGCAGGAGCAGGAGCAGGAGCAGGAGCAGGAGCAGGAGCAGGAGCA</w:t>
            </w:r>
            <w:r w:rsidRPr="00B8526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GTCGACGGTACCGCGGGCCCGGGATCC</w:t>
            </w:r>
          </w:p>
        </w:tc>
      </w:tr>
    </w:tbl>
    <w:p w14:paraId="6B961B5C" w14:textId="77777777" w:rsidR="002624B9" w:rsidRPr="00B8526C" w:rsidRDefault="002624B9" w:rsidP="002624B9">
      <w:pPr>
        <w:spacing w:line="48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78A49699" w14:textId="77777777" w:rsidR="002624B9" w:rsidRPr="00B8526C" w:rsidRDefault="002624B9">
      <w:pPr>
        <w:rPr>
          <w:rFonts w:ascii="Times New Roman" w:hAnsi="Times New Roman"/>
          <w:sz w:val="20"/>
          <w:szCs w:val="20"/>
        </w:rPr>
      </w:pPr>
    </w:p>
    <w:sectPr w:rsidR="002624B9" w:rsidRPr="00B85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AEA5E" w14:textId="77777777" w:rsidR="00D17CDD" w:rsidRDefault="00D17CDD" w:rsidP="000353F3">
      <w:pPr>
        <w:spacing w:after="0" w:line="240" w:lineRule="auto"/>
      </w:pPr>
      <w:r>
        <w:separator/>
      </w:r>
    </w:p>
  </w:endnote>
  <w:endnote w:type="continuationSeparator" w:id="0">
    <w:p w14:paraId="7EAFCD11" w14:textId="77777777" w:rsidR="00D17CDD" w:rsidRDefault="00D17CDD" w:rsidP="0003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c8fb9ce9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01FEA" w14:textId="77777777" w:rsidR="00D17CDD" w:rsidRDefault="00D17CDD" w:rsidP="000353F3">
      <w:pPr>
        <w:spacing w:after="0" w:line="240" w:lineRule="auto"/>
      </w:pPr>
      <w:r>
        <w:separator/>
      </w:r>
    </w:p>
  </w:footnote>
  <w:footnote w:type="continuationSeparator" w:id="0">
    <w:p w14:paraId="056CA348" w14:textId="77777777" w:rsidR="00D17CDD" w:rsidRDefault="00D17CDD" w:rsidP="00035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4B9"/>
    <w:rsid w:val="000353F3"/>
    <w:rsid w:val="0008446D"/>
    <w:rsid w:val="000F2168"/>
    <w:rsid w:val="001008C5"/>
    <w:rsid w:val="0018209F"/>
    <w:rsid w:val="00237920"/>
    <w:rsid w:val="002624B9"/>
    <w:rsid w:val="0027282D"/>
    <w:rsid w:val="00322C42"/>
    <w:rsid w:val="004A5C15"/>
    <w:rsid w:val="005B7608"/>
    <w:rsid w:val="007041CC"/>
    <w:rsid w:val="007874E5"/>
    <w:rsid w:val="007B6061"/>
    <w:rsid w:val="00885FFA"/>
    <w:rsid w:val="008D68CD"/>
    <w:rsid w:val="008F648A"/>
    <w:rsid w:val="00912BE5"/>
    <w:rsid w:val="009965DA"/>
    <w:rsid w:val="009D1D18"/>
    <w:rsid w:val="00A16289"/>
    <w:rsid w:val="00AB5AAC"/>
    <w:rsid w:val="00AC7701"/>
    <w:rsid w:val="00AD67D5"/>
    <w:rsid w:val="00AF61F2"/>
    <w:rsid w:val="00B569CB"/>
    <w:rsid w:val="00B8526C"/>
    <w:rsid w:val="00BC5C62"/>
    <w:rsid w:val="00C64DC0"/>
    <w:rsid w:val="00C87A71"/>
    <w:rsid w:val="00CA0A17"/>
    <w:rsid w:val="00CD0702"/>
    <w:rsid w:val="00D17CDD"/>
    <w:rsid w:val="00D23192"/>
    <w:rsid w:val="00DA448F"/>
    <w:rsid w:val="00E0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A0AAC"/>
  <w15:chartTrackingRefBased/>
  <w15:docId w15:val="{660BB110-A38C-4230-A257-39FFAAF65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4B9"/>
    <w:pPr>
      <w:spacing w:after="200" w:line="276" w:lineRule="auto"/>
    </w:pPr>
    <w:rPr>
      <w:rFonts w:ascii="Calibri" w:eastAsia="宋体" w:hAnsi="Calibri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24B9"/>
    <w:rPr>
      <w:color w:val="0000FF"/>
      <w:u w:val="single"/>
    </w:rPr>
  </w:style>
  <w:style w:type="paragraph" w:customStyle="1" w:styleId="-11">
    <w:name w:val="彩色列表 - 强调文字颜色 11"/>
    <w:basedOn w:val="a"/>
    <w:uiPriority w:val="34"/>
    <w:qFormat/>
    <w:rsid w:val="002624B9"/>
    <w:pPr>
      <w:ind w:left="720"/>
      <w:contextualSpacing/>
    </w:pPr>
  </w:style>
  <w:style w:type="paragraph" w:customStyle="1" w:styleId="Default">
    <w:name w:val="Default"/>
    <w:rsid w:val="002624B9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262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353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353F3"/>
    <w:rPr>
      <w:rFonts w:ascii="Calibri" w:eastAsia="宋体" w:hAnsi="Calibri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353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353F3"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ren@cdser.simm.ac.cn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1437</Words>
  <Characters>8194</Characters>
  <Application>Microsoft Office Word</Application>
  <DocSecurity>0</DocSecurity>
  <Lines>68</Lines>
  <Paragraphs>19</Paragraphs>
  <ScaleCrop>false</ScaleCrop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 mei</dc:creator>
  <cp:keywords/>
  <dc:description/>
  <cp:lastModifiedBy>Jave Yao</cp:lastModifiedBy>
  <cp:revision>3</cp:revision>
  <dcterms:created xsi:type="dcterms:W3CDTF">2022-04-22T02:40:00Z</dcterms:created>
  <dcterms:modified xsi:type="dcterms:W3CDTF">2022-04-27T14:05:00Z</dcterms:modified>
</cp:coreProperties>
</file>