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246" w:rsidRDefault="00920246" w:rsidP="0092024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1. Baseline Characteristics of TBI Patients.</w:t>
      </w:r>
    </w:p>
    <w:tbl>
      <w:tblPr>
        <w:tblStyle w:val="PlainTable2"/>
        <w:tblW w:w="8295" w:type="dxa"/>
        <w:tblLayout w:type="fixed"/>
        <w:tblLook w:val="04A0" w:firstRow="1" w:lastRow="0" w:firstColumn="1" w:lastColumn="0" w:noHBand="0" w:noVBand="1"/>
      </w:tblPr>
      <w:tblGrid>
        <w:gridCol w:w="2550"/>
        <w:gridCol w:w="1842"/>
        <w:gridCol w:w="2267"/>
        <w:gridCol w:w="1636"/>
      </w:tblGrid>
      <w:tr w:rsidR="00920246" w:rsidTr="00BF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:rsidR="00920246" w:rsidRDefault="00920246" w:rsidP="00BF4F72">
            <w:pPr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:rsidR="00920246" w:rsidRDefault="00920246" w:rsidP="00BF4F72">
            <w:pPr>
              <w:snapToGrid w:val="0"/>
              <w:ind w:firstLineChars="200" w:firstLine="4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</w:t>
            </w:r>
          </w:p>
          <w:p w:rsidR="00920246" w:rsidRDefault="00920246" w:rsidP="00BF4F72">
            <w:pPr>
              <w:snapToGri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(n=2498)                            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:rsidR="00920246" w:rsidRDefault="00920246" w:rsidP="00BF4F72">
            <w:pPr>
              <w:snapToGrid w:val="0"/>
              <w:ind w:left="60" w:firstLineChars="400" w:firstLine="84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Dex</w:t>
            </w:r>
          </w:p>
          <w:p w:rsidR="00920246" w:rsidRDefault="00920246" w:rsidP="00BF4F7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(n=175)</w:t>
            </w:r>
          </w:p>
        </w:tc>
        <w:tc>
          <w:tcPr>
            <w:tcW w:w="1636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:rsidR="00920246" w:rsidRDefault="00920246" w:rsidP="00BF4F7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SMD</w:t>
            </w:r>
          </w:p>
        </w:tc>
      </w:tr>
      <w:tr w:rsidR="00920246" w:rsidTr="00BF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0" w:type="dxa"/>
            <w:tcBorders>
              <w:left w:val="nil"/>
              <w:bottom w:val="single" w:sz="12" w:space="0" w:color="auto"/>
              <w:right w:val="nil"/>
            </w:tcBorders>
            <w:hideMark/>
          </w:tcPr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Age, Median (Q1, Q3)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   </w:t>
            </w:r>
          </w:p>
          <w:p w:rsidR="00920246" w:rsidRDefault="00920246" w:rsidP="00BF4F7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Female (%)</w:t>
            </w:r>
          </w:p>
          <w:p w:rsidR="00920246" w:rsidRDefault="00920246" w:rsidP="00BF4F7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APS </w:t>
            </w:r>
            <w:r w:rsidRPr="004C0115">
              <w:rPr>
                <w:rFonts w:ascii="Times New Roman" w:hAnsi="Times New Roman" w:cs="Times New Roman"/>
                <w:b w:val="0"/>
                <w:bCs w:val="0"/>
                <w:szCs w:val="21"/>
              </w:rPr>
              <w:t>Ⅲ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, Median (Q1, Q3)</w:t>
            </w:r>
          </w:p>
          <w:p w:rsidR="00920246" w:rsidRDefault="00920246" w:rsidP="00BF4F7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CCI, Median (Q1, Q3)</w:t>
            </w:r>
          </w:p>
          <w:p w:rsidR="00920246" w:rsidRDefault="00920246" w:rsidP="00BF4F7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GCS, Median (Q1, Q3)</w:t>
            </w:r>
          </w:p>
          <w:p w:rsidR="00920246" w:rsidRDefault="00920246" w:rsidP="00BF4F7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Other Sedatives used(%)</w:t>
            </w:r>
          </w:p>
          <w:p w:rsidR="00920246" w:rsidRDefault="00920246" w:rsidP="00BF4F72">
            <w:pPr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Pupils (%)</w:t>
            </w:r>
          </w:p>
          <w:p w:rsidR="00920246" w:rsidRDefault="00920246" w:rsidP="00BF4F72">
            <w:pPr>
              <w:snapToGrid w:val="0"/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BNRL</w:t>
            </w:r>
          </w:p>
          <w:p w:rsidR="00920246" w:rsidRDefault="00920246" w:rsidP="00BF4F72">
            <w:pPr>
              <w:snapToGrid w:val="0"/>
              <w:spacing w:line="360" w:lineRule="auto"/>
              <w:ind w:left="420" w:hangingChars="200" w:hanging="420"/>
              <w:jc w:val="left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   ONRL</w:t>
            </w:r>
          </w:p>
          <w:p w:rsidR="00920246" w:rsidRDefault="00920246" w:rsidP="00BF4F72">
            <w:pPr>
              <w:snapToGrid w:val="0"/>
              <w:spacing w:line="360" w:lineRule="auto"/>
              <w:ind w:left="420" w:hangingChars="200" w:hanging="4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   RL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</w:tcPr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59.25 (38.92, 77.5)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907 (36)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 (25, 45)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3(1, 5)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 (9, 14)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1226 (49)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213 (9)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 (2)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2228 (89)</w:t>
            </w:r>
          </w:p>
        </w:tc>
        <w:tc>
          <w:tcPr>
            <w:tcW w:w="2267" w:type="dxa"/>
            <w:tcBorders>
              <w:left w:val="nil"/>
              <w:bottom w:val="single" w:sz="12" w:space="0" w:color="auto"/>
              <w:right w:val="nil"/>
            </w:tcBorders>
          </w:tcPr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 (27, 61.35)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 (23)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 (32, 53)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 (0, 4)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(7, 12.5)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171 (98)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 (18)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(6)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134 (77)</w:t>
            </w:r>
          </w:p>
        </w:tc>
        <w:tc>
          <w:tcPr>
            <w:tcW w:w="1636" w:type="dxa"/>
            <w:tcBorders>
              <w:left w:val="nil"/>
              <w:bottom w:val="single" w:sz="12" w:space="0" w:color="auto"/>
              <w:right w:val="nil"/>
            </w:tcBorders>
          </w:tcPr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0.546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0.298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0.295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0.404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0.499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1.318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0.341</w:t>
            </w:r>
          </w:p>
          <w:p w:rsidR="00920246" w:rsidRDefault="00920246" w:rsidP="00BF4F72">
            <w:pPr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0246" w:rsidRDefault="00920246" w:rsidP="00920246">
      <w:pPr>
        <w:spacing w:line="360" w:lineRule="auto"/>
        <w:rPr>
          <w:rFonts w:ascii="Times New Roman" w:hAnsi="Times New Roman" w:cs="Times New Roman"/>
          <w:sz w:val="24"/>
        </w:rPr>
      </w:pPr>
      <w:r w:rsidRPr="00EE50D6">
        <w:rPr>
          <w:rFonts w:ascii="Times New Roman" w:hAnsi="Times New Roman" w:cs="Times New Roman"/>
          <w:sz w:val="24"/>
        </w:rPr>
        <w:t>Abbreviations: control the control group</w:t>
      </w:r>
      <w:r>
        <w:rPr>
          <w:rFonts w:ascii="Times New Roman" w:hAnsi="Times New Roman" w:cs="Times New Roman"/>
          <w:sz w:val="24"/>
        </w:rPr>
        <w:t xml:space="preserve">, </w:t>
      </w:r>
      <w:r w:rsidRPr="00EE50D6">
        <w:rPr>
          <w:rFonts w:ascii="Times New Roman" w:hAnsi="Times New Roman" w:cs="Times New Roman"/>
          <w:sz w:val="24"/>
        </w:rPr>
        <w:t>Dex the dexmedetomidine group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APS </w:t>
      </w:r>
      <w:r w:rsidRPr="004C0115">
        <w:rPr>
          <w:rFonts w:ascii="Times New Roman" w:hAnsi="Times New Roman" w:cs="Times New Roman"/>
          <w:szCs w:val="21"/>
        </w:rPr>
        <w:t>Ⅲ</w:t>
      </w:r>
      <w:r>
        <w:rPr>
          <w:rFonts w:ascii="Times New Roman" w:hAnsi="Times New Roman" w:cs="Times New Roman"/>
          <w:szCs w:val="21"/>
        </w:rPr>
        <w:t xml:space="preserve"> </w:t>
      </w:r>
      <w:r w:rsidRPr="004C011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</w:t>
      </w:r>
      <w:r w:rsidRPr="004C0115">
        <w:rPr>
          <w:rFonts w:ascii="Times New Roman" w:hAnsi="Times New Roman" w:cs="Times New Roman"/>
          <w:sz w:val="24"/>
        </w:rPr>
        <w:t xml:space="preserve">cute </w:t>
      </w:r>
      <w:r>
        <w:rPr>
          <w:rFonts w:ascii="Times New Roman" w:hAnsi="Times New Roman" w:cs="Times New Roman"/>
          <w:sz w:val="24"/>
        </w:rPr>
        <w:t>P</w:t>
      </w:r>
      <w:r w:rsidRPr="004C0115">
        <w:rPr>
          <w:rFonts w:ascii="Times New Roman" w:hAnsi="Times New Roman" w:cs="Times New Roman"/>
          <w:sz w:val="24"/>
        </w:rPr>
        <w:t xml:space="preserve">hysiology </w:t>
      </w:r>
      <w:r>
        <w:rPr>
          <w:rFonts w:ascii="Times New Roman" w:hAnsi="Times New Roman" w:cs="Times New Roman"/>
          <w:sz w:val="24"/>
        </w:rPr>
        <w:t xml:space="preserve">Score </w:t>
      </w:r>
      <w:r w:rsidRPr="004C0115">
        <w:rPr>
          <w:rFonts w:ascii="Times New Roman" w:hAnsi="Times New Roman" w:cs="Times New Roman"/>
          <w:sz w:val="24"/>
        </w:rPr>
        <w:t>Ⅲ</w:t>
      </w:r>
      <w:r>
        <w:rPr>
          <w:rFonts w:ascii="Times New Roman" w:hAnsi="Times New Roman" w:cs="Times New Roman"/>
          <w:sz w:val="24"/>
        </w:rPr>
        <w:t>, CCI Charlson Comorbidity Index, GCS Glasgow Coma Scale, BNRL Both Eyes Nonreactive to Light, ONRL One Eye nonreactive to Light, RL Reactive to Light</w:t>
      </w:r>
    </w:p>
    <w:p w:rsidR="00920246" w:rsidRDefault="00920246" w:rsidP="00920246">
      <w:pPr>
        <w:spacing w:line="360" w:lineRule="auto"/>
        <w:rPr>
          <w:rFonts w:ascii="Times New Roman" w:hAnsi="Times New Roman" w:cs="Times New Roman"/>
          <w:sz w:val="24"/>
        </w:rPr>
      </w:pPr>
    </w:p>
    <w:p w:rsidR="00920246" w:rsidRDefault="00920246" w:rsidP="00920246">
      <w:pPr>
        <w:spacing w:line="360" w:lineRule="auto"/>
      </w:pPr>
      <w:r>
        <w:rPr>
          <w:rFonts w:ascii="Times New Roman" w:hAnsi="Times New Roman" w:cs="Times New Roman"/>
          <w:sz w:val="24"/>
        </w:rPr>
        <w:t>Table 2. Association between Dex Use and the End Point of Death in the Crude Analysis, Multi variable Analysis, and Propensity Score Analysis.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3344"/>
      </w:tblGrid>
      <w:tr w:rsidR="00920246" w:rsidTr="00BF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:rsidR="00920246" w:rsidRDefault="00920246" w:rsidP="00BF4F7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Analysis</w:t>
            </w:r>
          </w:p>
        </w:tc>
        <w:tc>
          <w:tcPr>
            <w:tcW w:w="3344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:rsidR="00920246" w:rsidRDefault="00920246" w:rsidP="00BF4F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Death</w:t>
            </w:r>
          </w:p>
        </w:tc>
      </w:tr>
      <w:tr w:rsidR="00920246" w:rsidTr="00BF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nil"/>
              <w:bottom w:val="single" w:sz="12" w:space="0" w:color="auto"/>
              <w:right w:val="nil"/>
            </w:tcBorders>
            <w:hideMark/>
          </w:tcPr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No. of death/no. of patients(%)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  Dex                                                                                              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  control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Univariable analysis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—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hazard ratio(95% CI)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Multivariable analysis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—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hazard ratio(95% CI)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Propensity-score analyses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—</w:t>
            </w: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hazard ratio(95% CI)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  With matching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  With inverse probability weighting</w:t>
            </w:r>
          </w:p>
        </w:tc>
        <w:tc>
          <w:tcPr>
            <w:tcW w:w="3344" w:type="dxa"/>
            <w:tcBorders>
              <w:left w:val="nil"/>
              <w:bottom w:val="single" w:sz="12" w:space="0" w:color="auto"/>
              <w:right w:val="nil"/>
            </w:tcBorders>
          </w:tcPr>
          <w:p w:rsidR="00920246" w:rsidRDefault="00920246" w:rsidP="00BF4F72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</w:t>
            </w:r>
          </w:p>
          <w:p w:rsidR="00920246" w:rsidRDefault="00920246" w:rsidP="00BF4F72">
            <w:pPr>
              <w:snapToGrid w:val="0"/>
              <w:spacing w:line="360" w:lineRule="auto"/>
              <w:ind w:left="2520" w:hangingChars="1200" w:hanging="25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6/175(2.5) </w:t>
            </w:r>
          </w:p>
          <w:p w:rsidR="00920246" w:rsidRDefault="00920246" w:rsidP="00BF4F72">
            <w:pPr>
              <w:snapToGrid w:val="0"/>
              <w:spacing w:line="360" w:lineRule="auto"/>
              <w:ind w:firstLineChars="900" w:firstLine="18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307/298(10.7)</w:t>
            </w:r>
          </w:p>
          <w:p w:rsidR="00920246" w:rsidRDefault="00920246" w:rsidP="00BF4F72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</w:t>
            </w:r>
            <w:bookmarkStart w:id="0" w:name="_Hlk90180367"/>
            <w:r>
              <w:rPr>
                <w:rFonts w:ascii="Times New Roman" w:hAnsi="Times New Roman" w:cs="Times New Roman"/>
                <w:szCs w:val="21"/>
              </w:rPr>
              <w:t>0.16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0.07- 0.36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bookmarkEnd w:id="0"/>
          </w:p>
          <w:p w:rsidR="00920246" w:rsidRDefault="00920246" w:rsidP="00BF4F72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0.18</w:t>
            </w: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0.08- 0.41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:rsidR="00920246" w:rsidRDefault="00920246" w:rsidP="00BF4F72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  <w:p w:rsidR="00920246" w:rsidRDefault="00920246" w:rsidP="00BF4F72">
            <w:pPr>
              <w:snapToGri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0.18(0.08- 0.45)</w:t>
            </w:r>
          </w:p>
          <w:p w:rsidR="00920246" w:rsidRDefault="00920246" w:rsidP="00BF4F72">
            <w:pPr>
              <w:snapToGrid w:val="0"/>
              <w:spacing w:line="360" w:lineRule="auto"/>
              <w:ind w:firstLineChars="800" w:firstLine="16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0.18(0.08- 0.39)  </w:t>
            </w:r>
          </w:p>
        </w:tc>
      </w:tr>
    </w:tbl>
    <w:p w:rsidR="00920246" w:rsidRDefault="00920246" w:rsidP="00920246">
      <w:pPr>
        <w:rPr>
          <w:rFonts w:ascii="Times New Roman" w:hAnsi="Times New Roman" w:cs="Times New Roman"/>
          <w:szCs w:val="21"/>
        </w:rPr>
      </w:pPr>
      <w:r w:rsidRPr="000F68E3">
        <w:rPr>
          <w:rFonts w:ascii="Times New Roman" w:hAnsi="Times New Roman" w:cs="Times New Roman"/>
          <w:szCs w:val="21"/>
        </w:rPr>
        <w:t>Abbreviations: control the control group; Dex the dexmedetomidine group</w:t>
      </w:r>
    </w:p>
    <w:p w:rsidR="00920246" w:rsidRPr="000F68E3" w:rsidRDefault="00920246" w:rsidP="00920246">
      <w:pPr>
        <w:rPr>
          <w:rFonts w:ascii="Times New Roman" w:hAnsi="Times New Roman" w:cs="Times New Roman"/>
          <w:szCs w:val="21"/>
        </w:rPr>
      </w:pPr>
    </w:p>
    <w:p w:rsidR="00920246" w:rsidRDefault="00920246" w:rsidP="0092024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3. Subgroup analyses of Dex’s efficacy on TBI outcomes</w:t>
      </w:r>
    </w:p>
    <w:tbl>
      <w:tblPr>
        <w:tblStyle w:val="TableGrid"/>
        <w:tblW w:w="0" w:type="auto"/>
        <w:tblInd w:w="15" w:type="dxa"/>
        <w:tblLook w:val="04A0" w:firstRow="1" w:lastRow="0" w:firstColumn="1" w:lastColumn="0" w:noHBand="0" w:noVBand="1"/>
      </w:tblPr>
      <w:tblGrid>
        <w:gridCol w:w="8286"/>
      </w:tblGrid>
      <w:tr w:rsidR="00920246" w:rsidTr="00BF4F72">
        <w:tc>
          <w:tcPr>
            <w:tcW w:w="82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0246" w:rsidRPr="00BE136F" w:rsidRDefault="00920246" w:rsidP="00BF4F72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E136F">
              <w:rPr>
                <w:rFonts w:ascii="Times New Roman" w:hAnsi="Times New Roman" w:cs="Times New Roman"/>
                <w:b/>
                <w:bCs/>
                <w:szCs w:val="21"/>
              </w:rPr>
              <w:t>Subgroups     hazard ratio       Lower 95%CI       Upper 95%CI    p value</w:t>
            </w:r>
          </w:p>
        </w:tc>
      </w:tr>
      <w:tr w:rsidR="00920246" w:rsidTr="00BF4F72">
        <w:tc>
          <w:tcPr>
            <w:tcW w:w="828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Medication start time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&lt;24h             0.04               0.01               0.26           &lt;0.001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24-71h            0.08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0.02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  0.35           &lt;0.001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≥</w:t>
            </w:r>
            <w:r>
              <w:rPr>
                <w:rFonts w:ascii="Times New Roman" w:hAnsi="Times New Roman" w:cs="Times New Roman"/>
                <w:szCs w:val="21"/>
              </w:rPr>
              <w:t>72h            0.05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0.01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  0.2            &lt;0001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Total medication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used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&lt;4mg             0.04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0.01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  0.26           &lt;0.001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4-7.9mg           0.08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0.02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  0.33           &lt;0.001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≥</w:t>
            </w:r>
            <w:r>
              <w:rPr>
                <w:rFonts w:ascii="Times New Roman" w:hAnsi="Times New Roman" w:cs="Times New Roman"/>
                <w:szCs w:val="21"/>
              </w:rPr>
              <w:t>8mg            0.09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0.02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  0.36           &lt;0.001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</w:t>
            </w:r>
            <w:r w:rsidRPr="00E435E9">
              <w:rPr>
                <w:rFonts w:ascii="Times New Roman" w:hAnsi="Times New Roman" w:cs="Times New Roman"/>
                <w:b/>
                <w:bCs/>
                <w:szCs w:val="21"/>
              </w:rPr>
              <w:t>urations of medication use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&lt;24h              0.06               0.01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0.43           0.005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24-71h             0.04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  0.01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0.24           &lt;0.001</w:t>
            </w:r>
          </w:p>
          <w:p w:rsidR="00920246" w:rsidRDefault="00920246" w:rsidP="00BF4F72">
            <w:pPr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≥</w:t>
            </w:r>
            <w:r>
              <w:rPr>
                <w:rFonts w:ascii="Times New Roman" w:hAnsi="Times New Roman" w:cs="Times New Roman"/>
                <w:szCs w:val="21"/>
              </w:rPr>
              <w:t>72h             0.14               0.04</w:t>
            </w:r>
            <w:r>
              <w:rPr>
                <w:rFonts w:ascii="Times New Roman" w:hAnsi="Times New Roman" w:cs="Times New Roman"/>
                <w:szCs w:val="21"/>
              </w:rPr>
              <w:tab/>
              <w:t xml:space="preserve">           0.47           0.001</w:t>
            </w:r>
          </w:p>
        </w:tc>
      </w:tr>
    </w:tbl>
    <w:p w:rsidR="00920246" w:rsidRPr="00C5096B" w:rsidRDefault="00920246" w:rsidP="00920246">
      <w:pPr>
        <w:pStyle w:val="EndNoteBibliography"/>
        <w:spacing w:line="360" w:lineRule="auto"/>
        <w:rPr>
          <w:rFonts w:ascii="Times New Roman" w:eastAsiaTheme="minorEastAsia" w:hAnsi="Times New Roman" w:cs="Times New Roman"/>
          <w:noProof w:val="0"/>
          <w:sz w:val="24"/>
        </w:rPr>
      </w:pPr>
    </w:p>
    <w:p w:rsidR="00287E1F" w:rsidRDefault="00287E1F">
      <w:bookmarkStart w:id="1" w:name="_GoBack"/>
      <w:bookmarkEnd w:id="1"/>
    </w:p>
    <w:sectPr w:rsidR="00287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46"/>
    <w:rsid w:val="00287E1F"/>
    <w:rsid w:val="0092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40435-A745-4EA4-B47B-B629B738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4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246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20246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Normal"/>
    <w:link w:val="EndNoteBibliography0"/>
    <w:rsid w:val="00920246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20246"/>
    <w:rPr>
      <w:rFonts w:ascii="DengXian" w:eastAsia="DengXian" w:hAnsi="DengXian"/>
      <w:noProof/>
      <w:kern w:val="2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>Springer Nature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2022-04-12T07:25:00Z</dcterms:created>
  <dcterms:modified xsi:type="dcterms:W3CDTF">2022-04-12T07:25:00Z</dcterms:modified>
</cp:coreProperties>
</file>