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 w:cs="Times New Roman"/>
          <w:b/>
          <w:bCs/>
          <w:sz w:val="20"/>
          <w:szCs w:val="20"/>
        </w:rPr>
      </w:pPr>
      <w:r>
        <w:rPr>
          <w:rFonts w:hint="eastAsia" w:ascii="Times New Roman" w:hAnsi="Times New Roman" w:cs="Times New Roman"/>
          <w:b/>
          <w:bCs/>
          <w:sz w:val="20"/>
          <w:szCs w:val="20"/>
        </w:rPr>
        <w:t>T</w:t>
      </w:r>
      <w:r>
        <w:rPr>
          <w:rFonts w:ascii="Times New Roman" w:hAnsi="Times New Roman" w:cs="Times New Roman"/>
          <w:b/>
          <w:bCs/>
          <w:sz w:val="20"/>
          <w:szCs w:val="20"/>
        </w:rPr>
        <w:t>able S1. List of cytokines measured by quantibody® array kit</w:t>
      </w:r>
    </w:p>
    <w:tbl>
      <w:tblPr>
        <w:tblStyle w:val="4"/>
        <w:tblW w:w="8414" w:type="dxa"/>
        <w:tblInd w:w="108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3166"/>
        <w:gridCol w:w="950"/>
        <w:gridCol w:w="3305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93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Numbers</w:t>
            </w:r>
          </w:p>
        </w:tc>
        <w:tc>
          <w:tcPr>
            <w:tcW w:w="3166" w:type="dxa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Numbers</w:t>
            </w:r>
          </w:p>
        </w:tc>
        <w:tc>
          <w:tcPr>
            <w:tcW w:w="330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93" w:type="dxa"/>
            <w:tcBorders>
              <w:top w:val="single" w:color="auto" w:sz="12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66" w:type="dxa"/>
            <w:tcBorders>
              <w:top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IP-10（CXCL10）</w:t>
            </w:r>
          </w:p>
        </w:tc>
        <w:tc>
          <w:tcPr>
            <w:tcW w:w="950" w:type="dxa"/>
            <w:tcBorders>
              <w:top w:val="single" w:color="auto" w:sz="12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3305" w:type="dxa"/>
            <w:tcBorders>
              <w:top w:val="single" w:color="auto" w:sz="12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GRO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6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MDC (CCL22)</w:t>
            </w:r>
          </w:p>
        </w:tc>
        <w:tc>
          <w:tcPr>
            <w:tcW w:w="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3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IFN-α2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16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TNF-α</w:t>
            </w:r>
          </w:p>
        </w:tc>
        <w:tc>
          <w:tcPr>
            <w:tcW w:w="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3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IFN-γ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16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TNF-β</w:t>
            </w:r>
          </w:p>
        </w:tc>
        <w:tc>
          <w:tcPr>
            <w:tcW w:w="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3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MCP-1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16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IL-1α</w:t>
            </w:r>
          </w:p>
        </w:tc>
        <w:tc>
          <w:tcPr>
            <w:tcW w:w="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33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MCP-3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16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IL-1β</w:t>
            </w:r>
          </w:p>
        </w:tc>
        <w:tc>
          <w:tcPr>
            <w:tcW w:w="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33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MIP-1α（CCL3）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16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IL-1ra</w:t>
            </w:r>
          </w:p>
        </w:tc>
        <w:tc>
          <w:tcPr>
            <w:tcW w:w="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33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MIP-1β（CCL4）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16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IL-2</w:t>
            </w:r>
          </w:p>
        </w:tc>
        <w:tc>
          <w:tcPr>
            <w:tcW w:w="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33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PDGF-AA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16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IL-3</w:t>
            </w:r>
          </w:p>
        </w:tc>
        <w:tc>
          <w:tcPr>
            <w:tcW w:w="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33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PDGF-AB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6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IL-4</w:t>
            </w:r>
          </w:p>
        </w:tc>
        <w:tc>
          <w:tcPr>
            <w:tcW w:w="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33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PDGF-BB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16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IL-5</w:t>
            </w:r>
          </w:p>
        </w:tc>
        <w:tc>
          <w:tcPr>
            <w:tcW w:w="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33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RANTES（CCL5）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16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IL-6</w:t>
            </w:r>
          </w:p>
        </w:tc>
        <w:tc>
          <w:tcPr>
            <w:tcW w:w="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33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TGF-α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6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IL-7</w:t>
            </w:r>
          </w:p>
        </w:tc>
        <w:tc>
          <w:tcPr>
            <w:tcW w:w="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33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VEGF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16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IL-8</w:t>
            </w:r>
          </w:p>
        </w:tc>
        <w:tc>
          <w:tcPr>
            <w:tcW w:w="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3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EGF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16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IL-9</w:t>
            </w:r>
          </w:p>
        </w:tc>
        <w:tc>
          <w:tcPr>
            <w:tcW w:w="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33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Eotaxin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16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IL-10</w:t>
            </w:r>
          </w:p>
        </w:tc>
        <w:tc>
          <w:tcPr>
            <w:tcW w:w="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33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Flt-3 ligand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16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IL-12 (p40)</w:t>
            </w:r>
          </w:p>
        </w:tc>
        <w:tc>
          <w:tcPr>
            <w:tcW w:w="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33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Fractalkine（CX3CL1）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16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IL-12 (p70)</w:t>
            </w:r>
          </w:p>
        </w:tc>
        <w:tc>
          <w:tcPr>
            <w:tcW w:w="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33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BAFF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16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IL-13</w:t>
            </w:r>
          </w:p>
        </w:tc>
        <w:tc>
          <w:tcPr>
            <w:tcW w:w="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33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APRIL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16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IL-15</w:t>
            </w:r>
          </w:p>
        </w:tc>
        <w:tc>
          <w:tcPr>
            <w:tcW w:w="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33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CCL8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16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IL-17</w:t>
            </w:r>
          </w:p>
        </w:tc>
        <w:tc>
          <w:tcPr>
            <w:tcW w:w="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33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CD27L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16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IL-18</w:t>
            </w:r>
          </w:p>
        </w:tc>
        <w:tc>
          <w:tcPr>
            <w:tcW w:w="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33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IGF-I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16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IL-21</w:t>
            </w:r>
          </w:p>
        </w:tc>
        <w:tc>
          <w:tcPr>
            <w:tcW w:w="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33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XCL1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16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IL-32α</w:t>
            </w:r>
          </w:p>
        </w:tc>
        <w:tc>
          <w:tcPr>
            <w:tcW w:w="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33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CXCL9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16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G-CSF</w:t>
            </w:r>
          </w:p>
        </w:tc>
        <w:tc>
          <w:tcPr>
            <w:tcW w:w="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33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CXCL13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9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16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GM-CSF</w:t>
            </w:r>
          </w:p>
        </w:tc>
        <w:tc>
          <w:tcPr>
            <w:tcW w:w="950" w:type="dxa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3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</w:tr>
    </w:tbl>
    <w:p>
      <w:pPr>
        <w:rPr>
          <w:rFonts w:ascii="Times New Roman" w:hAnsi="Times New Roman" w:cs="Times New Roman"/>
          <w:b/>
          <w:bCs/>
          <w:sz w:val="20"/>
          <w:szCs w:val="20"/>
        </w:rPr>
      </w:pPr>
    </w:p>
    <w:p>
      <w:pPr>
        <w:rPr>
          <w:rFonts w:ascii="Times New Roman" w:hAnsi="Times New Roman" w:cs="Times New Roman"/>
          <w:b/>
          <w:bCs/>
          <w:sz w:val="20"/>
          <w:szCs w:val="20"/>
        </w:rPr>
      </w:pPr>
    </w:p>
    <w:p>
      <w:pPr>
        <w:rPr>
          <w:rFonts w:ascii="Times New Roman" w:hAnsi="Times New Roman" w:cs="Times New Roman"/>
          <w:b/>
          <w:bCs/>
          <w:sz w:val="20"/>
          <w:szCs w:val="20"/>
        </w:rPr>
      </w:pPr>
    </w:p>
    <w:p>
      <w:pPr>
        <w:rPr>
          <w:rFonts w:ascii="Times New Roman" w:hAnsi="Times New Roman" w:cs="Times New Roman"/>
          <w:b/>
          <w:bCs/>
          <w:sz w:val="20"/>
          <w:szCs w:val="20"/>
        </w:rPr>
      </w:pPr>
    </w:p>
    <w:p>
      <w:pPr>
        <w:rPr>
          <w:rFonts w:ascii="Times New Roman" w:hAnsi="Times New Roman" w:cs="Times New Roman"/>
          <w:b/>
          <w:bCs/>
          <w:sz w:val="20"/>
          <w:szCs w:val="20"/>
        </w:rPr>
      </w:pPr>
    </w:p>
    <w:p>
      <w:pPr>
        <w:rPr>
          <w:rFonts w:ascii="Times New Roman" w:hAnsi="Times New Roman" w:cs="Times New Roman"/>
          <w:b/>
          <w:bCs/>
          <w:sz w:val="20"/>
          <w:szCs w:val="20"/>
        </w:rPr>
      </w:pPr>
    </w:p>
    <w:p>
      <w:pPr>
        <w:rPr>
          <w:rFonts w:ascii="Times New Roman" w:hAnsi="Times New Roman" w:cs="Times New Roman"/>
          <w:b/>
          <w:bCs/>
          <w:sz w:val="20"/>
          <w:szCs w:val="20"/>
        </w:rPr>
      </w:pPr>
    </w:p>
    <w:p>
      <w:pPr>
        <w:rPr>
          <w:rFonts w:ascii="Times New Roman" w:hAnsi="Times New Roman" w:cs="Times New Roman"/>
          <w:b/>
          <w:bCs/>
          <w:sz w:val="20"/>
          <w:szCs w:val="20"/>
        </w:rPr>
      </w:pPr>
    </w:p>
    <w:p>
      <w:pPr>
        <w:rPr>
          <w:rFonts w:ascii="Times New Roman" w:hAnsi="Times New Roman" w:cs="Times New Roman"/>
          <w:b/>
          <w:bCs/>
          <w:sz w:val="20"/>
          <w:szCs w:val="20"/>
        </w:rPr>
      </w:pPr>
    </w:p>
    <w:p>
      <w:pPr>
        <w:rPr>
          <w:rFonts w:ascii="Times New Roman" w:hAnsi="Times New Roman" w:cs="Times New Roman"/>
          <w:b/>
          <w:bCs/>
          <w:sz w:val="20"/>
          <w:szCs w:val="20"/>
        </w:rPr>
      </w:pPr>
    </w:p>
    <w:p>
      <w:pPr>
        <w:rPr>
          <w:rFonts w:ascii="Times New Roman" w:hAnsi="Times New Roman" w:cs="Times New Roman"/>
          <w:b/>
          <w:bCs/>
          <w:sz w:val="20"/>
          <w:szCs w:val="20"/>
        </w:rPr>
      </w:pPr>
    </w:p>
    <w:p>
      <w:pPr>
        <w:rPr>
          <w:rFonts w:ascii="Times New Roman" w:hAnsi="Times New Roman" w:cs="Times New Roman"/>
          <w:b/>
          <w:bCs/>
          <w:sz w:val="20"/>
          <w:szCs w:val="20"/>
        </w:rPr>
      </w:pPr>
    </w:p>
    <w:p>
      <w:pPr>
        <w:rPr>
          <w:rFonts w:ascii="Times New Roman" w:hAnsi="Times New Roman" w:cs="Times New Roman"/>
          <w:b/>
          <w:bCs/>
          <w:sz w:val="20"/>
          <w:szCs w:val="20"/>
        </w:rPr>
      </w:pPr>
    </w:p>
    <w:p>
      <w:pPr>
        <w:rPr>
          <w:rFonts w:ascii="Times New Roman" w:hAnsi="Times New Roman" w:cs="Times New Roman"/>
          <w:b/>
          <w:bCs/>
          <w:sz w:val="20"/>
          <w:szCs w:val="20"/>
        </w:rPr>
      </w:pPr>
    </w:p>
    <w:p>
      <w:pPr>
        <w:rPr>
          <w:rFonts w:ascii="Times New Roman" w:hAnsi="Times New Roman" w:cs="Times New Roman"/>
          <w:b/>
          <w:bCs/>
          <w:sz w:val="20"/>
          <w:szCs w:val="20"/>
        </w:rPr>
      </w:pPr>
    </w:p>
    <w:p>
      <w:pPr>
        <w:rPr>
          <w:rFonts w:ascii="Times New Roman" w:hAnsi="Times New Roman" w:cs="Times New Roman"/>
          <w:b/>
          <w:bCs/>
          <w:sz w:val="20"/>
          <w:szCs w:val="20"/>
        </w:rPr>
      </w:pPr>
    </w:p>
    <w:p>
      <w:pP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S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2.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Median levels of serum HBV DNA and ALT at each visit (weeks 4, 12, 24 and 48)</w:t>
      </w:r>
    </w:p>
    <w:tbl>
      <w:tblPr>
        <w:tblStyle w:val="5"/>
        <w:tblW w:w="0" w:type="auto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9"/>
        <w:gridCol w:w="1067"/>
        <w:gridCol w:w="1070"/>
        <w:gridCol w:w="1583"/>
        <w:gridCol w:w="1077"/>
        <w:gridCol w:w="1060"/>
        <w:gridCol w:w="1576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089" w:type="dxa"/>
            <w:vMerge w:val="restart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Parameter</w:t>
            </w:r>
          </w:p>
        </w:tc>
        <w:tc>
          <w:tcPr>
            <w:tcW w:w="3720" w:type="dxa"/>
            <w:gridSpan w:val="3"/>
            <w:tcBorders>
              <w:bottom w:val="single" w:color="auto" w:sz="12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Peg-IFN(n=26)</w:t>
            </w:r>
          </w:p>
        </w:tc>
        <w:tc>
          <w:tcPr>
            <w:tcW w:w="3713" w:type="dxa"/>
            <w:gridSpan w:val="3"/>
            <w:tcBorders>
              <w:bottom w:val="single" w:color="auto" w:sz="12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ETV(n=44)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9" w:type="dxa"/>
            <w:vMerge w:val="continue"/>
            <w:tcBorders>
              <w:bottom w:val="single" w:color="auto" w:sz="12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067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HBV DNA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(log10 IU/ml)</w:t>
            </w:r>
          </w:p>
        </w:tc>
        <w:tc>
          <w:tcPr>
            <w:tcW w:w="1070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ALT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/ULN</w:t>
            </w:r>
          </w:p>
        </w:tc>
        <w:tc>
          <w:tcPr>
            <w:tcW w:w="1583" w:type="dxa"/>
            <w:tcBorders>
              <w:top w:val="single" w:color="auto" w:sz="12" w:space="0"/>
              <w:bottom w:val="single" w:color="auto" w:sz="12" w:space="0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HBeAg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(S/CO)</w:t>
            </w:r>
          </w:p>
        </w:tc>
        <w:tc>
          <w:tcPr>
            <w:tcW w:w="1077" w:type="dxa"/>
            <w:tcBorders>
              <w:top w:val="single" w:color="auto" w:sz="12" w:space="0"/>
              <w:bottom w:val="single" w:color="auto" w:sz="12" w:space="0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HBV DNA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(log10 IU/ml)</w:t>
            </w:r>
          </w:p>
        </w:tc>
        <w:tc>
          <w:tcPr>
            <w:tcW w:w="1060" w:type="dxa"/>
            <w:tcBorders>
              <w:top w:val="single" w:color="auto" w:sz="12" w:space="0"/>
              <w:bottom w:val="single" w:color="auto" w:sz="12" w:space="0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ALT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/ULN</w:t>
            </w:r>
          </w:p>
        </w:tc>
        <w:tc>
          <w:tcPr>
            <w:tcW w:w="1576" w:type="dxa"/>
            <w:tcBorders>
              <w:top w:val="single" w:color="auto" w:sz="12" w:space="0"/>
              <w:bottom w:val="single" w:color="auto" w:sz="12" w:space="0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HBeAg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(S/CO)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9" w:type="dxa"/>
            <w:tcBorders>
              <w:top w:val="single" w:color="auto" w:sz="12" w:space="0"/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Week 4</w:t>
            </w:r>
          </w:p>
        </w:tc>
        <w:tc>
          <w:tcPr>
            <w:tcW w:w="1067" w:type="dxa"/>
            <w:tcBorders>
              <w:top w:val="single" w:color="auto" w:sz="12" w:space="0"/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6.98(2.35)</w:t>
            </w:r>
          </w:p>
        </w:tc>
        <w:tc>
          <w:tcPr>
            <w:tcW w:w="1070" w:type="dxa"/>
            <w:tcBorders>
              <w:top w:val="single" w:color="auto" w:sz="12" w:space="0"/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3.69(3.81)</w:t>
            </w:r>
          </w:p>
        </w:tc>
        <w:tc>
          <w:tcPr>
            <w:tcW w:w="1583" w:type="dxa"/>
            <w:tcBorders>
              <w:top w:val="single" w:color="auto" w:sz="12" w:space="0"/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564.59(1273.10)</w:t>
            </w:r>
          </w:p>
        </w:tc>
        <w:tc>
          <w:tcPr>
            <w:tcW w:w="1077" w:type="dxa"/>
            <w:tcBorders>
              <w:top w:val="single" w:color="auto" w:sz="12" w:space="0"/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4.32(1.65)</w:t>
            </w:r>
          </w:p>
        </w:tc>
        <w:tc>
          <w:tcPr>
            <w:tcW w:w="1060" w:type="dxa"/>
            <w:tcBorders>
              <w:top w:val="single" w:color="auto" w:sz="12" w:space="0"/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2.32(2.88)</w:t>
            </w:r>
          </w:p>
        </w:tc>
        <w:tc>
          <w:tcPr>
            <w:tcW w:w="1576" w:type="dxa"/>
            <w:tcBorders>
              <w:top w:val="single" w:color="auto" w:sz="12" w:space="0"/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667.49(1137.57)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9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Week 12</w:t>
            </w:r>
          </w:p>
        </w:tc>
        <w:tc>
          <w:tcPr>
            <w:tcW w:w="1067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5.39(3.04)</w:t>
            </w:r>
          </w:p>
        </w:tc>
        <w:tc>
          <w:tcPr>
            <w:tcW w:w="107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2.29(2.53)</w:t>
            </w:r>
          </w:p>
        </w:tc>
        <w:tc>
          <w:tcPr>
            <w:tcW w:w="1583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288.71(943.17)</w:t>
            </w:r>
          </w:p>
        </w:tc>
        <w:tc>
          <w:tcPr>
            <w:tcW w:w="1077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3.24(1.47)</w:t>
            </w:r>
          </w:p>
        </w:tc>
        <w:tc>
          <w:tcPr>
            <w:tcW w:w="106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vertAlign w:val="baseline"/>
                <w:lang w:val="en-US" w:eastAsia="zh-CN"/>
              </w:rPr>
              <w:t>1.19(1.44)</w:t>
            </w:r>
          </w:p>
        </w:tc>
        <w:tc>
          <w:tcPr>
            <w:tcW w:w="1576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vertAlign w:val="baseline"/>
                <w:lang w:val="en-US" w:eastAsia="zh-CN"/>
              </w:rPr>
              <w:t>307.98(845.71)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9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Week 24</w:t>
            </w:r>
          </w:p>
        </w:tc>
        <w:tc>
          <w:tcPr>
            <w:tcW w:w="1067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4.11(3.90)</w:t>
            </w:r>
          </w:p>
        </w:tc>
        <w:tc>
          <w:tcPr>
            <w:tcW w:w="107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1.64(1.29)</w:t>
            </w:r>
          </w:p>
        </w:tc>
        <w:tc>
          <w:tcPr>
            <w:tcW w:w="1583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162.23(872.60)</w:t>
            </w:r>
          </w:p>
        </w:tc>
        <w:tc>
          <w:tcPr>
            <w:tcW w:w="1077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2.60(0.56)</w:t>
            </w:r>
          </w:p>
        </w:tc>
        <w:tc>
          <w:tcPr>
            <w:tcW w:w="106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0.80(0.61)</w:t>
            </w:r>
          </w:p>
        </w:tc>
        <w:tc>
          <w:tcPr>
            <w:tcW w:w="1576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33.75(323.28)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9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Week 48</w:t>
            </w:r>
          </w:p>
        </w:tc>
        <w:tc>
          <w:tcPr>
            <w:tcW w:w="1067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2.60(1.18)</w:t>
            </w:r>
          </w:p>
        </w:tc>
        <w:tc>
          <w:tcPr>
            <w:tcW w:w="107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1.29(1.57)</w:t>
            </w:r>
          </w:p>
        </w:tc>
        <w:tc>
          <w:tcPr>
            <w:tcW w:w="1583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4.85(139.30)</w:t>
            </w:r>
          </w:p>
        </w:tc>
        <w:tc>
          <w:tcPr>
            <w:tcW w:w="1077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2.60(0.50)</w:t>
            </w:r>
          </w:p>
        </w:tc>
        <w:tc>
          <w:tcPr>
            <w:tcW w:w="106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0.67(0.39)</w:t>
            </w:r>
          </w:p>
        </w:tc>
        <w:tc>
          <w:tcPr>
            <w:tcW w:w="1576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4.25(224.11)</w:t>
            </w:r>
          </w:p>
        </w:tc>
      </w:tr>
    </w:tbl>
    <w:p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Continuous data were expressed as median (inter-quartile range).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ETV: entecavir; Peg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-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IFN: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pegylated interferon; ALT: alanine aminotransferase;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ULN:upper limit of normal; HBV: hepatitis B virus;  HBeAg, hepatitis B envelop antigen.</w:t>
      </w:r>
    </w:p>
    <w:p>
      <w:pPr>
        <w:rPr>
          <w:rFonts w:ascii="Times New Roman" w:hAnsi="Times New Roman" w:cs="Times New Roman"/>
          <w:b/>
          <w:bCs/>
          <w:sz w:val="20"/>
          <w:szCs w:val="20"/>
        </w:rPr>
      </w:pPr>
    </w:p>
    <w:p>
      <w:pPr>
        <w:rPr>
          <w:rFonts w:hint="eastAsia" w:ascii="Times New Roman" w:hAnsi="Times New Roman" w:cs="Times New Roman"/>
          <w:b/>
          <w:bCs/>
          <w:sz w:val="20"/>
          <w:szCs w:val="20"/>
        </w:rPr>
      </w:pPr>
    </w:p>
    <w:p>
      <w:pPr>
        <w:rPr>
          <w:rFonts w:hint="eastAsia" w:ascii="Times New Roman" w:hAnsi="Times New Roman" w:cs="Times New Roman"/>
          <w:b/>
          <w:bCs/>
          <w:sz w:val="20"/>
          <w:szCs w:val="20"/>
        </w:rPr>
      </w:pPr>
    </w:p>
    <w:p>
      <w:pPr>
        <w:rPr>
          <w:rFonts w:hint="eastAsia" w:ascii="Times New Roman" w:hAnsi="Times New Roman" w:cs="Times New Roman"/>
          <w:b/>
          <w:bCs/>
          <w:sz w:val="20"/>
          <w:szCs w:val="20"/>
        </w:rPr>
      </w:pPr>
    </w:p>
    <w:p>
      <w:pPr>
        <w:rPr>
          <w:rFonts w:hint="eastAsia" w:ascii="Times New Roman" w:hAnsi="Times New Roman" w:cs="Times New Roman"/>
          <w:b/>
          <w:bCs/>
          <w:sz w:val="20"/>
          <w:szCs w:val="20"/>
        </w:rPr>
      </w:pPr>
    </w:p>
    <w:p>
      <w:pPr>
        <w:rPr>
          <w:rFonts w:hint="eastAsia" w:ascii="Times New Roman" w:hAnsi="Times New Roman" w:cs="Times New Roman"/>
          <w:b/>
          <w:bCs/>
          <w:sz w:val="20"/>
          <w:szCs w:val="20"/>
        </w:rPr>
      </w:pPr>
    </w:p>
    <w:p>
      <w:pPr>
        <w:rPr>
          <w:rFonts w:hint="eastAsia" w:ascii="Times New Roman" w:hAnsi="Times New Roman" w:cs="Times New Roman"/>
          <w:b/>
          <w:bCs/>
          <w:sz w:val="20"/>
          <w:szCs w:val="20"/>
        </w:rPr>
      </w:pPr>
    </w:p>
    <w:p>
      <w:pPr>
        <w:rPr>
          <w:rFonts w:hint="eastAsia" w:ascii="Times New Roman" w:hAnsi="Times New Roman" w:cs="Times New Roman"/>
          <w:b/>
          <w:bCs/>
          <w:sz w:val="20"/>
          <w:szCs w:val="20"/>
        </w:rPr>
      </w:pPr>
    </w:p>
    <w:p>
      <w:pPr>
        <w:rPr>
          <w:rFonts w:hint="eastAsia" w:ascii="Times New Roman" w:hAnsi="Times New Roman" w:cs="Times New Roman"/>
          <w:b/>
          <w:bCs/>
          <w:sz w:val="20"/>
          <w:szCs w:val="20"/>
        </w:rPr>
      </w:pPr>
    </w:p>
    <w:p>
      <w:pPr>
        <w:rPr>
          <w:rFonts w:hint="eastAsia" w:ascii="Times New Roman" w:hAnsi="Times New Roman" w:cs="Times New Roman"/>
          <w:b/>
          <w:bCs/>
          <w:sz w:val="20"/>
          <w:szCs w:val="20"/>
        </w:rPr>
      </w:pPr>
    </w:p>
    <w:p>
      <w:pPr>
        <w:rPr>
          <w:rFonts w:hint="eastAsia" w:ascii="Times New Roman" w:hAnsi="Times New Roman" w:cs="Times New Roman"/>
          <w:b/>
          <w:bCs/>
          <w:sz w:val="20"/>
          <w:szCs w:val="20"/>
        </w:rPr>
      </w:pPr>
    </w:p>
    <w:p>
      <w:pPr>
        <w:rPr>
          <w:rFonts w:hint="eastAsia" w:ascii="Times New Roman" w:hAnsi="Times New Roman" w:cs="Times New Roman"/>
          <w:b/>
          <w:bCs/>
          <w:sz w:val="20"/>
          <w:szCs w:val="20"/>
        </w:rPr>
      </w:pPr>
    </w:p>
    <w:p>
      <w:pPr>
        <w:rPr>
          <w:rFonts w:hint="eastAsia" w:ascii="Times New Roman" w:hAnsi="Times New Roman" w:cs="Times New Roman"/>
          <w:b/>
          <w:bCs/>
          <w:sz w:val="20"/>
          <w:szCs w:val="20"/>
        </w:rPr>
      </w:pPr>
    </w:p>
    <w:p>
      <w:pPr>
        <w:rPr>
          <w:rFonts w:hint="eastAsia" w:ascii="Times New Roman" w:hAnsi="Times New Roman" w:cs="Times New Roman"/>
          <w:b/>
          <w:bCs/>
          <w:sz w:val="20"/>
          <w:szCs w:val="20"/>
        </w:rPr>
      </w:pPr>
    </w:p>
    <w:p>
      <w:pPr>
        <w:rPr>
          <w:rFonts w:hint="eastAsia" w:ascii="Times New Roman" w:hAnsi="Times New Roman" w:cs="Times New Roman"/>
          <w:b/>
          <w:bCs/>
          <w:sz w:val="20"/>
          <w:szCs w:val="20"/>
        </w:rPr>
      </w:pPr>
    </w:p>
    <w:p>
      <w:pPr>
        <w:rPr>
          <w:rFonts w:hint="eastAsia" w:ascii="Times New Roman" w:hAnsi="Times New Roman" w:cs="Times New Roman"/>
          <w:b/>
          <w:bCs/>
          <w:sz w:val="20"/>
          <w:szCs w:val="20"/>
        </w:rPr>
      </w:pPr>
    </w:p>
    <w:p>
      <w:pPr>
        <w:rPr>
          <w:rFonts w:hint="eastAsia" w:ascii="Times New Roman" w:hAnsi="Times New Roman" w:cs="Times New Roman"/>
          <w:b/>
          <w:bCs/>
          <w:sz w:val="20"/>
          <w:szCs w:val="20"/>
        </w:rPr>
      </w:pPr>
    </w:p>
    <w:p>
      <w:pPr>
        <w:rPr>
          <w:rFonts w:hint="eastAsia" w:ascii="Times New Roman" w:hAnsi="Times New Roman" w:cs="Times New Roman"/>
          <w:b/>
          <w:bCs/>
          <w:sz w:val="20"/>
          <w:szCs w:val="20"/>
        </w:rPr>
      </w:pPr>
    </w:p>
    <w:p>
      <w:pPr>
        <w:rPr>
          <w:rFonts w:hint="eastAsia" w:ascii="Times New Roman" w:hAnsi="Times New Roman" w:cs="Times New Roman"/>
          <w:b/>
          <w:bCs/>
          <w:sz w:val="20"/>
          <w:szCs w:val="20"/>
        </w:rPr>
      </w:pPr>
    </w:p>
    <w:p>
      <w:pPr>
        <w:rPr>
          <w:rFonts w:hint="eastAsia" w:ascii="Times New Roman" w:hAnsi="Times New Roman" w:cs="Times New Roman"/>
          <w:b/>
          <w:bCs/>
          <w:sz w:val="20"/>
          <w:szCs w:val="20"/>
        </w:rPr>
      </w:pPr>
    </w:p>
    <w:p>
      <w:pPr>
        <w:rPr>
          <w:rFonts w:hint="eastAsia" w:ascii="Times New Roman" w:hAnsi="Times New Roman" w:cs="Times New Roman"/>
          <w:b/>
          <w:bCs/>
          <w:sz w:val="20"/>
          <w:szCs w:val="20"/>
        </w:rPr>
      </w:pPr>
    </w:p>
    <w:p>
      <w:pPr>
        <w:rPr>
          <w:rFonts w:hint="eastAsia" w:ascii="Times New Roman" w:hAnsi="Times New Roman" w:cs="Times New Roman"/>
          <w:b/>
          <w:bCs/>
          <w:sz w:val="20"/>
          <w:szCs w:val="20"/>
        </w:rPr>
      </w:pPr>
    </w:p>
    <w:p>
      <w:pPr>
        <w:rPr>
          <w:rFonts w:hint="eastAsia" w:ascii="Times New Roman" w:hAnsi="Times New Roman" w:cs="Times New Roman"/>
          <w:b/>
          <w:bCs/>
          <w:sz w:val="20"/>
          <w:szCs w:val="20"/>
        </w:rPr>
      </w:pPr>
    </w:p>
    <w:p>
      <w:pPr>
        <w:rPr>
          <w:rFonts w:hint="eastAsia" w:ascii="Times New Roman" w:hAnsi="Times New Roman" w:cs="Times New Roman"/>
          <w:b/>
          <w:bCs/>
          <w:sz w:val="20"/>
          <w:szCs w:val="20"/>
        </w:rPr>
      </w:pPr>
    </w:p>
    <w:p>
      <w:pPr>
        <w:rPr>
          <w:rFonts w:hint="eastAsia" w:ascii="Times New Roman" w:hAnsi="Times New Roman" w:cs="Times New Roman"/>
          <w:b/>
          <w:bCs/>
          <w:sz w:val="20"/>
          <w:szCs w:val="20"/>
        </w:rPr>
      </w:pPr>
    </w:p>
    <w:p>
      <w:pPr>
        <w:rPr>
          <w:rFonts w:hint="eastAsia" w:ascii="Times New Roman" w:hAnsi="Times New Roman" w:cs="Times New Roman"/>
          <w:b/>
          <w:bCs/>
          <w:sz w:val="20"/>
          <w:szCs w:val="20"/>
        </w:rPr>
      </w:pPr>
    </w:p>
    <w:p>
      <w:pPr>
        <w:rPr>
          <w:rFonts w:hint="eastAsia" w:ascii="Times New Roman" w:hAnsi="Times New Roman" w:cs="Times New Roman"/>
          <w:b/>
          <w:bCs/>
          <w:sz w:val="20"/>
          <w:szCs w:val="20"/>
        </w:rPr>
      </w:pPr>
    </w:p>
    <w:p>
      <w:pPr>
        <w:rPr>
          <w:rFonts w:hint="eastAsia" w:ascii="Times New Roman" w:hAnsi="Times New Roman" w:cs="Times New Roman"/>
          <w:b/>
          <w:bCs/>
          <w:sz w:val="20"/>
          <w:szCs w:val="20"/>
        </w:rPr>
      </w:pPr>
    </w:p>
    <w:p>
      <w:pPr>
        <w:rPr>
          <w:rFonts w:hint="eastAsia" w:ascii="Times New Roman" w:hAnsi="Times New Roman" w:cs="Times New Roman"/>
          <w:b/>
          <w:bCs/>
          <w:sz w:val="20"/>
          <w:szCs w:val="20"/>
        </w:rPr>
      </w:pPr>
    </w:p>
    <w:p>
      <w:pPr>
        <w:rPr>
          <w:rFonts w:hint="eastAsia" w:ascii="Times New Roman" w:hAnsi="Times New Roman" w:cs="Times New Roman"/>
          <w:b/>
          <w:bCs/>
          <w:sz w:val="20"/>
          <w:szCs w:val="20"/>
        </w:rPr>
      </w:pPr>
    </w:p>
    <w:p>
      <w:pPr>
        <w:rPr>
          <w:rFonts w:hint="eastAsia" w:ascii="Times New Roman" w:hAnsi="Times New Roman" w:cs="Times New Roman"/>
          <w:b/>
          <w:bCs/>
          <w:sz w:val="20"/>
          <w:szCs w:val="20"/>
        </w:rPr>
      </w:pPr>
    </w:p>
    <w:p>
      <w:pPr>
        <w:rPr>
          <w:rFonts w:hint="eastAsia" w:ascii="Times New Roman" w:hAnsi="Times New Roman" w:cs="Times New Roman"/>
          <w:b/>
          <w:bCs/>
          <w:sz w:val="20"/>
          <w:szCs w:val="20"/>
        </w:rPr>
      </w:pPr>
    </w:p>
    <w:p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hint="eastAsia" w:ascii="Times New Roman" w:hAnsi="Times New Roman" w:cs="Times New Roman"/>
          <w:b/>
          <w:bCs/>
          <w:sz w:val="20"/>
          <w:szCs w:val="20"/>
        </w:rPr>
        <w:t>Table S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3</w:t>
      </w:r>
      <w:r>
        <w:rPr>
          <w:rFonts w:hint="eastAsia" w:ascii="Times New Roman" w:hAnsi="Times New Roman" w:cs="Times New Roman"/>
          <w:b/>
          <w:bCs/>
          <w:sz w:val="20"/>
          <w:szCs w:val="20"/>
        </w:rPr>
        <w:t xml:space="preserve">.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Univariate and multivariate analysis </w:t>
      </w:r>
      <w:r>
        <w:rPr>
          <w:rFonts w:hint="eastAsia" w:ascii="Times New Roman" w:hAnsi="Times New Roman" w:cs="Times New Roman"/>
          <w:b/>
          <w:bCs/>
          <w:sz w:val="20"/>
          <w:szCs w:val="20"/>
        </w:rPr>
        <w:t xml:space="preserve">for HBeAg 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serological response</w:t>
      </w:r>
      <w:r>
        <w:rPr>
          <w:rFonts w:hint="eastAsia" w:ascii="Times New Roman" w:hAnsi="Times New Roman" w:cs="Times New Roman"/>
          <w:b/>
          <w:bCs/>
          <w:sz w:val="20"/>
          <w:szCs w:val="20"/>
        </w:rPr>
        <w:t xml:space="preserve"> at week 48(non-response vs response)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in </w:t>
      </w:r>
      <w:r>
        <w:rPr>
          <w:rFonts w:hint="eastAsia" w:ascii="Times New Roman" w:hAnsi="Times New Roman" w:cs="Times New Roman"/>
          <w:b/>
          <w:bCs/>
          <w:sz w:val="20"/>
          <w:szCs w:val="20"/>
        </w:rPr>
        <w:t>CHB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children</w:t>
      </w:r>
    </w:p>
    <w:tbl>
      <w:tblPr>
        <w:tblStyle w:val="5"/>
        <w:tblpPr w:leftFromText="180" w:rightFromText="180" w:vertAnchor="text" w:horzAnchor="page" w:tblpX="1272" w:tblpY="86"/>
        <w:tblOverlap w:val="never"/>
        <w:tblW w:w="10177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3"/>
        <w:gridCol w:w="1453"/>
        <w:gridCol w:w="1454"/>
        <w:gridCol w:w="1453"/>
        <w:gridCol w:w="1453"/>
        <w:gridCol w:w="1456"/>
        <w:gridCol w:w="1455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3" w:type="dxa"/>
            <w:vMerge w:val="restar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Variables</w:t>
            </w:r>
          </w:p>
        </w:tc>
        <w:tc>
          <w:tcPr>
            <w:tcW w:w="2907" w:type="dxa"/>
            <w:gridSpan w:val="2"/>
            <w:tcBorders>
              <w:bottom w:val="single" w:color="auto" w:sz="12" w:space="0"/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Univariate analysis</w:t>
            </w:r>
          </w:p>
        </w:tc>
        <w:tc>
          <w:tcPr>
            <w:tcW w:w="1453" w:type="dxa"/>
            <w:vMerge w:val="restar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2909" w:type="dxa"/>
            <w:gridSpan w:val="2"/>
            <w:tcBorders>
              <w:bottom w:val="single" w:color="auto" w:sz="12" w:space="0"/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Multivariate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analysis</w:t>
            </w:r>
          </w:p>
        </w:tc>
        <w:tc>
          <w:tcPr>
            <w:tcW w:w="1455" w:type="dxa"/>
            <w:vMerge w:val="restar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20"/>
                <w:szCs w:val="20"/>
              </w:rPr>
              <w:t>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3" w:type="dxa"/>
            <w:vMerge w:val="continue"/>
            <w:tcBorders>
              <w:bottom w:val="single" w:color="auto" w:sz="12" w:space="0"/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OR(95%CI)</w:t>
            </w:r>
          </w:p>
        </w:tc>
        <w:tc>
          <w:tcPr>
            <w:tcW w:w="1454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453" w:type="dxa"/>
            <w:vMerge w:val="continue"/>
            <w:tcBorders>
              <w:bottom w:val="single" w:color="auto" w:sz="12" w:space="0"/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OR(95%CI)</w:t>
            </w:r>
          </w:p>
        </w:tc>
        <w:tc>
          <w:tcPr>
            <w:tcW w:w="1456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455" w:type="dxa"/>
            <w:vMerge w:val="continue"/>
            <w:tcBorders>
              <w:bottom w:val="single" w:color="auto" w:sz="12" w:space="0"/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3" w:type="dxa"/>
            <w:tcBorders>
              <w:top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Initial drug(IFN vs ETV)</w:t>
            </w:r>
          </w:p>
        </w:tc>
        <w:tc>
          <w:tcPr>
            <w:tcW w:w="1453" w:type="dxa"/>
            <w:tcBorders>
              <w:top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1.657(0.615, 4.466)</w:t>
            </w:r>
          </w:p>
        </w:tc>
        <w:tc>
          <w:tcPr>
            <w:tcW w:w="1454" w:type="dxa"/>
            <w:tcBorders>
              <w:top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0.505</w:t>
            </w:r>
          </w:p>
        </w:tc>
        <w:tc>
          <w:tcPr>
            <w:tcW w:w="1453" w:type="dxa"/>
            <w:tcBorders>
              <w:top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0.318</w:t>
            </w:r>
          </w:p>
        </w:tc>
        <w:tc>
          <w:tcPr>
            <w:tcW w:w="1453" w:type="dxa"/>
            <w:tcBorders>
              <w:top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4.468(1.135, 17.583)</w:t>
            </w:r>
          </w:p>
        </w:tc>
        <w:tc>
          <w:tcPr>
            <w:tcW w:w="1456" w:type="dxa"/>
            <w:tcBorders>
              <w:top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1.497</w:t>
            </w:r>
          </w:p>
        </w:tc>
        <w:tc>
          <w:tcPr>
            <w:tcW w:w="1455" w:type="dxa"/>
            <w:tcBorders>
              <w:top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0.032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ALT/ULN</w:t>
            </w:r>
          </w:p>
        </w:tc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1.196(1.107, 1.406)</w:t>
            </w:r>
          </w:p>
        </w:tc>
        <w:tc>
          <w:tcPr>
            <w:tcW w:w="14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0.179</w:t>
            </w:r>
          </w:p>
        </w:tc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0.030</w:t>
            </w:r>
          </w:p>
        </w:tc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1.268(1.053, 1.527)</w:t>
            </w:r>
          </w:p>
        </w:tc>
        <w:tc>
          <w:tcPr>
            <w:tcW w:w="145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0.237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0.012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baseline log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subscript"/>
              </w:rPr>
              <w:t>10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HBsAg</w:t>
            </w:r>
          </w:p>
        </w:tc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0.238(0.093, 0.614)</w:t>
            </w:r>
          </w:p>
        </w:tc>
        <w:tc>
          <w:tcPr>
            <w:tcW w:w="14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-1.434</w:t>
            </w:r>
          </w:p>
        </w:tc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0.003</w:t>
            </w:r>
          </w:p>
        </w:tc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0.220(0.068, 0.715)</w:t>
            </w:r>
          </w:p>
        </w:tc>
        <w:tc>
          <w:tcPr>
            <w:tcW w:w="145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-1.514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0.012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baseline log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subscript"/>
              </w:rPr>
              <w:t>10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HBV DNA</w:t>
            </w:r>
          </w:p>
        </w:tc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0.598(0.360, 0.993)</w:t>
            </w:r>
          </w:p>
        </w:tc>
        <w:tc>
          <w:tcPr>
            <w:tcW w:w="14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-0.515</w:t>
            </w:r>
          </w:p>
        </w:tc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0.047</w:t>
            </w:r>
          </w:p>
        </w:tc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Age(&lt;6y vs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≥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6y)</w:t>
            </w:r>
          </w:p>
        </w:tc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2.333(0.872,6.246)</w:t>
            </w:r>
          </w:p>
        </w:tc>
        <w:tc>
          <w:tcPr>
            <w:tcW w:w="14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0.847</w:t>
            </w:r>
          </w:p>
        </w:tc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0.092</w:t>
            </w:r>
          </w:p>
        </w:tc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6.177(1.539, 24.786)</w:t>
            </w:r>
          </w:p>
        </w:tc>
        <w:tc>
          <w:tcPr>
            <w:tcW w:w="145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1.821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0.010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Genotype(B vs C)</w:t>
            </w:r>
          </w:p>
        </w:tc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2.250(0.604, 8.379)</w:t>
            </w:r>
          </w:p>
        </w:tc>
        <w:tc>
          <w:tcPr>
            <w:tcW w:w="14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0.811</w:t>
            </w:r>
          </w:p>
        </w:tc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0.527</w:t>
            </w:r>
          </w:p>
        </w:tc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Gender（male vs female)</w:t>
            </w:r>
          </w:p>
        </w:tc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0.862(0.322, 2.310)</w:t>
            </w:r>
          </w:p>
        </w:tc>
        <w:tc>
          <w:tcPr>
            <w:tcW w:w="14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-0.149</w:t>
            </w:r>
          </w:p>
        </w:tc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0.768</w:t>
            </w:r>
          </w:p>
        </w:tc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G0-1 vs G2-3</w:t>
            </w:r>
          </w:p>
        </w:tc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0.720(0.272, 1.906)</w:t>
            </w:r>
          </w:p>
        </w:tc>
        <w:tc>
          <w:tcPr>
            <w:tcW w:w="14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-0.328</w:t>
            </w:r>
          </w:p>
        </w:tc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0.509</w:t>
            </w:r>
          </w:p>
        </w:tc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S0-1 vs S2-3</w:t>
            </w:r>
          </w:p>
        </w:tc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0.370(0.134, 1.026)</w:t>
            </w:r>
          </w:p>
        </w:tc>
        <w:tc>
          <w:tcPr>
            <w:tcW w:w="14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-0.994</w:t>
            </w:r>
          </w:p>
        </w:tc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0.056</w:t>
            </w:r>
          </w:p>
        </w:tc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</w:tbl>
    <w:p>
      <w:pPr>
        <w:rPr>
          <w:rFonts w:ascii="Times New Roman" w:hAnsi="Times New Roman" w:cs="Times New Roman"/>
          <w:sz w:val="24"/>
        </w:rPr>
      </w:pPr>
    </w:p>
    <w:p>
      <w:pPr>
        <w:rPr>
          <w:rFonts w:ascii="Times New Roman" w:hAnsi="Times New Roman" w:cs="Times New Roman"/>
          <w:sz w:val="24"/>
        </w:rPr>
      </w:pPr>
    </w:p>
    <w:p>
      <w:pPr>
        <w:rPr>
          <w:rFonts w:ascii="Times New Roman" w:hAnsi="Times New Roman" w:cs="Times New Roman"/>
          <w:sz w:val="24"/>
        </w:rPr>
      </w:pPr>
    </w:p>
    <w:p>
      <w:pPr>
        <w:rPr>
          <w:rFonts w:ascii="Times New Roman" w:hAnsi="Times New Roman" w:cs="Times New Roman"/>
          <w:sz w:val="24"/>
        </w:rPr>
      </w:pPr>
    </w:p>
    <w:p>
      <w:pPr>
        <w:rPr>
          <w:rFonts w:ascii="Times New Roman" w:hAnsi="Times New Roman" w:cs="Times New Roman"/>
          <w:sz w:val="24"/>
        </w:rPr>
      </w:pPr>
    </w:p>
    <w:p>
      <w:pPr>
        <w:rPr>
          <w:rFonts w:ascii="Times New Roman" w:hAnsi="Times New Roman" w:cs="Times New Roman"/>
          <w:sz w:val="24"/>
        </w:rPr>
      </w:pPr>
    </w:p>
    <w:p>
      <w:pPr>
        <w:rPr>
          <w:rFonts w:ascii="Times New Roman" w:hAnsi="Times New Roman" w:cs="Times New Roman"/>
          <w:sz w:val="24"/>
        </w:rPr>
      </w:pPr>
    </w:p>
    <w:p>
      <w:pPr>
        <w:rPr>
          <w:rFonts w:ascii="Times New Roman" w:hAnsi="Times New Roman" w:cs="Times New Roman"/>
          <w:sz w:val="24"/>
        </w:rPr>
      </w:pPr>
    </w:p>
    <w:p>
      <w:pPr>
        <w:rPr>
          <w:rFonts w:ascii="Times New Roman" w:hAnsi="Times New Roman" w:cs="Times New Roman"/>
          <w:sz w:val="24"/>
        </w:rPr>
      </w:pPr>
    </w:p>
    <w:p>
      <w:pPr>
        <w:rPr>
          <w:rFonts w:ascii="Times New Roman" w:hAnsi="Times New Roman" w:cs="Times New Roman"/>
          <w:sz w:val="24"/>
        </w:rPr>
      </w:pPr>
    </w:p>
    <w:p>
      <w:pPr>
        <w:rPr>
          <w:rFonts w:ascii="Times New Roman" w:hAnsi="Times New Roman" w:cs="Times New Roman"/>
          <w:sz w:val="24"/>
        </w:rPr>
      </w:pPr>
    </w:p>
    <w:p>
      <w:pPr>
        <w:rPr>
          <w:rFonts w:ascii="Times New Roman" w:hAnsi="Times New Roman" w:cs="Times New Roman"/>
          <w:sz w:val="24"/>
        </w:rPr>
      </w:pPr>
    </w:p>
    <w:p>
      <w:pPr>
        <w:rPr>
          <w:rFonts w:ascii="Times New Roman" w:hAnsi="Times New Roman" w:cs="Times New Roman"/>
          <w:sz w:val="24"/>
        </w:rPr>
      </w:pPr>
    </w:p>
    <w:p>
      <w:pPr>
        <w:rPr>
          <w:rFonts w:ascii="Times New Roman" w:hAnsi="Times New Roman" w:cs="Times New Roman"/>
          <w:sz w:val="24"/>
        </w:rPr>
      </w:pPr>
    </w:p>
    <w:p>
      <w:pPr>
        <w:rPr>
          <w:rFonts w:ascii="Times New Roman" w:hAnsi="Times New Roman" w:cs="Times New Roman"/>
          <w:sz w:val="24"/>
        </w:rPr>
      </w:pPr>
    </w:p>
    <w:p>
      <w:pPr>
        <w:rPr>
          <w:rFonts w:ascii="Times New Roman" w:hAnsi="Times New Roman" w:cs="Times New Roman"/>
          <w:sz w:val="24"/>
        </w:rPr>
      </w:pPr>
    </w:p>
    <w:p>
      <w:pPr>
        <w:rPr>
          <w:rFonts w:ascii="Times New Roman" w:hAnsi="Times New Roman" w:cs="Times New Roman"/>
          <w:sz w:val="24"/>
        </w:rPr>
      </w:pPr>
    </w:p>
    <w:p>
      <w:pPr>
        <w:rPr>
          <w:rFonts w:ascii="Times New Roman" w:hAnsi="Times New Roman" w:cs="Times New Roman"/>
          <w:sz w:val="24"/>
        </w:rPr>
      </w:pPr>
    </w:p>
    <w:p>
      <w:pPr>
        <w:rPr>
          <w:rFonts w:ascii="Times New Roman" w:hAnsi="Times New Roman" w:cs="Times New Roman"/>
          <w:sz w:val="24"/>
        </w:rPr>
      </w:pPr>
    </w:p>
    <w:p>
      <w:pPr>
        <w:rPr>
          <w:rFonts w:ascii="Times New Roman" w:hAnsi="Times New Roman" w:cs="Times New Roman"/>
          <w:b/>
          <w:bCs/>
          <w:sz w:val="20"/>
          <w:szCs w:val="20"/>
        </w:rPr>
      </w:pPr>
    </w:p>
    <w:p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hint="eastAsia" w:ascii="Times New Roman" w:hAnsi="Times New Roman" w:cs="Times New Roman"/>
          <w:b/>
          <w:bCs/>
          <w:sz w:val="20"/>
          <w:szCs w:val="20"/>
        </w:rPr>
        <w:t>Table S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4</w:t>
      </w:r>
      <w:r>
        <w:rPr>
          <w:rFonts w:hint="eastAsia" w:ascii="Times New Roman" w:hAnsi="Times New Roman" w:cs="Times New Roman"/>
          <w:b/>
          <w:bCs/>
          <w:sz w:val="20"/>
          <w:szCs w:val="20"/>
        </w:rPr>
        <w:t xml:space="preserve">.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Univariate and multivariate analysis </w:t>
      </w:r>
      <w:r>
        <w:rPr>
          <w:rFonts w:hint="eastAsia" w:ascii="Times New Roman" w:hAnsi="Times New Roman" w:cs="Times New Roman"/>
          <w:b/>
          <w:bCs/>
          <w:sz w:val="20"/>
          <w:szCs w:val="20"/>
        </w:rPr>
        <w:t xml:space="preserve">for 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virological response</w:t>
      </w:r>
      <w:r>
        <w:rPr>
          <w:rFonts w:hint="eastAsia" w:ascii="Times New Roman" w:hAnsi="Times New Roman" w:cs="Times New Roman"/>
          <w:b/>
          <w:bCs/>
          <w:sz w:val="20"/>
          <w:szCs w:val="20"/>
        </w:rPr>
        <w:t xml:space="preserve"> at week 48(non-response vs response)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in </w:t>
      </w:r>
      <w:r>
        <w:rPr>
          <w:rFonts w:hint="eastAsia" w:ascii="Times New Roman" w:hAnsi="Times New Roman" w:cs="Times New Roman"/>
          <w:b/>
          <w:bCs/>
          <w:sz w:val="20"/>
          <w:szCs w:val="20"/>
        </w:rPr>
        <w:t>CHB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children</w:t>
      </w:r>
    </w:p>
    <w:tbl>
      <w:tblPr>
        <w:tblStyle w:val="5"/>
        <w:tblpPr w:leftFromText="180" w:rightFromText="180" w:vertAnchor="text" w:horzAnchor="page" w:tblpX="1272" w:tblpY="86"/>
        <w:tblOverlap w:val="never"/>
        <w:tblW w:w="10177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3"/>
        <w:gridCol w:w="1453"/>
        <w:gridCol w:w="1454"/>
        <w:gridCol w:w="1453"/>
        <w:gridCol w:w="1453"/>
        <w:gridCol w:w="1456"/>
        <w:gridCol w:w="1455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3" w:type="dxa"/>
            <w:vMerge w:val="restar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Variables</w:t>
            </w:r>
          </w:p>
        </w:tc>
        <w:tc>
          <w:tcPr>
            <w:tcW w:w="2907" w:type="dxa"/>
            <w:gridSpan w:val="2"/>
            <w:tcBorders>
              <w:bottom w:val="single" w:color="auto" w:sz="12" w:space="0"/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Univariate analysis</w:t>
            </w:r>
          </w:p>
        </w:tc>
        <w:tc>
          <w:tcPr>
            <w:tcW w:w="1453" w:type="dxa"/>
            <w:vMerge w:val="restar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2909" w:type="dxa"/>
            <w:gridSpan w:val="2"/>
            <w:tcBorders>
              <w:bottom w:val="single" w:color="auto" w:sz="12" w:space="0"/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Multivariate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analysis</w:t>
            </w:r>
          </w:p>
        </w:tc>
        <w:tc>
          <w:tcPr>
            <w:tcW w:w="1455" w:type="dxa"/>
            <w:vMerge w:val="restar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20"/>
                <w:szCs w:val="20"/>
              </w:rPr>
              <w:t>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3" w:type="dxa"/>
            <w:vMerge w:val="continue"/>
            <w:tcBorders>
              <w:bottom w:val="single" w:color="auto" w:sz="12" w:space="0"/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OR(95%CI)</w:t>
            </w:r>
          </w:p>
        </w:tc>
        <w:tc>
          <w:tcPr>
            <w:tcW w:w="1454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453" w:type="dxa"/>
            <w:vMerge w:val="continue"/>
            <w:tcBorders>
              <w:bottom w:val="single" w:color="auto" w:sz="12" w:space="0"/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OR(95%CI)</w:t>
            </w:r>
          </w:p>
        </w:tc>
        <w:tc>
          <w:tcPr>
            <w:tcW w:w="1456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455" w:type="dxa"/>
            <w:vMerge w:val="continue"/>
            <w:tcBorders>
              <w:bottom w:val="single" w:color="auto" w:sz="12" w:space="0"/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3" w:type="dxa"/>
            <w:tcBorders>
              <w:top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Initial drug(IFN vs ETV)</w:t>
            </w:r>
          </w:p>
        </w:tc>
        <w:tc>
          <w:tcPr>
            <w:tcW w:w="1453" w:type="dxa"/>
            <w:tcBorders>
              <w:top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0.298(0.092, 0.971)</w:t>
            </w:r>
          </w:p>
        </w:tc>
        <w:tc>
          <w:tcPr>
            <w:tcW w:w="1454" w:type="dxa"/>
            <w:tcBorders>
              <w:top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-1.210</w:t>
            </w:r>
          </w:p>
        </w:tc>
        <w:tc>
          <w:tcPr>
            <w:tcW w:w="1453" w:type="dxa"/>
            <w:tcBorders>
              <w:top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0.045</w:t>
            </w:r>
          </w:p>
        </w:tc>
        <w:tc>
          <w:tcPr>
            <w:tcW w:w="1453" w:type="dxa"/>
            <w:tcBorders>
              <w:top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0.222(0.052, 0.956)</w:t>
            </w:r>
          </w:p>
        </w:tc>
        <w:tc>
          <w:tcPr>
            <w:tcW w:w="1456" w:type="dxa"/>
            <w:tcBorders>
              <w:top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-1.506</w:t>
            </w:r>
          </w:p>
        </w:tc>
        <w:tc>
          <w:tcPr>
            <w:tcW w:w="1455" w:type="dxa"/>
            <w:tcBorders>
              <w:top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0.043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ALT/ULN</w:t>
            </w:r>
          </w:p>
        </w:tc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1.425(1.042, 1.950)</w:t>
            </w:r>
          </w:p>
        </w:tc>
        <w:tc>
          <w:tcPr>
            <w:tcW w:w="14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0.354</w:t>
            </w:r>
          </w:p>
        </w:tc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0.027</w:t>
            </w:r>
          </w:p>
        </w:tc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baseline log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subscript"/>
              </w:rPr>
              <w:t>10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HBsAg</w:t>
            </w:r>
          </w:p>
        </w:tc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0.184(0.050, 0.672)</w:t>
            </w:r>
          </w:p>
        </w:tc>
        <w:tc>
          <w:tcPr>
            <w:tcW w:w="14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-1.875</w:t>
            </w:r>
          </w:p>
        </w:tc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0.010</w:t>
            </w:r>
          </w:p>
        </w:tc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baseline log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subscript"/>
              </w:rPr>
              <w:t>10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HBV DNA</w:t>
            </w:r>
          </w:p>
        </w:tc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0.405(0.174, 0.940)</w:t>
            </w:r>
          </w:p>
        </w:tc>
        <w:tc>
          <w:tcPr>
            <w:tcW w:w="14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-0.905</w:t>
            </w:r>
          </w:p>
        </w:tc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0.035</w:t>
            </w:r>
          </w:p>
        </w:tc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Age(&lt;6y vs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≥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6y)</w:t>
            </w:r>
          </w:p>
        </w:tc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1.161(0.363, 3.713)</w:t>
            </w:r>
          </w:p>
        </w:tc>
        <w:tc>
          <w:tcPr>
            <w:tcW w:w="14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0.150</w:t>
            </w:r>
          </w:p>
        </w:tc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0.801</w:t>
            </w:r>
          </w:p>
        </w:tc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Gender（male vs female)</w:t>
            </w:r>
          </w:p>
        </w:tc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1.079(0.336, 3.469)</w:t>
            </w:r>
          </w:p>
        </w:tc>
        <w:tc>
          <w:tcPr>
            <w:tcW w:w="14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0.076</w:t>
            </w:r>
          </w:p>
        </w:tc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0.898</w:t>
            </w:r>
          </w:p>
        </w:tc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Genotype(B vs C)</w:t>
            </w:r>
          </w:p>
        </w:tc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0.301(0.057, 1.574)</w:t>
            </w:r>
          </w:p>
        </w:tc>
        <w:tc>
          <w:tcPr>
            <w:tcW w:w="14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-1.202</w:t>
            </w:r>
          </w:p>
        </w:tc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0.515</w:t>
            </w:r>
          </w:p>
        </w:tc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G0-1 vs G2-3</w:t>
            </w:r>
          </w:p>
        </w:tc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0.677(0.215, 2.131)</w:t>
            </w:r>
          </w:p>
        </w:tc>
        <w:tc>
          <w:tcPr>
            <w:tcW w:w="14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-0.389</w:t>
            </w:r>
          </w:p>
        </w:tc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0.505</w:t>
            </w:r>
          </w:p>
        </w:tc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S0-1 vs S2-3</w:t>
            </w:r>
          </w:p>
        </w:tc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0.231(0.047, 1.124)</w:t>
            </w:r>
          </w:p>
        </w:tc>
        <w:tc>
          <w:tcPr>
            <w:tcW w:w="14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-1.466</w:t>
            </w:r>
          </w:p>
        </w:tc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0.070</w:t>
            </w:r>
          </w:p>
        </w:tc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</w:tbl>
    <w:p>
      <w:pPr>
        <w:rPr>
          <w:rFonts w:ascii="Times New Roman" w:hAnsi="Times New Roman" w:cs="Times New Roman"/>
          <w:sz w:val="24"/>
        </w:rPr>
      </w:pPr>
    </w:p>
    <w:p>
      <w:pPr>
        <w:rPr>
          <w:rFonts w:ascii="Times New Roman" w:hAnsi="Times New Roman" w:cs="Times New Roman"/>
          <w:sz w:val="24"/>
        </w:rPr>
      </w:pPr>
    </w:p>
    <w:p>
      <w:pPr>
        <w:rPr>
          <w:rFonts w:ascii="Times New Roman" w:hAnsi="Times New Roman" w:cs="Times New Roman"/>
          <w:sz w:val="24"/>
        </w:rPr>
      </w:pPr>
    </w:p>
    <w:p>
      <w:pPr>
        <w:rPr>
          <w:rFonts w:ascii="Times New Roman" w:hAnsi="Times New Roman" w:cs="Times New Roman"/>
          <w:sz w:val="24"/>
        </w:rPr>
      </w:pPr>
    </w:p>
    <w:p>
      <w:pPr>
        <w:rPr>
          <w:rFonts w:ascii="Times New Roman" w:hAnsi="Times New Roman" w:cs="Times New Roman"/>
          <w:sz w:val="24"/>
        </w:rPr>
      </w:pPr>
    </w:p>
    <w:p>
      <w:pPr>
        <w:rPr>
          <w:rFonts w:ascii="Times New Roman" w:hAnsi="Times New Roman" w:cs="Times New Roman"/>
          <w:sz w:val="24"/>
        </w:rPr>
      </w:pPr>
    </w:p>
    <w:p>
      <w:pPr>
        <w:rPr>
          <w:rFonts w:ascii="Times New Roman" w:hAnsi="Times New Roman" w:cs="Times New Roman"/>
          <w:sz w:val="24"/>
        </w:rPr>
      </w:pPr>
    </w:p>
    <w:p>
      <w:pPr>
        <w:rPr>
          <w:rFonts w:ascii="Times New Roman" w:hAnsi="Times New Roman" w:cs="Times New Roman"/>
          <w:sz w:val="24"/>
        </w:rPr>
      </w:pPr>
    </w:p>
    <w:p>
      <w:pPr>
        <w:rPr>
          <w:rFonts w:ascii="Times New Roman" w:hAnsi="Times New Roman" w:cs="Times New Roman"/>
          <w:sz w:val="24"/>
        </w:rPr>
      </w:pPr>
    </w:p>
    <w:p>
      <w:pPr>
        <w:rPr>
          <w:rFonts w:ascii="Times New Roman" w:hAnsi="Times New Roman" w:cs="Times New Roman"/>
          <w:sz w:val="24"/>
        </w:rPr>
      </w:pPr>
    </w:p>
    <w:p>
      <w:pPr>
        <w:rPr>
          <w:rFonts w:ascii="Times New Roman" w:hAnsi="Times New Roman" w:cs="Times New Roman"/>
          <w:sz w:val="24"/>
        </w:rPr>
      </w:pPr>
    </w:p>
    <w:p>
      <w:pPr>
        <w:rPr>
          <w:rFonts w:ascii="Times New Roman" w:hAnsi="Times New Roman" w:cs="Times New Roman"/>
          <w:sz w:val="24"/>
        </w:rPr>
      </w:pPr>
    </w:p>
    <w:p>
      <w:pPr>
        <w:rPr>
          <w:rFonts w:ascii="Times New Roman" w:hAnsi="Times New Roman" w:cs="Times New Roman"/>
          <w:sz w:val="24"/>
        </w:rPr>
      </w:pPr>
    </w:p>
    <w:p>
      <w:pPr>
        <w:rPr>
          <w:rFonts w:ascii="Times New Roman" w:hAnsi="Times New Roman" w:cs="Times New Roman"/>
          <w:sz w:val="24"/>
        </w:rPr>
      </w:pPr>
    </w:p>
    <w:p>
      <w:pPr>
        <w:rPr>
          <w:rFonts w:ascii="Times New Roman" w:hAnsi="Times New Roman" w:cs="Times New Roman"/>
          <w:sz w:val="24"/>
        </w:rPr>
      </w:pPr>
    </w:p>
    <w:p>
      <w:pPr>
        <w:rPr>
          <w:rFonts w:ascii="Times New Roman" w:hAnsi="Times New Roman" w:cs="Times New Roman"/>
          <w:sz w:val="24"/>
        </w:rPr>
      </w:pPr>
    </w:p>
    <w:p>
      <w:pPr>
        <w:rPr>
          <w:rFonts w:ascii="Times New Roman" w:hAnsi="Times New Roman" w:cs="Times New Roman"/>
          <w:sz w:val="24"/>
        </w:rPr>
      </w:pPr>
    </w:p>
    <w:p>
      <w:pPr>
        <w:rPr>
          <w:rFonts w:ascii="Times New Roman" w:hAnsi="Times New Roman" w:cs="Times New Roman"/>
          <w:sz w:val="24"/>
        </w:rPr>
      </w:pPr>
    </w:p>
    <w:p>
      <w:pPr>
        <w:rPr>
          <w:rFonts w:ascii="Times New Roman" w:hAnsi="Times New Roman" w:cs="Times New Roman"/>
          <w:sz w:val="24"/>
        </w:rPr>
      </w:pPr>
    </w:p>
    <w:p>
      <w:pPr>
        <w:rPr>
          <w:rFonts w:ascii="Times New Roman" w:hAnsi="Times New Roman" w:cs="Times New Roman"/>
          <w:b/>
          <w:bCs/>
          <w:sz w:val="20"/>
          <w:szCs w:val="20"/>
        </w:rPr>
      </w:pPr>
    </w:p>
    <w:p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hint="eastAsia" w:ascii="Times New Roman" w:hAnsi="Times New Roman" w:cs="Times New Roman"/>
          <w:b/>
          <w:bCs/>
          <w:sz w:val="20"/>
          <w:szCs w:val="20"/>
        </w:rPr>
        <w:t>Table S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5</w:t>
      </w:r>
      <w:r>
        <w:rPr>
          <w:rFonts w:hint="eastAsia" w:ascii="Times New Roman" w:hAnsi="Times New Roman" w:cs="Times New Roman"/>
          <w:b/>
          <w:bCs/>
          <w:sz w:val="20"/>
          <w:szCs w:val="20"/>
        </w:rPr>
        <w:t xml:space="preserve">.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Univariate and multivariate analysis </w:t>
      </w:r>
      <w:r>
        <w:rPr>
          <w:rFonts w:hint="eastAsia" w:ascii="Times New Roman" w:hAnsi="Times New Roman" w:cs="Times New Roman"/>
          <w:b/>
          <w:bCs/>
          <w:sz w:val="20"/>
          <w:szCs w:val="20"/>
        </w:rPr>
        <w:t xml:space="preserve">for 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biochemical response</w:t>
      </w:r>
      <w:r>
        <w:rPr>
          <w:rFonts w:hint="eastAsia" w:ascii="Times New Roman" w:hAnsi="Times New Roman" w:cs="Times New Roman"/>
          <w:b/>
          <w:bCs/>
          <w:sz w:val="20"/>
          <w:szCs w:val="20"/>
        </w:rPr>
        <w:t xml:space="preserve"> at week 48(non-response vs response)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in </w:t>
      </w:r>
      <w:r>
        <w:rPr>
          <w:rFonts w:hint="eastAsia" w:ascii="Times New Roman" w:hAnsi="Times New Roman" w:cs="Times New Roman"/>
          <w:b/>
          <w:bCs/>
          <w:sz w:val="20"/>
          <w:szCs w:val="20"/>
        </w:rPr>
        <w:t>CHB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children</w:t>
      </w:r>
    </w:p>
    <w:tbl>
      <w:tblPr>
        <w:tblStyle w:val="5"/>
        <w:tblpPr w:leftFromText="180" w:rightFromText="180" w:vertAnchor="text" w:horzAnchor="page" w:tblpX="1272" w:tblpY="86"/>
        <w:tblOverlap w:val="never"/>
        <w:tblW w:w="10177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3"/>
        <w:gridCol w:w="1453"/>
        <w:gridCol w:w="1454"/>
        <w:gridCol w:w="1453"/>
        <w:gridCol w:w="1453"/>
        <w:gridCol w:w="1456"/>
        <w:gridCol w:w="1455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3" w:type="dxa"/>
            <w:vMerge w:val="restar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Variables</w:t>
            </w:r>
          </w:p>
        </w:tc>
        <w:tc>
          <w:tcPr>
            <w:tcW w:w="2907" w:type="dxa"/>
            <w:gridSpan w:val="2"/>
            <w:tcBorders>
              <w:bottom w:val="single" w:color="auto" w:sz="12" w:space="0"/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Univariate analysis</w:t>
            </w:r>
          </w:p>
        </w:tc>
        <w:tc>
          <w:tcPr>
            <w:tcW w:w="1453" w:type="dxa"/>
            <w:vMerge w:val="restar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2909" w:type="dxa"/>
            <w:gridSpan w:val="2"/>
            <w:tcBorders>
              <w:bottom w:val="single" w:color="auto" w:sz="12" w:space="0"/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Multivariate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analysis</w:t>
            </w:r>
          </w:p>
        </w:tc>
        <w:tc>
          <w:tcPr>
            <w:tcW w:w="1455" w:type="dxa"/>
            <w:vMerge w:val="restar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20"/>
                <w:szCs w:val="20"/>
              </w:rPr>
              <w:t>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3" w:type="dxa"/>
            <w:vMerge w:val="continue"/>
            <w:tcBorders>
              <w:bottom w:val="single" w:color="auto" w:sz="12" w:space="0"/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OR(95%CI)</w:t>
            </w:r>
          </w:p>
        </w:tc>
        <w:tc>
          <w:tcPr>
            <w:tcW w:w="1454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453" w:type="dxa"/>
            <w:vMerge w:val="continue"/>
            <w:tcBorders>
              <w:bottom w:val="single" w:color="auto" w:sz="12" w:space="0"/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OR(95%CI)</w:t>
            </w:r>
          </w:p>
        </w:tc>
        <w:tc>
          <w:tcPr>
            <w:tcW w:w="1456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455" w:type="dxa"/>
            <w:vMerge w:val="continue"/>
            <w:tcBorders>
              <w:bottom w:val="single" w:color="auto" w:sz="12" w:space="0"/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3" w:type="dxa"/>
            <w:tcBorders>
              <w:top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Initial drug(IFN vs ETV)</w:t>
            </w:r>
          </w:p>
        </w:tc>
        <w:tc>
          <w:tcPr>
            <w:tcW w:w="1453" w:type="dxa"/>
            <w:tcBorders>
              <w:top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0.135(0.043, 0.430)</w:t>
            </w:r>
          </w:p>
        </w:tc>
        <w:tc>
          <w:tcPr>
            <w:tcW w:w="1454" w:type="dxa"/>
            <w:tcBorders>
              <w:top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-2.000</w:t>
            </w:r>
          </w:p>
        </w:tc>
        <w:tc>
          <w:tcPr>
            <w:tcW w:w="1453" w:type="dxa"/>
            <w:tcBorders>
              <w:top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0.001</w:t>
            </w:r>
          </w:p>
        </w:tc>
        <w:tc>
          <w:tcPr>
            <w:tcW w:w="1453" w:type="dxa"/>
            <w:tcBorders>
              <w:top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0.128(0.027, 0.614)</w:t>
            </w:r>
          </w:p>
        </w:tc>
        <w:tc>
          <w:tcPr>
            <w:tcW w:w="1456" w:type="dxa"/>
            <w:tcBorders>
              <w:top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-2.057</w:t>
            </w:r>
          </w:p>
        </w:tc>
        <w:tc>
          <w:tcPr>
            <w:tcW w:w="1455" w:type="dxa"/>
            <w:tcBorders>
              <w:top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0.010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ALT/ULN</w:t>
            </w:r>
          </w:p>
        </w:tc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1.113(0.928, 1.335)</w:t>
            </w:r>
          </w:p>
        </w:tc>
        <w:tc>
          <w:tcPr>
            <w:tcW w:w="14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0.107</w:t>
            </w:r>
          </w:p>
        </w:tc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0.249</w:t>
            </w:r>
          </w:p>
        </w:tc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baseline log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subscript"/>
              </w:rPr>
              <w:t>10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HBsAg</w:t>
            </w:r>
          </w:p>
        </w:tc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1.167(0.571, 2.382)</w:t>
            </w:r>
          </w:p>
        </w:tc>
        <w:tc>
          <w:tcPr>
            <w:tcW w:w="14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0.325</w:t>
            </w:r>
          </w:p>
        </w:tc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0.672</w:t>
            </w:r>
          </w:p>
        </w:tc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baseline log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subscript"/>
              </w:rPr>
              <w:t>10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HBV DNA</w:t>
            </w:r>
          </w:p>
        </w:tc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0.807(0.471, 1.382)</w:t>
            </w:r>
          </w:p>
        </w:tc>
        <w:tc>
          <w:tcPr>
            <w:tcW w:w="14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-0.214</w:t>
            </w:r>
          </w:p>
        </w:tc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0.435</w:t>
            </w:r>
          </w:p>
        </w:tc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Age(</w:t>
            </w:r>
            <w:bookmarkStart w:id="0" w:name="OLE_LINK2"/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&lt;6y vs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≥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6y</w:t>
            </w:r>
            <w:bookmarkEnd w:id="0"/>
            <w:r>
              <w:rPr>
                <w:rFonts w:hint="eastAsia"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1.179(0.411, 3.383)</w:t>
            </w:r>
          </w:p>
        </w:tc>
        <w:tc>
          <w:tcPr>
            <w:tcW w:w="14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0.164</w:t>
            </w:r>
          </w:p>
        </w:tc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0.760</w:t>
            </w:r>
          </w:p>
        </w:tc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Gender（male vs female)</w:t>
            </w:r>
          </w:p>
        </w:tc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1.455(0.507, 4.170)</w:t>
            </w:r>
          </w:p>
        </w:tc>
        <w:tc>
          <w:tcPr>
            <w:tcW w:w="14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0.375</w:t>
            </w:r>
          </w:p>
        </w:tc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0.486</w:t>
            </w:r>
          </w:p>
        </w:tc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Genotype(B vs C)</w:t>
            </w:r>
          </w:p>
        </w:tc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0.479(0.112, 2.051)</w:t>
            </w:r>
          </w:p>
        </w:tc>
        <w:tc>
          <w:tcPr>
            <w:tcW w:w="14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-0.736</w:t>
            </w:r>
          </w:p>
        </w:tc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0.321</w:t>
            </w:r>
          </w:p>
        </w:tc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G0-1 vs G2-3</w:t>
            </w:r>
          </w:p>
        </w:tc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0.78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(0.27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7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, 2.22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6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-0.24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0.649</w:t>
            </w:r>
          </w:p>
        </w:tc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S0-1 vs S2-3</w:t>
            </w:r>
          </w:p>
        </w:tc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1.4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18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(0.48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, 4.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156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0.3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49</w:t>
            </w:r>
          </w:p>
        </w:tc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0.5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25</w:t>
            </w:r>
          </w:p>
        </w:tc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</w:tbl>
    <w:p>
      <w:pPr>
        <w:rPr>
          <w:rFonts w:ascii="Times New Roman" w:hAnsi="Times New Roman" w:cs="Times New Roman"/>
          <w:sz w:val="24"/>
        </w:rPr>
      </w:pPr>
    </w:p>
    <w:p>
      <w:pPr>
        <w:rPr>
          <w:rFonts w:ascii="Times New Roman" w:hAnsi="Times New Roman" w:cs="Times New Roman"/>
          <w:sz w:val="24"/>
        </w:rPr>
      </w:pPr>
    </w:p>
    <w:p>
      <w:pPr>
        <w:rPr>
          <w:rFonts w:ascii="Times New Roman" w:hAnsi="Times New Roman" w:cs="Times New Roman"/>
          <w:sz w:val="24"/>
        </w:rPr>
      </w:pPr>
    </w:p>
    <w:p>
      <w:pPr>
        <w:rPr>
          <w:rFonts w:ascii="Times New Roman" w:hAnsi="Times New Roman" w:cs="Times New Roman"/>
          <w:sz w:val="24"/>
        </w:rPr>
      </w:pPr>
    </w:p>
    <w:p>
      <w:pPr>
        <w:rPr>
          <w:rFonts w:ascii="Times New Roman" w:hAnsi="Times New Roman" w:cs="Times New Roman"/>
          <w:sz w:val="24"/>
        </w:rPr>
      </w:pPr>
    </w:p>
    <w:p>
      <w:pPr>
        <w:rPr>
          <w:rFonts w:ascii="Times New Roman" w:hAnsi="Times New Roman" w:cs="Times New Roman"/>
          <w:sz w:val="24"/>
        </w:rPr>
      </w:pPr>
    </w:p>
    <w:p>
      <w:pPr>
        <w:rPr>
          <w:rFonts w:ascii="Times New Roman" w:hAnsi="Times New Roman" w:cs="Times New Roman"/>
          <w:sz w:val="24"/>
        </w:rPr>
      </w:pPr>
    </w:p>
    <w:p>
      <w:pPr>
        <w:rPr>
          <w:rFonts w:ascii="Times New Roman" w:hAnsi="Times New Roman" w:cs="Times New Roman"/>
          <w:sz w:val="24"/>
        </w:rPr>
      </w:pPr>
    </w:p>
    <w:p>
      <w:pPr>
        <w:rPr>
          <w:rFonts w:ascii="Times New Roman" w:hAnsi="Times New Roman" w:cs="Times New Roman"/>
          <w:sz w:val="24"/>
        </w:rPr>
      </w:pPr>
    </w:p>
    <w:p>
      <w:pPr>
        <w:rPr>
          <w:rFonts w:ascii="Times New Roman" w:hAnsi="Times New Roman" w:cs="Times New Roman"/>
          <w:sz w:val="24"/>
        </w:rPr>
      </w:pPr>
    </w:p>
    <w:p>
      <w:pPr>
        <w:rPr>
          <w:rFonts w:ascii="Times New Roman" w:hAnsi="Times New Roman" w:cs="Times New Roman"/>
          <w:sz w:val="24"/>
        </w:rPr>
      </w:pPr>
    </w:p>
    <w:p>
      <w:pPr>
        <w:rPr>
          <w:rFonts w:ascii="Times New Roman" w:hAnsi="Times New Roman" w:cs="Times New Roman"/>
          <w:sz w:val="24"/>
        </w:rPr>
      </w:pPr>
    </w:p>
    <w:p>
      <w:pPr>
        <w:rPr>
          <w:rFonts w:ascii="Times New Roman" w:hAnsi="Times New Roman" w:cs="Times New Roman"/>
          <w:sz w:val="24"/>
        </w:rPr>
      </w:pPr>
    </w:p>
    <w:p>
      <w:pPr>
        <w:rPr>
          <w:rFonts w:ascii="Times New Roman" w:hAnsi="Times New Roman" w:cs="Times New Roman"/>
          <w:sz w:val="24"/>
        </w:rPr>
      </w:pPr>
    </w:p>
    <w:p>
      <w:pPr>
        <w:rPr>
          <w:rFonts w:ascii="Times New Roman" w:hAnsi="Times New Roman" w:cs="Times New Roman"/>
          <w:sz w:val="24"/>
        </w:rPr>
      </w:pPr>
    </w:p>
    <w:p>
      <w:pPr>
        <w:rPr>
          <w:rFonts w:ascii="Times New Roman" w:hAnsi="Times New Roman" w:cs="Times New Roman"/>
          <w:sz w:val="24"/>
        </w:rPr>
      </w:pPr>
    </w:p>
    <w:p>
      <w:pPr>
        <w:rPr>
          <w:rFonts w:ascii="Times New Roman" w:hAnsi="Times New Roman" w:cs="Times New Roman"/>
          <w:sz w:val="24"/>
        </w:rPr>
      </w:pPr>
    </w:p>
    <w:p>
      <w:pPr>
        <w:rPr>
          <w:rFonts w:ascii="Times New Roman" w:hAnsi="Times New Roman" w:cs="Times New Roman"/>
          <w:sz w:val="24"/>
        </w:rPr>
      </w:pPr>
    </w:p>
    <w:p>
      <w:pPr>
        <w:rPr>
          <w:rFonts w:ascii="Times New Roman" w:hAnsi="Times New Roman" w:cs="Times New Roman"/>
          <w:sz w:val="24"/>
        </w:rPr>
      </w:pPr>
    </w:p>
    <w:p>
      <w:pPr>
        <w:rPr>
          <w:rFonts w:ascii="Times New Roman" w:hAnsi="Times New Roman" w:cs="Times New Roman"/>
          <w:sz w:val="24"/>
        </w:rPr>
      </w:pPr>
    </w:p>
    <w:p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hint="eastAsia" w:ascii="Times New Roman" w:hAnsi="Times New Roman" w:cs="Times New Roman"/>
          <w:b/>
          <w:bCs/>
          <w:sz w:val="20"/>
          <w:szCs w:val="20"/>
        </w:rPr>
        <w:t>Table S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6</w:t>
      </w:r>
      <w:r>
        <w:rPr>
          <w:rFonts w:hint="eastAsia" w:ascii="Times New Roman" w:hAnsi="Times New Roman" w:cs="Times New Roman"/>
          <w:b/>
          <w:bCs/>
          <w:sz w:val="20"/>
          <w:szCs w:val="20"/>
        </w:rPr>
        <w:t xml:space="preserve">.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Univariate and multivariate analysis </w:t>
      </w:r>
      <w:r>
        <w:rPr>
          <w:rFonts w:hint="eastAsia" w:ascii="Times New Roman" w:hAnsi="Times New Roman" w:cs="Times New Roman"/>
          <w:b/>
          <w:bCs/>
          <w:sz w:val="20"/>
          <w:szCs w:val="20"/>
        </w:rPr>
        <w:t>for HBsAg s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erological response</w:t>
      </w:r>
      <w:r>
        <w:rPr>
          <w:rFonts w:hint="eastAsia" w:ascii="Times New Roman" w:hAnsi="Times New Roman" w:cs="Times New Roman"/>
          <w:b/>
          <w:bCs/>
          <w:sz w:val="20"/>
          <w:szCs w:val="20"/>
        </w:rPr>
        <w:t xml:space="preserve"> at week 48(non-response vs response)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in </w:t>
      </w:r>
      <w:r>
        <w:rPr>
          <w:rFonts w:hint="eastAsia" w:ascii="Times New Roman" w:hAnsi="Times New Roman" w:cs="Times New Roman"/>
          <w:b/>
          <w:bCs/>
          <w:sz w:val="20"/>
          <w:szCs w:val="20"/>
        </w:rPr>
        <w:t>CHB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children</w:t>
      </w:r>
    </w:p>
    <w:tbl>
      <w:tblPr>
        <w:tblStyle w:val="5"/>
        <w:tblpPr w:leftFromText="180" w:rightFromText="180" w:vertAnchor="text" w:horzAnchor="page" w:tblpX="1272" w:tblpY="86"/>
        <w:tblOverlap w:val="never"/>
        <w:tblW w:w="10177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3"/>
        <w:gridCol w:w="1453"/>
        <w:gridCol w:w="1454"/>
        <w:gridCol w:w="1453"/>
        <w:gridCol w:w="1453"/>
        <w:gridCol w:w="1456"/>
        <w:gridCol w:w="1455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3" w:type="dxa"/>
            <w:vMerge w:val="restar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Variables</w:t>
            </w:r>
          </w:p>
        </w:tc>
        <w:tc>
          <w:tcPr>
            <w:tcW w:w="2907" w:type="dxa"/>
            <w:gridSpan w:val="2"/>
            <w:tcBorders>
              <w:bottom w:val="single" w:color="auto" w:sz="12" w:space="0"/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Univariate analysis</w:t>
            </w:r>
          </w:p>
        </w:tc>
        <w:tc>
          <w:tcPr>
            <w:tcW w:w="1453" w:type="dxa"/>
            <w:vMerge w:val="restar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2909" w:type="dxa"/>
            <w:gridSpan w:val="2"/>
            <w:tcBorders>
              <w:bottom w:val="single" w:color="auto" w:sz="12" w:space="0"/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Multivariate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analysis</w:t>
            </w:r>
          </w:p>
        </w:tc>
        <w:tc>
          <w:tcPr>
            <w:tcW w:w="1455" w:type="dxa"/>
            <w:vMerge w:val="restar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20"/>
                <w:szCs w:val="20"/>
              </w:rPr>
              <w:t>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3" w:type="dxa"/>
            <w:vMerge w:val="continue"/>
            <w:tcBorders>
              <w:bottom w:val="single" w:color="auto" w:sz="12" w:space="0"/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OR(95%CI)</w:t>
            </w:r>
          </w:p>
        </w:tc>
        <w:tc>
          <w:tcPr>
            <w:tcW w:w="1454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453" w:type="dxa"/>
            <w:vMerge w:val="continue"/>
            <w:tcBorders>
              <w:bottom w:val="single" w:color="auto" w:sz="12" w:space="0"/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OR(95%CI)</w:t>
            </w:r>
          </w:p>
        </w:tc>
        <w:tc>
          <w:tcPr>
            <w:tcW w:w="1456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455" w:type="dxa"/>
            <w:vMerge w:val="continue"/>
            <w:tcBorders>
              <w:bottom w:val="single" w:color="auto" w:sz="12" w:space="0"/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453" w:type="dxa"/>
            <w:tcBorders>
              <w:top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Initial drug(IFN vs ETV)</w:t>
            </w:r>
          </w:p>
        </w:tc>
        <w:tc>
          <w:tcPr>
            <w:tcW w:w="1453" w:type="dxa"/>
            <w:tcBorders>
              <w:top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6.300(1.166, 34.026)</w:t>
            </w:r>
          </w:p>
        </w:tc>
        <w:tc>
          <w:tcPr>
            <w:tcW w:w="1454" w:type="dxa"/>
            <w:tcBorders>
              <w:top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1.841</w:t>
            </w:r>
          </w:p>
        </w:tc>
        <w:tc>
          <w:tcPr>
            <w:tcW w:w="1453" w:type="dxa"/>
            <w:tcBorders>
              <w:top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0.032</w:t>
            </w:r>
          </w:p>
        </w:tc>
        <w:tc>
          <w:tcPr>
            <w:tcW w:w="1453" w:type="dxa"/>
            <w:tcBorders>
              <w:top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2953.434(1.302, 6702066.994)</w:t>
            </w:r>
          </w:p>
        </w:tc>
        <w:tc>
          <w:tcPr>
            <w:tcW w:w="1456" w:type="dxa"/>
            <w:tcBorders>
              <w:top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7.991</w:t>
            </w:r>
          </w:p>
        </w:tc>
        <w:tc>
          <w:tcPr>
            <w:tcW w:w="1455" w:type="dxa"/>
            <w:tcBorders>
              <w:top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0.043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ALT/ULN</w:t>
            </w:r>
          </w:p>
        </w:tc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0.656(0.409, 1.054)</w:t>
            </w:r>
          </w:p>
        </w:tc>
        <w:tc>
          <w:tcPr>
            <w:tcW w:w="14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-0.421</w:t>
            </w:r>
          </w:p>
        </w:tc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0.081</w:t>
            </w:r>
          </w:p>
        </w:tc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baseline log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subscript"/>
              </w:rPr>
              <w:t>10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HBsAg</w:t>
            </w:r>
          </w:p>
        </w:tc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0.283(0.108, 0.743)</w:t>
            </w:r>
          </w:p>
        </w:tc>
        <w:tc>
          <w:tcPr>
            <w:tcW w:w="14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-1.261</w:t>
            </w:r>
          </w:p>
        </w:tc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0.010</w:t>
            </w:r>
          </w:p>
        </w:tc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0.008(0.000, 0.506)</w:t>
            </w:r>
          </w:p>
        </w:tc>
        <w:tc>
          <w:tcPr>
            <w:tcW w:w="145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-4.816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0.022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baseline log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subscript"/>
              </w:rPr>
              <w:t>10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HBV DNA</w:t>
            </w:r>
          </w:p>
        </w:tc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0.613(0.341, 1.102)</w:t>
            </w:r>
          </w:p>
        </w:tc>
        <w:tc>
          <w:tcPr>
            <w:tcW w:w="14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-0.490</w:t>
            </w:r>
          </w:p>
        </w:tc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0.102</w:t>
            </w:r>
          </w:p>
        </w:tc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Age(&lt;6y vs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≥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6y)</w:t>
            </w:r>
          </w:p>
        </w:tc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4.750(0.885, 25.484)</w:t>
            </w:r>
          </w:p>
        </w:tc>
        <w:tc>
          <w:tcPr>
            <w:tcW w:w="14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1.558</w:t>
            </w:r>
          </w:p>
        </w:tc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0.069</w:t>
            </w:r>
          </w:p>
        </w:tc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659.807(1.371, 317523.678)</w:t>
            </w:r>
          </w:p>
        </w:tc>
        <w:tc>
          <w:tcPr>
            <w:tcW w:w="145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6.492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0.039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Gender（male vs female)</w:t>
            </w:r>
          </w:p>
        </w:tc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1.053(0.230, 4.812)</w:t>
            </w:r>
          </w:p>
        </w:tc>
        <w:tc>
          <w:tcPr>
            <w:tcW w:w="14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0.051</w:t>
            </w:r>
          </w:p>
        </w:tc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0.947</w:t>
            </w:r>
          </w:p>
        </w:tc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Genotype(B vs C)</w:t>
            </w:r>
          </w:p>
        </w:tc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107698324.0(0, /)</w:t>
            </w:r>
          </w:p>
        </w:tc>
        <w:tc>
          <w:tcPr>
            <w:tcW w:w="14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18.495</w:t>
            </w:r>
          </w:p>
        </w:tc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0.998</w:t>
            </w:r>
          </w:p>
        </w:tc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G0-1 vs G2-3</w:t>
            </w:r>
          </w:p>
        </w:tc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2.160(0.474, 9.847)</w:t>
            </w:r>
          </w:p>
        </w:tc>
        <w:tc>
          <w:tcPr>
            <w:tcW w:w="14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0.770</w:t>
            </w:r>
          </w:p>
        </w:tc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0.320</w:t>
            </w:r>
          </w:p>
        </w:tc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S0-1 vs S2-3</w:t>
            </w:r>
          </w:p>
        </w:tc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0.854(0.186, 3.922)</w:t>
            </w:r>
          </w:p>
        </w:tc>
        <w:tc>
          <w:tcPr>
            <w:tcW w:w="14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-0.158</w:t>
            </w:r>
          </w:p>
        </w:tc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0.839</w:t>
            </w:r>
          </w:p>
        </w:tc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</w:tbl>
    <w:p>
      <w:pPr>
        <w:widowControl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hint="eastAsia" w:ascii="Times New Roman" w:hAnsi="Times New Roman" w:cs="Times New Roman"/>
          <w:b/>
          <w:bCs/>
          <w:sz w:val="20"/>
          <w:szCs w:val="20"/>
        </w:rPr>
        <w:t>Footnote of Table S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3</w:t>
      </w:r>
      <w:r>
        <w:rPr>
          <w:rFonts w:hint="eastAsia" w:ascii="Times New Roman" w:hAnsi="Times New Roman" w:cs="Times New Roman"/>
          <w:b/>
          <w:bCs/>
          <w:sz w:val="20"/>
          <w:szCs w:val="20"/>
        </w:rPr>
        <w:t>-S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6</w:t>
      </w:r>
      <w:r>
        <w:rPr>
          <w:rFonts w:hint="eastAsia" w:ascii="Times New Roman" w:hAnsi="Times New Roman" w:cs="Times New Roman"/>
          <w:b/>
          <w:bCs/>
          <w:sz w:val="20"/>
          <w:szCs w:val="20"/>
        </w:rPr>
        <w:t xml:space="preserve">. </w:t>
      </w:r>
    </w:p>
    <w:p>
      <w:pPr>
        <w:widowControl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hint="eastAsia" w:ascii="Times New Roman" w:hAnsi="Times New Roman" w:cs="Times New Roman"/>
          <w:sz w:val="20"/>
          <w:szCs w:val="20"/>
        </w:rPr>
        <w:t xml:space="preserve">Variables that were relatively significant in the univariate analysis(with </w:t>
      </w:r>
      <w:r>
        <w:rPr>
          <w:rFonts w:hint="eastAsia" w:ascii="Times New Roman" w:hAnsi="Times New Roman" w:cs="Times New Roman"/>
          <w:i/>
          <w:iCs/>
          <w:sz w:val="20"/>
          <w:szCs w:val="20"/>
        </w:rPr>
        <w:t>P</w:t>
      </w:r>
      <w:r>
        <w:rPr>
          <w:rFonts w:hint="eastAsia" w:ascii="Times New Roman" w:hAnsi="Times New Roman" w:cs="Times New Roman"/>
          <w:sz w:val="20"/>
          <w:szCs w:val="20"/>
        </w:rPr>
        <w:t>-values &lt;0.5) were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0"/>
          <w:szCs w:val="20"/>
        </w:rPr>
        <w:t>marked in bold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and</w:t>
      </w:r>
      <w:r>
        <w:rPr>
          <w:rFonts w:hint="eastAsia" w:ascii="Times New Roman" w:hAnsi="Times New Roman" w:cs="Times New Roman"/>
          <w:sz w:val="20"/>
          <w:szCs w:val="20"/>
        </w:rPr>
        <w:t xml:space="preserve"> included in the multivariate logistic regression analysis. </w:t>
      </w:r>
    </w:p>
    <w:p>
      <w:pPr>
        <w:widowControl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hint="eastAsia" w:ascii="Times New Roman" w:hAnsi="Times New Roman" w:cs="Times New Roman"/>
          <w:sz w:val="20"/>
          <w:szCs w:val="20"/>
        </w:rPr>
        <w:t>G: grade of inflammation; S:stage of fibrosis in liver histo logy were evaluated according to Scheuer</w:t>
      </w:r>
      <w:r>
        <w:rPr>
          <w:rFonts w:ascii="Times New Roman" w:hAnsi="Times New Roman" w:cs="Times New Roman"/>
          <w:sz w:val="20"/>
          <w:szCs w:val="20"/>
        </w:rPr>
        <w:t>’</w:t>
      </w:r>
      <w:r>
        <w:rPr>
          <w:rFonts w:hint="eastAsia" w:ascii="Times New Roman" w:hAnsi="Times New Roman" w:cs="Times New Roman"/>
          <w:sz w:val="20"/>
          <w:szCs w:val="20"/>
        </w:rPr>
        <w:t>s criteria. OR: odds ratio; CI:confidence interval; ETV: entecavir; Peg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-</w:t>
      </w:r>
      <w:r>
        <w:rPr>
          <w:rFonts w:hint="eastAsia" w:ascii="Times New Roman" w:hAnsi="Times New Roman" w:cs="Times New Roman"/>
          <w:sz w:val="20"/>
          <w:szCs w:val="20"/>
        </w:rPr>
        <w:t xml:space="preserve">IFN:pegylated interferon; </w:t>
      </w:r>
      <w:r>
        <w:rPr>
          <w:rFonts w:ascii="Times New Roman" w:hAnsi="Times New Roman" w:cs="Times New Roman"/>
          <w:sz w:val="20"/>
          <w:szCs w:val="20"/>
        </w:rPr>
        <w:t>ALT</w:t>
      </w:r>
      <w:r>
        <w:rPr>
          <w:rFonts w:hint="eastAsia"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 xml:space="preserve">alanine aminotransferase; </w:t>
      </w:r>
      <w:r>
        <w:rPr>
          <w:rFonts w:hint="eastAsia" w:ascii="Times New Roman" w:hAnsi="Times New Roman" w:cs="Times New Roman"/>
          <w:sz w:val="20"/>
          <w:szCs w:val="20"/>
        </w:rPr>
        <w:t xml:space="preserve">AST:aspartate aminotransferase; </w:t>
      </w:r>
      <w:r>
        <w:rPr>
          <w:rFonts w:ascii="Times New Roman" w:hAnsi="Times New Roman" w:cs="Times New Roman"/>
          <w:sz w:val="20"/>
          <w:szCs w:val="20"/>
        </w:rPr>
        <w:t>ULN</w:t>
      </w:r>
      <w:r>
        <w:rPr>
          <w:rFonts w:hint="eastAsia"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>upper limit of normal</w:t>
      </w:r>
      <w:r>
        <w:rPr>
          <w:rFonts w:hint="eastAsia" w:ascii="Times New Roman" w:hAnsi="Times New Roman" w:cs="Times New Roman"/>
          <w:sz w:val="20"/>
          <w:szCs w:val="20"/>
        </w:rPr>
        <w:t xml:space="preserve">; </w:t>
      </w:r>
      <w:r>
        <w:rPr>
          <w:rFonts w:ascii="Times New Roman" w:hAnsi="Times New Roman" w:cs="Times New Roman"/>
          <w:sz w:val="20"/>
          <w:szCs w:val="20"/>
        </w:rPr>
        <w:t>HBV</w:t>
      </w:r>
      <w:r>
        <w:rPr>
          <w:rFonts w:hint="eastAsia"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 xml:space="preserve"> hepatitis B virus; HBsAg, hepatitis B surface antigen</w:t>
      </w:r>
      <w:r>
        <w:rPr>
          <w:rFonts w:hint="eastAsia" w:ascii="Times New Roman" w:hAnsi="Times New Roman" w:cs="Times New Roman"/>
          <w:sz w:val="20"/>
          <w:szCs w:val="20"/>
        </w:rPr>
        <w:t xml:space="preserve">; </w:t>
      </w:r>
      <w:r>
        <w:rPr>
          <w:rFonts w:ascii="Times New Roman" w:hAnsi="Times New Roman" w:cs="Times New Roman"/>
          <w:sz w:val="20"/>
          <w:szCs w:val="20"/>
        </w:rPr>
        <w:t>HB</w:t>
      </w:r>
      <w:r>
        <w:rPr>
          <w:rFonts w:hint="eastAsia" w:ascii="Times New Roman" w:hAnsi="Times New Roman" w:cs="Times New Roman"/>
          <w:sz w:val="20"/>
          <w:szCs w:val="20"/>
        </w:rPr>
        <w:t>e</w:t>
      </w:r>
      <w:r>
        <w:rPr>
          <w:rFonts w:ascii="Times New Roman" w:hAnsi="Times New Roman" w:cs="Times New Roman"/>
          <w:sz w:val="20"/>
          <w:szCs w:val="20"/>
        </w:rPr>
        <w:t xml:space="preserve">Ag, hepatitis B </w:t>
      </w:r>
      <w:r>
        <w:rPr>
          <w:rFonts w:hint="eastAsia" w:ascii="Times New Roman" w:hAnsi="Times New Roman" w:cs="Times New Roman"/>
          <w:sz w:val="20"/>
          <w:szCs w:val="20"/>
        </w:rPr>
        <w:t>envelop</w:t>
      </w:r>
      <w:r>
        <w:rPr>
          <w:rFonts w:ascii="Times New Roman" w:hAnsi="Times New Roman" w:cs="Times New Roman"/>
          <w:sz w:val="20"/>
          <w:szCs w:val="20"/>
        </w:rPr>
        <w:t xml:space="preserve"> antigen.</w:t>
      </w:r>
    </w:p>
    <w:p>
      <w:pPr>
        <w:rPr>
          <w:rFonts w:ascii="Times New Roman" w:hAnsi="Times New Roman" w:cs="Times New Roman"/>
          <w:b/>
          <w:bCs/>
          <w:sz w:val="20"/>
          <w:szCs w:val="20"/>
        </w:rPr>
      </w:pPr>
    </w:p>
    <w:p>
      <w:pPr>
        <w:rPr>
          <w:rFonts w:ascii="Times New Roman" w:hAnsi="Times New Roman" w:cs="Times New Roman"/>
          <w:b/>
          <w:bCs/>
          <w:sz w:val="20"/>
          <w:szCs w:val="20"/>
        </w:rPr>
      </w:pPr>
    </w:p>
    <w:p>
      <w:pPr>
        <w:rPr>
          <w:rFonts w:ascii="Times New Roman" w:hAnsi="Times New Roman" w:cs="Times New Roman"/>
          <w:b/>
          <w:bCs/>
          <w:sz w:val="20"/>
          <w:szCs w:val="20"/>
        </w:rPr>
      </w:pPr>
    </w:p>
    <w:p>
      <w:pPr>
        <w:rPr>
          <w:rFonts w:ascii="Times New Roman" w:hAnsi="Times New Roman" w:cs="Times New Roman"/>
          <w:b/>
          <w:bCs/>
          <w:sz w:val="20"/>
          <w:szCs w:val="20"/>
        </w:rPr>
      </w:pPr>
    </w:p>
    <w:p>
      <w:pPr>
        <w:rPr>
          <w:rFonts w:ascii="Times New Roman" w:hAnsi="Times New Roman" w:cs="Times New Roman"/>
          <w:b/>
          <w:bCs/>
          <w:sz w:val="20"/>
          <w:szCs w:val="20"/>
        </w:rPr>
      </w:pPr>
    </w:p>
    <w:p>
      <w:pPr>
        <w:rPr>
          <w:rFonts w:ascii="Times New Roman" w:hAnsi="Times New Roman" w:cs="Times New Roman"/>
          <w:b/>
          <w:bCs/>
          <w:sz w:val="20"/>
          <w:szCs w:val="20"/>
        </w:rPr>
      </w:pPr>
    </w:p>
    <w:p>
      <w:pPr>
        <w:rPr>
          <w:rFonts w:ascii="Times New Roman" w:hAnsi="Times New Roman" w:cs="Times New Roman"/>
          <w:b/>
          <w:bCs/>
          <w:sz w:val="20"/>
          <w:szCs w:val="20"/>
        </w:rPr>
      </w:pPr>
      <w:bookmarkStart w:id="1" w:name="_GoBack"/>
      <w:bookmarkEnd w:id="1"/>
    </w:p>
    <w:p>
      <w:pPr>
        <w:rPr>
          <w:rFonts w:ascii="Times New Roman" w:hAnsi="Times New Roman" w:cs="Times New Roman"/>
          <w:b/>
          <w:bCs/>
          <w:sz w:val="20"/>
          <w:szCs w:val="20"/>
        </w:rPr>
      </w:pPr>
    </w:p>
    <w:p>
      <w:pPr>
        <w:rPr>
          <w:rFonts w:ascii="Times New Roman" w:hAnsi="Times New Roman" w:cs="Times New Roman"/>
          <w:b/>
          <w:bCs/>
          <w:sz w:val="20"/>
          <w:szCs w:val="20"/>
        </w:rPr>
      </w:pPr>
    </w:p>
    <w:p>
      <w:pPr>
        <w:rPr>
          <w:rFonts w:ascii="Times New Roman" w:hAnsi="Times New Roman" w:cs="Times New Roman"/>
          <w:b/>
          <w:bCs/>
          <w:sz w:val="20"/>
          <w:szCs w:val="20"/>
        </w:rPr>
      </w:pPr>
    </w:p>
    <w:p>
      <w:pPr>
        <w:rPr>
          <w:rFonts w:ascii="Times New Roman" w:hAnsi="Times New Roman" w:cs="Times New Roman"/>
          <w:b/>
          <w:bCs/>
          <w:sz w:val="20"/>
          <w:szCs w:val="20"/>
        </w:rPr>
      </w:pPr>
    </w:p>
    <w:p>
      <w:pPr>
        <w:rPr>
          <w:rFonts w:ascii="Times New Roman" w:hAnsi="Times New Roman" w:cs="Times New Roman"/>
          <w:b/>
          <w:bCs/>
          <w:sz w:val="20"/>
          <w:szCs w:val="20"/>
        </w:rPr>
      </w:pPr>
    </w:p>
    <w:p>
      <w:pPr>
        <w:rPr>
          <w:rFonts w:ascii="Times New Roman" w:hAnsi="Times New Roman" w:cs="Times New Roman"/>
          <w:b/>
          <w:bCs/>
          <w:sz w:val="20"/>
          <w:szCs w:val="20"/>
        </w:rPr>
      </w:pPr>
    </w:p>
    <w:p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Table S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7</w:t>
      </w:r>
      <w:r>
        <w:rPr>
          <w:rFonts w:ascii="Times New Roman" w:hAnsi="Times New Roman" w:cs="Times New Roman"/>
          <w:b/>
          <w:bCs/>
          <w:sz w:val="20"/>
          <w:szCs w:val="20"/>
        </w:rPr>
        <w:t>. Cumulative adverse events in peg-IFN and ETV groups</w:t>
      </w:r>
    </w:p>
    <w:tbl>
      <w:tblPr>
        <w:tblStyle w:val="5"/>
        <w:tblW w:w="0" w:type="auto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bottom w:val="single" w:color="auto" w:sz="12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Adverse events, n(%)</w:t>
            </w:r>
          </w:p>
        </w:tc>
        <w:tc>
          <w:tcPr>
            <w:tcW w:w="2841" w:type="dxa"/>
            <w:tcBorders>
              <w:bottom w:val="single" w:color="auto" w:sz="12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peg-IFN(n=26)</w:t>
            </w:r>
          </w:p>
        </w:tc>
        <w:tc>
          <w:tcPr>
            <w:tcW w:w="2841" w:type="dxa"/>
            <w:tcBorders>
              <w:bottom w:val="single" w:color="auto" w:sz="12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ETV(n=44)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12" w:space="0"/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ALT flares(&gt;5ULN)</w:t>
            </w:r>
          </w:p>
        </w:tc>
        <w:tc>
          <w:tcPr>
            <w:tcW w:w="2841" w:type="dxa"/>
            <w:tcBorders>
              <w:top w:val="single" w:color="auto" w:sz="12" w:space="0"/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11(42.31%)</w:t>
            </w:r>
          </w:p>
        </w:tc>
        <w:tc>
          <w:tcPr>
            <w:tcW w:w="2841" w:type="dxa"/>
            <w:tcBorders>
              <w:top w:val="single" w:color="auto" w:sz="12" w:space="0"/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4(9.09%)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Thyroid dysfunction</w:t>
            </w:r>
          </w:p>
        </w:tc>
        <w:tc>
          <w:tcPr>
            <w:tcW w:w="2841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13(50.00%)</w:t>
            </w:r>
          </w:p>
        </w:tc>
        <w:tc>
          <w:tcPr>
            <w:tcW w:w="2841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/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Neutropenia(&lt;1.5)</w:t>
            </w:r>
          </w:p>
        </w:tc>
        <w:tc>
          <w:tcPr>
            <w:tcW w:w="2841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13(50.00%)</w:t>
            </w:r>
          </w:p>
        </w:tc>
        <w:tc>
          <w:tcPr>
            <w:tcW w:w="2841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5(11.36%)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Pyrexia</w:t>
            </w:r>
          </w:p>
        </w:tc>
        <w:tc>
          <w:tcPr>
            <w:tcW w:w="2841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9(34.62%)</w:t>
            </w:r>
          </w:p>
        </w:tc>
        <w:tc>
          <w:tcPr>
            <w:tcW w:w="2841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/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84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Auto-antibody abnormality</w:t>
            </w:r>
          </w:p>
        </w:tc>
        <w:tc>
          <w:tcPr>
            <w:tcW w:w="2841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9(34.62%)</w:t>
            </w:r>
          </w:p>
        </w:tc>
        <w:tc>
          <w:tcPr>
            <w:tcW w:w="2841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1(2.27%)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Fatigue and poor appetite</w:t>
            </w:r>
          </w:p>
        </w:tc>
        <w:tc>
          <w:tcPr>
            <w:tcW w:w="2841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4(15.38%)</w:t>
            </w:r>
          </w:p>
        </w:tc>
        <w:tc>
          <w:tcPr>
            <w:tcW w:w="2841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/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Arthralgia</w:t>
            </w:r>
          </w:p>
        </w:tc>
        <w:tc>
          <w:tcPr>
            <w:tcW w:w="2841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4(15.38%)</w:t>
            </w:r>
          </w:p>
        </w:tc>
        <w:tc>
          <w:tcPr>
            <w:tcW w:w="2841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/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Hair loss</w:t>
            </w:r>
          </w:p>
        </w:tc>
        <w:tc>
          <w:tcPr>
            <w:tcW w:w="2841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3(11.54%)</w:t>
            </w:r>
          </w:p>
        </w:tc>
        <w:tc>
          <w:tcPr>
            <w:tcW w:w="2841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/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Dermatologic</w:t>
            </w:r>
          </w:p>
        </w:tc>
        <w:tc>
          <w:tcPr>
            <w:tcW w:w="2841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3(11.54%)</w:t>
            </w:r>
          </w:p>
        </w:tc>
        <w:tc>
          <w:tcPr>
            <w:tcW w:w="2841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/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Cardiac</w:t>
            </w:r>
          </w:p>
        </w:tc>
        <w:tc>
          <w:tcPr>
            <w:tcW w:w="2841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2841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12(27.27%)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Virologic breakthrough</w:t>
            </w:r>
          </w:p>
        </w:tc>
        <w:tc>
          <w:tcPr>
            <w:tcW w:w="2841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4(15.38%)</w:t>
            </w:r>
          </w:p>
        </w:tc>
        <w:tc>
          <w:tcPr>
            <w:tcW w:w="2841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9(20.45%)</w:t>
            </w:r>
          </w:p>
        </w:tc>
      </w:tr>
    </w:tbl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ALT</w:t>
      </w:r>
      <w:r>
        <w:rPr>
          <w:rFonts w:hint="eastAsia"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alanine aminotransferase;</w:t>
      </w:r>
      <w:r>
        <w:rPr>
          <w:rFonts w:hint="eastAsia"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Virologic breakthrough: HBV DNA level increase of more than 1 log10 IU/ml during therapy, usually caused by poor adherence to treatment or emergence of a drug-resistant HBV mutant.</w:t>
      </w:r>
    </w:p>
    <w:p>
      <w:pPr>
        <w:rPr>
          <w:rFonts w:ascii="Times New Roman" w:hAnsi="Times New Roman" w:cs="Times New Roman"/>
          <w:sz w:val="20"/>
          <w:szCs w:val="20"/>
        </w:rPr>
      </w:pPr>
    </w:p>
    <w:p>
      <w:pPr>
        <w:rPr>
          <w:rFonts w:ascii="Times New Roman" w:hAnsi="Times New Roman" w:cs="Times New Roman"/>
          <w:sz w:val="20"/>
          <w:szCs w:val="2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F82C3F"/>
    <w:rsid w:val="000768AC"/>
    <w:rsid w:val="00260865"/>
    <w:rsid w:val="00270A87"/>
    <w:rsid w:val="00620B71"/>
    <w:rsid w:val="1BEA457C"/>
    <w:rsid w:val="23EE1FB9"/>
    <w:rsid w:val="50847D09"/>
    <w:rsid w:val="55F82C3F"/>
    <w:rsid w:val="57B40152"/>
    <w:rsid w:val="6DD66FD5"/>
    <w:rsid w:val="75C82E10"/>
    <w:rsid w:val="7C223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746</Words>
  <Characters>4253</Characters>
  <Lines>35</Lines>
  <Paragraphs>9</Paragraphs>
  <TotalTime>2</TotalTime>
  <ScaleCrop>false</ScaleCrop>
  <LinksUpToDate>false</LinksUpToDate>
  <CharactersWithSpaces>4990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2021-10-29T14:30:00Z</dcterms:created>
  <dc:creator>恰恰</dc:creator>
  <cp:lastModifiedBy>恰恰</cp:lastModifiedBy>
  <dcterms:modified xsi:type="dcterms:W3CDTF">2021-12-01T08:13:48Z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CF550A0A2D554B4484E668DF518A8CEF</vt:lpwstr>
  </property>
</Properties>
</file>