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71FC3" w14:textId="77777777" w:rsidR="00B936D9" w:rsidRPr="00E36422" w:rsidRDefault="00B936D9" w:rsidP="00B936D9">
      <w:pPr>
        <w:rPr>
          <w:rFonts w:ascii="Times New Roman" w:eastAsia="Times New Roman" w:hAnsi="Times New Roman" w:cs="Times New Roman"/>
          <w:color w:val="000000" w:themeColor="text1"/>
          <w:sz w:val="20"/>
          <w:szCs w:val="20"/>
        </w:rPr>
      </w:pPr>
      <w:r w:rsidRPr="00E36422">
        <w:rPr>
          <w:rFonts w:ascii="Times New Roman" w:eastAsia="Times New Roman" w:hAnsi="Times New Roman" w:cs="Times New Roman"/>
          <w:noProof/>
          <w:color w:val="000000" w:themeColor="text1"/>
          <w:sz w:val="20"/>
          <w:szCs w:val="20"/>
        </w:rPr>
        <w:drawing>
          <wp:inline distT="0" distB="0" distL="0" distR="0" wp14:anchorId="365A1062" wp14:editId="38334882">
            <wp:extent cx="6210726" cy="5002001"/>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6210726" cy="5002001"/>
                    </a:xfrm>
                    <a:prstGeom prst="rect">
                      <a:avLst/>
                    </a:prstGeom>
                    <a:ln/>
                  </pic:spPr>
                </pic:pic>
              </a:graphicData>
            </a:graphic>
          </wp:inline>
        </w:drawing>
      </w:r>
    </w:p>
    <w:p w14:paraId="6C7A86AE" w14:textId="77777777" w:rsidR="00B936D9" w:rsidRPr="00E36422" w:rsidRDefault="00B936D9" w:rsidP="00B936D9">
      <w:pPr>
        <w:spacing w:line="360" w:lineRule="auto"/>
        <w:jc w:val="both"/>
        <w:rPr>
          <w:rFonts w:ascii="Times New Roman" w:eastAsia="Times New Roman" w:hAnsi="Times New Roman" w:cs="Times New Roman"/>
          <w:b/>
          <w:color w:val="000000" w:themeColor="text1"/>
        </w:rPr>
      </w:pPr>
      <w:r w:rsidRPr="00E36422">
        <w:rPr>
          <w:rFonts w:ascii="Times New Roman" w:eastAsia="Times New Roman" w:hAnsi="Times New Roman" w:cs="Times New Roman"/>
          <w:b/>
          <w:color w:val="000000" w:themeColor="text1"/>
        </w:rPr>
        <w:t>Extended Data Figure 1:</w:t>
      </w:r>
      <w:r w:rsidRPr="00E36422">
        <w:rPr>
          <w:rFonts w:ascii="Times New Roman" w:eastAsia="Times New Roman" w:hAnsi="Times New Roman" w:cs="Times New Roman"/>
          <w:color w:val="000000" w:themeColor="text1"/>
        </w:rPr>
        <w:t xml:space="preserve"> NMR analysis and modelling reveal the binding site of MJ040 in the C-terminal of monomeric </w:t>
      </w:r>
      <w:r w:rsidRPr="00E36422">
        <w:rPr>
          <w:rFonts w:ascii="Times New Roman" w:eastAsia="Times New Roman" w:hAnsi="Times New Roman" w:cs="Times New Roman"/>
          <w:b/>
          <w:color w:val="000000" w:themeColor="text1"/>
        </w:rPr>
        <w:t>Aβ</w:t>
      </w:r>
      <w:r w:rsidRPr="00E36422">
        <w:rPr>
          <w:rFonts w:ascii="Times New Roman" w:eastAsia="Times New Roman" w:hAnsi="Times New Roman" w:cs="Times New Roman"/>
          <w:b/>
          <w:color w:val="000000" w:themeColor="text1"/>
          <w:vertAlign w:val="subscript"/>
        </w:rPr>
        <w:t>42</w:t>
      </w:r>
      <w:r w:rsidRPr="00E36422">
        <w:rPr>
          <w:rFonts w:ascii="Times New Roman" w:eastAsia="Times New Roman" w:hAnsi="Times New Roman" w:cs="Times New Roman"/>
          <w:color w:val="000000" w:themeColor="text1"/>
        </w:rPr>
        <w:t xml:space="preserve">. a) </w:t>
      </w:r>
      <w:r w:rsidRPr="00E36422">
        <w:rPr>
          <w:rFonts w:ascii="Times New Roman" w:eastAsia="Times New Roman" w:hAnsi="Times New Roman" w:cs="Times New Roman"/>
          <w:color w:val="000000" w:themeColor="text1"/>
          <w:vertAlign w:val="superscript"/>
        </w:rPr>
        <w:t>1</w:t>
      </w:r>
      <w:r w:rsidRPr="00E36422">
        <w:rPr>
          <w:rFonts w:ascii="Times New Roman" w:eastAsia="Times New Roman" w:hAnsi="Times New Roman" w:cs="Times New Roman"/>
          <w:color w:val="000000" w:themeColor="text1"/>
        </w:rPr>
        <w:t>H-</w:t>
      </w:r>
      <w:r w:rsidRPr="00E36422">
        <w:rPr>
          <w:rFonts w:ascii="Times New Roman" w:eastAsia="Times New Roman" w:hAnsi="Times New Roman" w:cs="Times New Roman"/>
          <w:color w:val="000000" w:themeColor="text1"/>
          <w:vertAlign w:val="superscript"/>
        </w:rPr>
        <w:t>15</w:t>
      </w:r>
      <w:r w:rsidRPr="00E36422">
        <w:rPr>
          <w:rFonts w:ascii="Times New Roman" w:eastAsia="Times New Roman" w:hAnsi="Times New Roman" w:cs="Times New Roman"/>
          <w:color w:val="000000" w:themeColor="text1"/>
        </w:rPr>
        <w:t>N-HSQC spectrum of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 (100 µM) measured (50 </w:t>
      </w:r>
      <w:proofErr w:type="spellStart"/>
      <w:r w:rsidRPr="00E36422">
        <w:rPr>
          <w:rFonts w:ascii="Times New Roman" w:eastAsia="Times New Roman" w:hAnsi="Times New Roman" w:cs="Times New Roman"/>
          <w:color w:val="000000" w:themeColor="text1"/>
        </w:rPr>
        <w:t>mM</w:t>
      </w:r>
      <w:proofErr w:type="spellEnd"/>
      <w:r w:rsidRPr="00E36422">
        <w:rPr>
          <w:rFonts w:ascii="Times New Roman" w:eastAsia="Times New Roman" w:hAnsi="Times New Roman" w:cs="Times New Roman"/>
          <w:color w:val="000000" w:themeColor="text1"/>
        </w:rPr>
        <w:t xml:space="preserve"> phosphate buffer, pH 7.5, 2% DMSO) in the presence (green) or absence (red) of MJ040X (500 µM). Both experimental conditions included 2% DMSO. The spectra were measured at 278K using an NMR spectrometer operating at the </w:t>
      </w:r>
      <w:r w:rsidRPr="00E36422">
        <w:rPr>
          <w:rFonts w:ascii="Times New Roman" w:eastAsia="Times New Roman" w:hAnsi="Times New Roman" w:cs="Times New Roman"/>
          <w:color w:val="000000" w:themeColor="text1"/>
          <w:vertAlign w:val="superscript"/>
        </w:rPr>
        <w:t>1</w:t>
      </w:r>
      <w:r w:rsidRPr="00E36422">
        <w:rPr>
          <w:rFonts w:ascii="Times New Roman" w:eastAsia="Times New Roman" w:hAnsi="Times New Roman" w:cs="Times New Roman"/>
          <w:color w:val="000000" w:themeColor="text1"/>
        </w:rPr>
        <w:t xml:space="preserve">H frequency of 700 </w:t>
      </w:r>
      <w:proofErr w:type="spellStart"/>
      <w:r w:rsidRPr="00E36422">
        <w:rPr>
          <w:rFonts w:ascii="Times New Roman" w:eastAsia="Times New Roman" w:hAnsi="Times New Roman" w:cs="Times New Roman"/>
          <w:color w:val="000000" w:themeColor="text1"/>
        </w:rPr>
        <w:t>MHz.</w:t>
      </w:r>
      <w:proofErr w:type="spellEnd"/>
      <w:r w:rsidRPr="00E36422">
        <w:rPr>
          <w:rFonts w:ascii="Times New Roman" w:eastAsia="Times New Roman" w:hAnsi="Times New Roman" w:cs="Times New Roman"/>
          <w:color w:val="000000" w:themeColor="text1"/>
        </w:rPr>
        <w:t xml:space="preserve"> No significant chemical shift changes were observed upon addition of MJ040X to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 However, the interaction with the molecule induced </w:t>
      </w:r>
      <w:r w:rsidRPr="00E36422">
        <w:rPr>
          <w:rFonts w:ascii="Times New Roman" w:eastAsia="Times New Roman" w:hAnsi="Times New Roman" w:cs="Times New Roman"/>
          <w:i/>
          <w:color w:val="000000" w:themeColor="text1"/>
        </w:rPr>
        <w:t>broadening</w:t>
      </w:r>
      <w:r w:rsidRPr="00E36422">
        <w:rPr>
          <w:rFonts w:ascii="Times New Roman" w:eastAsia="Times New Roman" w:hAnsi="Times New Roman" w:cs="Times New Roman"/>
          <w:color w:val="000000" w:themeColor="text1"/>
        </w:rPr>
        <w:t xml:space="preserve"> of the resonances, with strongest effects in I/I</w:t>
      </w:r>
      <w:r w:rsidRPr="00E36422">
        <w:rPr>
          <w:rFonts w:ascii="Times New Roman" w:eastAsia="Times New Roman" w:hAnsi="Times New Roman" w:cs="Times New Roman"/>
          <w:color w:val="000000" w:themeColor="text1"/>
          <w:vertAlign w:val="subscript"/>
        </w:rPr>
        <w:t>o</w:t>
      </w:r>
      <w:r w:rsidRPr="00E36422">
        <w:rPr>
          <w:rFonts w:ascii="Times New Roman" w:eastAsia="Times New Roman" w:hAnsi="Times New Roman" w:cs="Times New Roman"/>
          <w:color w:val="000000" w:themeColor="text1"/>
        </w:rPr>
        <w:t xml:space="preserve"> found in the C-terminal region (specifically in residues E31 and G37).</w:t>
      </w:r>
      <w:r w:rsidRPr="00E36422">
        <w:rPr>
          <w:rFonts w:ascii="Times New Roman" w:eastAsia="Times New Roman" w:hAnsi="Times New Roman" w:cs="Times New Roman"/>
          <w:b/>
          <w:i/>
          <w:color w:val="000000" w:themeColor="text1"/>
        </w:rPr>
        <w:t xml:space="preserve"> </w:t>
      </w:r>
      <w:r w:rsidRPr="00E36422">
        <w:rPr>
          <w:rFonts w:ascii="Times New Roman" w:eastAsia="Times New Roman" w:hAnsi="Times New Roman" w:cs="Times New Roman"/>
          <w:color w:val="000000" w:themeColor="text1"/>
        </w:rPr>
        <w:t xml:space="preserve">Assignments of the resonances in </w:t>
      </w:r>
      <w:r w:rsidRPr="00E36422">
        <w:rPr>
          <w:rFonts w:ascii="Times New Roman" w:eastAsia="Times New Roman" w:hAnsi="Times New Roman" w:cs="Times New Roman"/>
          <w:color w:val="000000" w:themeColor="text1"/>
          <w:vertAlign w:val="superscript"/>
        </w:rPr>
        <w:t>1</w:t>
      </w:r>
      <w:r w:rsidRPr="00E36422">
        <w:rPr>
          <w:rFonts w:ascii="Times New Roman" w:eastAsia="Times New Roman" w:hAnsi="Times New Roman" w:cs="Times New Roman"/>
          <w:color w:val="000000" w:themeColor="text1"/>
        </w:rPr>
        <w:t>H -</w:t>
      </w:r>
      <w:r w:rsidRPr="00E36422">
        <w:rPr>
          <w:rFonts w:ascii="Times New Roman" w:eastAsia="Times New Roman" w:hAnsi="Times New Roman" w:cs="Times New Roman"/>
          <w:color w:val="000000" w:themeColor="text1"/>
          <w:vertAlign w:val="superscript"/>
        </w:rPr>
        <w:t>15</w:t>
      </w:r>
      <w:r w:rsidRPr="00E36422">
        <w:rPr>
          <w:rFonts w:ascii="Times New Roman" w:eastAsia="Times New Roman" w:hAnsi="Times New Roman" w:cs="Times New Roman"/>
          <w:color w:val="000000" w:themeColor="text1"/>
        </w:rPr>
        <w:t>N -HSQC spectra of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 were derived from a previous study.</w:t>
      </w:r>
      <w:r w:rsidRPr="00E36422">
        <w:rPr>
          <w:rFonts w:ascii="Times New Roman" w:eastAsia="Times New Roman" w:hAnsi="Times New Roman" w:cs="Times New Roman"/>
          <w:color w:val="000000" w:themeColor="text1"/>
        </w:rPr>
        <w:fldChar w:fldCharType="begin"/>
      </w:r>
      <w:r w:rsidRPr="00E36422">
        <w:rPr>
          <w:rFonts w:ascii="Times New Roman" w:eastAsia="Times New Roman" w:hAnsi="Times New Roman" w:cs="Times New Roman"/>
          <w:color w:val="000000" w:themeColor="text1"/>
        </w:rPr>
        <w:instrText xml:space="preserve"> ADDIN EN.CITE &lt;EndNote&gt;&lt;Cite&gt;&lt;Author&gt;Fusco&lt;/Author&gt;&lt;Year&gt;2018&lt;/Year&gt;&lt;RecNum&gt;1&lt;/RecNum&gt;&lt;DisplayText&gt;&lt;style face="superscript"&gt;69&lt;/style&gt;&lt;/DisplayText&gt;&lt;record&gt;&lt;rec-number&gt;1&lt;/rec-number&gt;&lt;foreign-keys&gt;&lt;key app="EN" db-id="0stwrzdvh22ewqexrvhxraf4aszxefpvdxar" timestamp="1603158603"&gt;1&lt;/key&gt;&lt;/foreign-keys&gt;&lt;ref-type name="Journal Article"&gt;17&lt;/ref-type&gt;&lt;contributors&gt;&lt;authors&gt;&lt;author&gt;Fusco, G.&lt;/author&gt;&lt;author&gt;Sanz-Hernandez, M.&lt;/author&gt;&lt;author&gt;Ruggeri, F. S.&lt;/author&gt;&lt;author&gt;Vendruscolo, M.&lt;/author&gt;&lt;author&gt;Dobson, C. M.&lt;/author&gt;&lt;author&gt;De Simone, A.&lt;/author&gt;&lt;/authors&gt;&lt;/contributors&gt;&lt;auth-address&gt;Department of Life Sciences, Imperial College London, London, SW7 2AZ, United Kingdom.&amp;#xD;Centre for Misfolding Diseases, Department of Chemistry, University of Cambridge, Cambridge, CB2 1EW, United Kingdom.&lt;/auth-address&gt;&lt;titles&gt;&lt;title&gt;Molecular determinants of the interaction of EGCG with ordered and disordered proteins&lt;/title&gt;&lt;secondary-title&gt;Biopolymers&lt;/secondary-title&gt;&lt;/titles&gt;&lt;periodical&gt;&lt;full-title&gt;Biopolymers&lt;/full-title&gt;&lt;/periodical&gt;&lt;pages&gt;e23117&lt;/pages&gt;&lt;volume&gt;109&lt;/volume&gt;&lt;number&gt;10&lt;/number&gt;&lt;edition&gt;2018/04/01&lt;/edition&gt;&lt;keywords&gt;&lt;keyword&gt;Catechin/*analogs &amp;amp; derivatives/chemistry/metabolism&lt;/keyword&gt;&lt;keyword&gt;Humans&lt;/keyword&gt;&lt;keyword&gt;Intrinsically Disordered Proteins/*chemistry/*metabolism&lt;/keyword&gt;&lt;keyword&gt;Muramidase/chemistry&lt;/keyword&gt;&lt;keyword&gt;Protein Binding&lt;/keyword&gt;&lt;keyword&gt;alpha-Synuclein/chemistry&lt;/keyword&gt;&lt;/keywords&gt;&lt;dates&gt;&lt;year&gt;2018&lt;/year&gt;&lt;pub-dates&gt;&lt;date&gt;Aug&lt;/date&gt;&lt;/pub-dates&gt;&lt;/dates&gt;&lt;isbn&gt;1097-0282 (Electronic)&amp;#xD;0006-3525 (Linking)&lt;/isbn&gt;&lt;accession-num&gt;29603125&lt;/accession-num&gt;&lt;urls&gt;&lt;related-urls&gt;&lt;url&gt;https://www.ncbi.nlm.nih.gov/pubmed/29603125&lt;/url&gt;&lt;/related-urls&gt;&lt;/urls&gt;&lt;electronic-resource-num&gt;10.1002/bip.23117&lt;/electronic-resource-num&gt;&lt;/record&gt;&lt;/Cite&gt;&lt;/EndNote&gt;</w:instrText>
      </w:r>
      <w:r w:rsidRPr="00E36422">
        <w:rPr>
          <w:rFonts w:ascii="Times New Roman" w:eastAsia="Times New Roman" w:hAnsi="Times New Roman" w:cs="Times New Roman"/>
          <w:color w:val="000000" w:themeColor="text1"/>
        </w:rPr>
        <w:fldChar w:fldCharType="separate"/>
      </w:r>
      <w:r w:rsidRPr="00E36422">
        <w:rPr>
          <w:rFonts w:ascii="Times New Roman" w:eastAsia="Times New Roman" w:hAnsi="Times New Roman" w:cs="Times New Roman"/>
          <w:noProof/>
          <w:color w:val="000000" w:themeColor="text1"/>
          <w:vertAlign w:val="superscript"/>
        </w:rPr>
        <w:t>69</w:t>
      </w:r>
      <w:r w:rsidRPr="00E36422">
        <w:rPr>
          <w:rFonts w:ascii="Times New Roman" w:eastAsia="Times New Roman" w:hAnsi="Times New Roman" w:cs="Times New Roman"/>
          <w:color w:val="000000" w:themeColor="text1"/>
        </w:rPr>
        <w:fldChar w:fldCharType="end"/>
      </w:r>
      <w:r w:rsidRPr="00E36422">
        <w:rPr>
          <w:rFonts w:ascii="Times New Roman" w:eastAsia="Times New Roman" w:hAnsi="Times New Roman" w:cs="Times New Roman"/>
          <w:color w:val="000000" w:themeColor="text1"/>
        </w:rPr>
        <w:t xml:space="preserve">  b) Modelling of the interaction between MJ040X and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 conformations using an approach to identify the binding modes of small molecules with this protein</w:t>
      </w:r>
      <w:r w:rsidRPr="00E36422">
        <w:rPr>
          <w:rFonts w:ascii="Times New Roman" w:eastAsia="Times New Roman" w:hAnsi="Times New Roman" w:cs="Times New Roman"/>
          <w:color w:val="000000" w:themeColor="text1"/>
          <w:vertAlign w:val="superscript"/>
        </w:rPr>
        <w:t>65</w:t>
      </w:r>
      <w:r w:rsidRPr="00E36422">
        <w:rPr>
          <w:rFonts w:ascii="Times New Roman" w:eastAsia="Times New Roman" w:hAnsi="Times New Roman" w:cs="Times New Roman"/>
          <w:color w:val="000000" w:themeColor="text1"/>
        </w:rPr>
        <w:t>. The programme FRED</w:t>
      </w:r>
      <w:r w:rsidRPr="00E36422">
        <w:rPr>
          <w:rFonts w:ascii="Times New Roman" w:eastAsia="Times New Roman" w:hAnsi="Times New Roman" w:cs="Times New Roman"/>
          <w:color w:val="000000" w:themeColor="text1"/>
        </w:rPr>
        <w:fldChar w:fldCharType="begin"/>
      </w:r>
      <w:r w:rsidRPr="00E36422">
        <w:rPr>
          <w:rFonts w:ascii="Times New Roman" w:eastAsia="Times New Roman" w:hAnsi="Times New Roman" w:cs="Times New Roman"/>
          <w:color w:val="000000" w:themeColor="text1"/>
        </w:rPr>
        <w:instrText xml:space="preserve"> ADDIN EN.CITE &lt;EndNote&gt;&lt;Cite&gt;&lt;Author&gt;McGann&lt;/Author&gt;&lt;Year&gt;2011&lt;/Year&gt;&lt;RecNum&gt;2&lt;/RecNum&gt;&lt;DisplayText&gt;&lt;style face="superscript"&gt;68&lt;/style&gt;&lt;/DisplayText&gt;&lt;record&gt;&lt;rec-number&gt;2&lt;/rec-number&gt;&lt;foreign-keys&gt;&lt;key app="EN" db-id="0stwrzdvh22ewqexrvhxraf4aszxefpvdxar" timestamp="1603158684"&gt;2&lt;/key&gt;&lt;/foreign-keys&gt;&lt;ref-type name="Journal Article"&gt;17&lt;/ref-type&gt;&lt;contributors&gt;&lt;authors&gt;&lt;author&gt;McGann, M.&lt;/author&gt;&lt;/authors&gt;&lt;/contributors&gt;&lt;auth-address&gt;OpenEye Scientific Software, Santa Fe, New Mexico 87508, United States. mcgann@eyesopen.com&lt;/auth-address&gt;&lt;titles&gt;&lt;title&gt;FRED pose prediction and virtual screening accuracy&lt;/title&gt;&lt;secondary-title&gt;J Chem Inf Model&lt;/secondary-title&gt;&lt;/titles&gt;&lt;periodical&gt;&lt;full-title&gt;J Chem Inf Model&lt;/full-title&gt;&lt;/periodical&gt;&lt;pages&gt;578-96&lt;/pages&gt;&lt;volume&gt;51&lt;/volume&gt;&lt;number&gt;3&lt;/number&gt;&lt;edition&gt;2011/02/18&lt;/edition&gt;&lt;dates&gt;&lt;year&gt;2011&lt;/year&gt;&lt;pub-dates&gt;&lt;date&gt;Mar 28&lt;/date&gt;&lt;/pub-dates&gt;&lt;/dates&gt;&lt;isbn&gt;1549-960X (Electronic)&amp;#xD;1549-9596 (Linking)&lt;/isbn&gt;&lt;accession-num&gt;21323318&lt;/accession-num&gt;&lt;urls&gt;&lt;related-urls&gt;&lt;url&gt;https://www.ncbi.nlm.nih.gov/pubmed/21323318&lt;/url&gt;&lt;/related-urls&gt;&lt;/urls&gt;&lt;electronic-resource-num&gt;10.1021/ci100436p&lt;/electronic-resource-num&gt;&lt;/record&gt;&lt;/Cite&gt;&lt;/EndNote&gt;</w:instrText>
      </w:r>
      <w:r w:rsidRPr="00E36422">
        <w:rPr>
          <w:rFonts w:ascii="Times New Roman" w:eastAsia="Times New Roman" w:hAnsi="Times New Roman" w:cs="Times New Roman"/>
          <w:color w:val="000000" w:themeColor="text1"/>
        </w:rPr>
        <w:fldChar w:fldCharType="separate"/>
      </w:r>
      <w:r w:rsidRPr="00E36422">
        <w:rPr>
          <w:rFonts w:ascii="Times New Roman" w:eastAsia="Times New Roman" w:hAnsi="Times New Roman" w:cs="Times New Roman"/>
          <w:noProof/>
          <w:color w:val="000000" w:themeColor="text1"/>
          <w:vertAlign w:val="superscript"/>
        </w:rPr>
        <w:t>68</w:t>
      </w:r>
      <w:r w:rsidRPr="00E36422">
        <w:rPr>
          <w:rFonts w:ascii="Times New Roman" w:eastAsia="Times New Roman" w:hAnsi="Times New Roman" w:cs="Times New Roman"/>
          <w:color w:val="000000" w:themeColor="text1"/>
        </w:rPr>
        <w:fldChar w:fldCharType="end"/>
      </w:r>
      <w:r w:rsidRPr="00E36422">
        <w:rPr>
          <w:rFonts w:ascii="Times New Roman" w:eastAsia="Times New Roman" w:hAnsi="Times New Roman" w:cs="Times New Roman"/>
          <w:color w:val="000000" w:themeColor="text1"/>
        </w:rPr>
        <w:t xml:space="preserve"> was used to perform the docking of the molecule in these hot spots. c) Variation of signal intensity over the sequence of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 in the presence of MJ040X (intensity of the green resonances (with MJ040X)/intensity of the background Aβ</w:t>
      </w:r>
      <w:r w:rsidRPr="00E36422">
        <w:rPr>
          <w:rFonts w:ascii="Times New Roman" w:eastAsia="Times New Roman" w:hAnsi="Times New Roman" w:cs="Times New Roman"/>
          <w:color w:val="000000" w:themeColor="text1"/>
          <w:vertAlign w:val="subscript"/>
        </w:rPr>
        <w:t xml:space="preserve">42 </w:t>
      </w:r>
      <w:r w:rsidRPr="00E36422">
        <w:rPr>
          <w:rFonts w:ascii="Times New Roman" w:eastAsia="Times New Roman" w:hAnsi="Times New Roman" w:cs="Times New Roman"/>
          <w:color w:val="000000" w:themeColor="text1"/>
        </w:rPr>
        <w:t>resonance in a).</w:t>
      </w:r>
    </w:p>
    <w:p w14:paraId="338DB161" w14:textId="77777777" w:rsidR="00B936D9" w:rsidRPr="00E36422" w:rsidRDefault="00B936D9" w:rsidP="00B936D9">
      <w:pPr>
        <w:jc w:val="center"/>
        <w:rPr>
          <w:rFonts w:ascii="Times New Roman" w:eastAsia="Times New Roman" w:hAnsi="Times New Roman" w:cs="Times New Roman"/>
          <w:color w:val="000000" w:themeColor="text1"/>
        </w:rPr>
      </w:pPr>
    </w:p>
    <w:p w14:paraId="5DDAACEE" w14:textId="77777777" w:rsidR="00B936D9" w:rsidRPr="00E36422" w:rsidRDefault="00B936D9" w:rsidP="00B936D9">
      <w:pPr>
        <w:rPr>
          <w:rFonts w:ascii="Times New Roman" w:eastAsia="Times New Roman" w:hAnsi="Times New Roman" w:cs="Times New Roman"/>
          <w:color w:val="000000" w:themeColor="text1"/>
        </w:rPr>
      </w:pPr>
      <w:r w:rsidRPr="00E36422">
        <w:rPr>
          <w:noProof/>
          <w:color w:val="000000" w:themeColor="text1"/>
        </w:rPr>
        <w:drawing>
          <wp:inline distT="0" distB="0" distL="0" distR="0" wp14:anchorId="227172F4" wp14:editId="7553B84E">
            <wp:extent cx="6065520" cy="3197225"/>
            <wp:effectExtent l="0" t="0" r="0" b="0"/>
            <wp:docPr id="49" name="image2.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graphical user interface&#10;&#10;Description automatically generated"/>
                    <pic:cNvPicPr preferRelativeResize="0"/>
                  </pic:nvPicPr>
                  <pic:blipFill>
                    <a:blip r:embed="rId5"/>
                    <a:srcRect/>
                    <a:stretch>
                      <a:fillRect/>
                    </a:stretch>
                  </pic:blipFill>
                  <pic:spPr>
                    <a:xfrm>
                      <a:off x="0" y="0"/>
                      <a:ext cx="6065520" cy="3197225"/>
                    </a:xfrm>
                    <a:prstGeom prst="rect">
                      <a:avLst/>
                    </a:prstGeom>
                    <a:ln/>
                  </pic:spPr>
                </pic:pic>
              </a:graphicData>
            </a:graphic>
          </wp:inline>
        </w:drawing>
      </w:r>
    </w:p>
    <w:p w14:paraId="2929065F" w14:textId="77777777" w:rsidR="00B936D9" w:rsidRPr="00E36422" w:rsidRDefault="00B936D9" w:rsidP="00B936D9">
      <w:pPr>
        <w:pStyle w:val="Heading3"/>
        <w:spacing w:line="360" w:lineRule="auto"/>
        <w:jc w:val="both"/>
        <w:rPr>
          <w:rFonts w:ascii="Times New Roman" w:eastAsia="Times New Roman" w:hAnsi="Times New Roman" w:cs="Times New Roman"/>
          <w:color w:val="000000" w:themeColor="text1"/>
          <w:sz w:val="22"/>
          <w:szCs w:val="22"/>
          <w:highlight w:val="white"/>
        </w:rPr>
      </w:pPr>
      <w:bookmarkStart w:id="0" w:name="_heading=h.gjdgxs" w:colFirst="0" w:colLast="0"/>
      <w:bookmarkEnd w:id="0"/>
      <w:r w:rsidRPr="00E36422">
        <w:rPr>
          <w:rFonts w:ascii="Times New Roman" w:eastAsia="Times New Roman" w:hAnsi="Times New Roman" w:cs="Times New Roman"/>
          <w:b/>
          <w:color w:val="000000" w:themeColor="text1"/>
          <w:sz w:val="22"/>
          <w:szCs w:val="22"/>
        </w:rPr>
        <w:t>Extended Data Figure 2</w:t>
      </w:r>
      <w:r w:rsidRPr="00E36422">
        <w:rPr>
          <w:rFonts w:ascii="Times New Roman" w:eastAsia="Times New Roman" w:hAnsi="Times New Roman" w:cs="Times New Roman"/>
          <w:color w:val="000000" w:themeColor="text1"/>
          <w:sz w:val="22"/>
          <w:szCs w:val="22"/>
          <w:highlight w:val="white"/>
        </w:rPr>
        <w:t xml:space="preserve">: </w:t>
      </w:r>
      <w:r w:rsidRPr="00E36422">
        <w:rPr>
          <w:rFonts w:ascii="Times New Roman" w:eastAsia="Times New Roman" w:hAnsi="Times New Roman" w:cs="Times New Roman"/>
          <w:b/>
          <w:color w:val="000000" w:themeColor="text1"/>
          <w:sz w:val="22"/>
          <w:szCs w:val="22"/>
          <w:highlight w:val="white"/>
        </w:rPr>
        <w:t xml:space="preserve">MJ040X treatment increases fluorescence lifetime of </w:t>
      </w:r>
      <w:proofErr w:type="spellStart"/>
      <w:r w:rsidRPr="00E36422">
        <w:rPr>
          <w:rFonts w:ascii="Times New Roman" w:eastAsia="Times New Roman" w:hAnsi="Times New Roman" w:cs="Times New Roman"/>
          <w:b/>
          <w:color w:val="000000" w:themeColor="text1"/>
          <w:sz w:val="22"/>
          <w:szCs w:val="22"/>
          <w:highlight w:val="white"/>
        </w:rPr>
        <w:t>mCherry</w:t>
      </w:r>
      <w:proofErr w:type="spellEnd"/>
      <w:r w:rsidRPr="00E36422">
        <w:rPr>
          <w:rFonts w:ascii="Times New Roman" w:eastAsia="Times New Roman" w:hAnsi="Times New Roman" w:cs="Times New Roman"/>
          <w:b/>
          <w:color w:val="000000" w:themeColor="text1"/>
          <w:sz w:val="22"/>
          <w:szCs w:val="22"/>
          <w:highlight w:val="white"/>
        </w:rPr>
        <w:t>-</w:t>
      </w:r>
      <w:r w:rsidRPr="00E36422">
        <w:rPr>
          <w:rFonts w:ascii="Times New Roman" w:eastAsia="Times New Roman" w:hAnsi="Times New Roman" w:cs="Times New Roman"/>
          <w:b/>
          <w:color w:val="000000" w:themeColor="text1"/>
          <w:sz w:val="22"/>
          <w:szCs w:val="22"/>
        </w:rPr>
        <w:t>Aβ</w:t>
      </w:r>
      <w:r w:rsidRPr="00E36422">
        <w:rPr>
          <w:rFonts w:ascii="Times New Roman" w:eastAsia="Times New Roman" w:hAnsi="Times New Roman" w:cs="Times New Roman"/>
          <w:b/>
          <w:color w:val="000000" w:themeColor="text1"/>
          <w:sz w:val="22"/>
          <w:szCs w:val="22"/>
          <w:vertAlign w:val="subscript"/>
        </w:rPr>
        <w:t>42</w:t>
      </w:r>
      <w:r w:rsidRPr="00E36422">
        <w:rPr>
          <w:rFonts w:ascii="Times New Roman" w:eastAsia="Times New Roman" w:hAnsi="Times New Roman" w:cs="Times New Roman"/>
          <w:b/>
          <w:color w:val="000000" w:themeColor="text1"/>
          <w:sz w:val="22"/>
          <w:szCs w:val="22"/>
          <w:highlight w:val="white"/>
        </w:rPr>
        <w:t xml:space="preserve"> HEK cells</w:t>
      </w:r>
      <w:r w:rsidRPr="00E36422">
        <w:rPr>
          <w:rFonts w:ascii="Times New Roman" w:eastAsia="Times New Roman" w:hAnsi="Times New Roman" w:cs="Times New Roman"/>
          <w:color w:val="000000" w:themeColor="text1"/>
          <w:sz w:val="22"/>
          <w:szCs w:val="22"/>
          <w:highlight w:val="white"/>
        </w:rPr>
        <w:t xml:space="preserve">. </w:t>
      </w:r>
      <w:r w:rsidRPr="00E36422">
        <w:rPr>
          <w:rFonts w:ascii="Times New Roman" w:eastAsia="Times New Roman" w:hAnsi="Times New Roman" w:cs="Times New Roman"/>
          <w:color w:val="000000" w:themeColor="text1"/>
          <w:sz w:val="22"/>
          <w:szCs w:val="22"/>
        </w:rPr>
        <w:t xml:space="preserve">Intensity-averaged fluorescence lifetimes of </w:t>
      </w:r>
      <w:proofErr w:type="spellStart"/>
      <w:r w:rsidRPr="00E36422">
        <w:rPr>
          <w:rFonts w:ascii="Times New Roman" w:eastAsia="Times New Roman" w:hAnsi="Times New Roman" w:cs="Times New Roman"/>
          <w:color w:val="000000" w:themeColor="text1"/>
          <w:sz w:val="22"/>
          <w:szCs w:val="22"/>
        </w:rPr>
        <w:t>mCherry</w:t>
      </w:r>
      <w:proofErr w:type="spellEnd"/>
      <w:r w:rsidRPr="00E36422">
        <w:rPr>
          <w:rFonts w:ascii="Times New Roman" w:eastAsia="Times New Roman" w:hAnsi="Times New Roman" w:cs="Times New Roman"/>
          <w:color w:val="000000" w:themeColor="text1"/>
          <w:sz w:val="22"/>
          <w:szCs w:val="22"/>
        </w:rPr>
        <w:t>-Aβ</w:t>
      </w:r>
      <w:r w:rsidRPr="00E36422">
        <w:rPr>
          <w:rFonts w:ascii="Times New Roman" w:eastAsia="Times New Roman" w:hAnsi="Times New Roman" w:cs="Times New Roman"/>
          <w:color w:val="000000" w:themeColor="text1"/>
          <w:sz w:val="22"/>
          <w:szCs w:val="22"/>
          <w:vertAlign w:val="subscript"/>
        </w:rPr>
        <w:t>42</w:t>
      </w:r>
      <w:r w:rsidRPr="00E36422">
        <w:rPr>
          <w:rFonts w:ascii="Times New Roman" w:eastAsia="Times New Roman" w:hAnsi="Times New Roman" w:cs="Times New Roman"/>
          <w:color w:val="000000" w:themeColor="text1"/>
          <w:sz w:val="22"/>
          <w:szCs w:val="22"/>
        </w:rPr>
        <w:t xml:space="preserve"> cells treated with DMSO (control) or MJ040X (2.5 </w:t>
      </w:r>
      <w:proofErr w:type="spellStart"/>
      <w:r w:rsidRPr="00E36422">
        <w:rPr>
          <w:rFonts w:ascii="Times New Roman" w:eastAsia="Times New Roman" w:hAnsi="Times New Roman" w:cs="Times New Roman"/>
          <w:color w:val="000000" w:themeColor="text1"/>
          <w:sz w:val="22"/>
          <w:szCs w:val="22"/>
        </w:rPr>
        <w:t>μM</w:t>
      </w:r>
      <w:proofErr w:type="spellEnd"/>
      <w:r w:rsidRPr="00E36422">
        <w:rPr>
          <w:rFonts w:ascii="Times New Roman" w:eastAsia="Times New Roman" w:hAnsi="Times New Roman" w:cs="Times New Roman"/>
          <w:color w:val="000000" w:themeColor="text1"/>
          <w:sz w:val="22"/>
          <w:szCs w:val="22"/>
        </w:rPr>
        <w:t xml:space="preserve">) for 48 h. The intensity-averaged fluorescence lifetimes are 1467 ± 8 </w:t>
      </w:r>
      <w:proofErr w:type="spellStart"/>
      <w:r w:rsidRPr="00E36422">
        <w:rPr>
          <w:rFonts w:ascii="Times New Roman" w:eastAsia="Times New Roman" w:hAnsi="Times New Roman" w:cs="Times New Roman"/>
          <w:color w:val="000000" w:themeColor="text1"/>
          <w:sz w:val="22"/>
          <w:szCs w:val="22"/>
        </w:rPr>
        <w:t>ps</w:t>
      </w:r>
      <w:proofErr w:type="spellEnd"/>
      <w:r w:rsidRPr="00E36422">
        <w:rPr>
          <w:rFonts w:ascii="Times New Roman" w:eastAsia="Times New Roman" w:hAnsi="Times New Roman" w:cs="Times New Roman"/>
          <w:color w:val="000000" w:themeColor="text1"/>
          <w:sz w:val="22"/>
          <w:szCs w:val="22"/>
        </w:rPr>
        <w:t xml:space="preserve"> and 1505 ± 8 </w:t>
      </w:r>
      <w:proofErr w:type="spellStart"/>
      <w:r w:rsidRPr="00E36422">
        <w:rPr>
          <w:rFonts w:ascii="Times New Roman" w:eastAsia="Times New Roman" w:hAnsi="Times New Roman" w:cs="Times New Roman"/>
          <w:color w:val="000000" w:themeColor="text1"/>
          <w:sz w:val="22"/>
          <w:szCs w:val="22"/>
        </w:rPr>
        <w:t>ps</w:t>
      </w:r>
      <w:proofErr w:type="spellEnd"/>
      <w:r w:rsidRPr="00E36422">
        <w:rPr>
          <w:rFonts w:ascii="Times New Roman" w:eastAsia="Times New Roman" w:hAnsi="Times New Roman" w:cs="Times New Roman"/>
          <w:color w:val="000000" w:themeColor="text1"/>
          <w:sz w:val="22"/>
          <w:szCs w:val="22"/>
        </w:rPr>
        <w:t>, for the control and MJ040X-treated cells, respectively, confirming that MJ040X does inhibit the aggregation of Aβ</w:t>
      </w:r>
      <w:r w:rsidRPr="00E36422">
        <w:rPr>
          <w:rFonts w:ascii="Times New Roman" w:eastAsia="Times New Roman" w:hAnsi="Times New Roman" w:cs="Times New Roman"/>
          <w:color w:val="000000" w:themeColor="text1"/>
          <w:sz w:val="22"/>
          <w:szCs w:val="22"/>
          <w:vertAlign w:val="subscript"/>
        </w:rPr>
        <w:t>42</w:t>
      </w:r>
      <w:r w:rsidRPr="00E36422">
        <w:rPr>
          <w:rFonts w:ascii="Times New Roman" w:eastAsia="Times New Roman" w:hAnsi="Times New Roman" w:cs="Times New Roman"/>
          <w:color w:val="000000" w:themeColor="text1"/>
          <w:sz w:val="22"/>
          <w:szCs w:val="22"/>
        </w:rPr>
        <w:t xml:space="preserve"> inside the cell. The diagram displays mean fluorescence lifetime ± SEM. Statistical analysis was performed using an unpaired t-test, 3 biological repeats ** = p&lt;0.01. Scale bar = 20 </w:t>
      </w:r>
      <w:proofErr w:type="spellStart"/>
      <w:r w:rsidRPr="00E36422">
        <w:rPr>
          <w:rFonts w:ascii="Times New Roman" w:eastAsia="Times New Roman" w:hAnsi="Times New Roman" w:cs="Times New Roman"/>
          <w:color w:val="000000" w:themeColor="text1"/>
          <w:sz w:val="22"/>
          <w:szCs w:val="22"/>
        </w:rPr>
        <w:t>μm</w:t>
      </w:r>
      <w:proofErr w:type="spellEnd"/>
      <w:r w:rsidRPr="00E36422">
        <w:rPr>
          <w:rFonts w:ascii="Times New Roman" w:eastAsia="Times New Roman" w:hAnsi="Times New Roman" w:cs="Times New Roman"/>
          <w:color w:val="000000" w:themeColor="text1"/>
          <w:sz w:val="22"/>
          <w:szCs w:val="22"/>
        </w:rPr>
        <w:t>.</w:t>
      </w:r>
    </w:p>
    <w:p w14:paraId="25E6312C" w14:textId="77777777" w:rsidR="00B936D9" w:rsidRPr="00E36422" w:rsidRDefault="00B936D9" w:rsidP="00B936D9">
      <w:pPr>
        <w:tabs>
          <w:tab w:val="center" w:pos="4776"/>
        </w:tabs>
        <w:spacing w:line="360" w:lineRule="auto"/>
        <w:jc w:val="both"/>
        <w:rPr>
          <w:rFonts w:ascii="Times New Roman" w:eastAsia="Times New Roman" w:hAnsi="Times New Roman" w:cs="Times New Roman"/>
          <w:b/>
          <w:color w:val="000000" w:themeColor="text1"/>
          <w:sz w:val="24"/>
          <w:szCs w:val="24"/>
        </w:rPr>
      </w:pPr>
    </w:p>
    <w:p w14:paraId="0AF9237A" w14:textId="77777777" w:rsidR="00B936D9" w:rsidRPr="00E36422" w:rsidRDefault="00B936D9" w:rsidP="00B936D9">
      <w:pPr>
        <w:tabs>
          <w:tab w:val="center" w:pos="4776"/>
        </w:tabs>
        <w:spacing w:line="360" w:lineRule="auto"/>
        <w:jc w:val="both"/>
        <w:rPr>
          <w:rFonts w:ascii="Times New Roman" w:eastAsia="Times New Roman" w:hAnsi="Times New Roman" w:cs="Times New Roman"/>
          <w:b/>
          <w:color w:val="000000" w:themeColor="text1"/>
          <w:sz w:val="24"/>
          <w:szCs w:val="24"/>
        </w:rPr>
      </w:pPr>
    </w:p>
    <w:p w14:paraId="12D2C588" w14:textId="77777777" w:rsidR="00B936D9" w:rsidRPr="00E36422" w:rsidRDefault="00B936D9" w:rsidP="00B936D9">
      <w:pPr>
        <w:rPr>
          <w:rFonts w:ascii="Times New Roman" w:eastAsia="Times New Roman" w:hAnsi="Times New Roman" w:cs="Times New Roman"/>
          <w:color w:val="000000" w:themeColor="text1"/>
        </w:rPr>
      </w:pPr>
      <w:r w:rsidRPr="00E36422">
        <w:rPr>
          <w:color w:val="000000" w:themeColor="text1"/>
        </w:rPr>
        <w:br w:type="page"/>
      </w:r>
    </w:p>
    <w:p w14:paraId="3AF0AD73" w14:textId="77777777" w:rsidR="00B936D9" w:rsidRPr="00E36422" w:rsidRDefault="00B936D9" w:rsidP="00B936D9">
      <w:pPr>
        <w:rPr>
          <w:rFonts w:ascii="Times New Roman" w:eastAsia="Times New Roman" w:hAnsi="Times New Roman" w:cs="Times New Roman"/>
          <w:color w:val="000000" w:themeColor="text1"/>
        </w:rPr>
      </w:pPr>
    </w:p>
    <w:p w14:paraId="3E3AF3B6" w14:textId="77777777" w:rsidR="00B936D9" w:rsidRPr="00E36422" w:rsidRDefault="00B936D9" w:rsidP="00B936D9">
      <w:pPr>
        <w:rPr>
          <w:rFonts w:ascii="Times New Roman" w:eastAsia="Times New Roman" w:hAnsi="Times New Roman" w:cs="Times New Roman"/>
          <w:color w:val="000000" w:themeColor="text1"/>
        </w:rPr>
      </w:pPr>
      <w:r w:rsidRPr="00E36422">
        <w:rPr>
          <w:rFonts w:ascii="Times New Roman" w:eastAsia="Times New Roman" w:hAnsi="Times New Roman" w:cs="Times New Roman"/>
          <w:noProof/>
          <w:color w:val="000000" w:themeColor="text1"/>
        </w:rPr>
        <w:drawing>
          <wp:inline distT="0" distB="0" distL="0" distR="0" wp14:anchorId="27D274FC" wp14:editId="4FDEA9B5">
            <wp:extent cx="6077543" cy="3521079"/>
            <wp:effectExtent l="0" t="0" r="0" b="0"/>
            <wp:docPr id="4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6077543" cy="3521079"/>
                    </a:xfrm>
                    <a:prstGeom prst="rect">
                      <a:avLst/>
                    </a:prstGeom>
                    <a:ln/>
                  </pic:spPr>
                </pic:pic>
              </a:graphicData>
            </a:graphic>
          </wp:inline>
        </w:drawing>
      </w:r>
    </w:p>
    <w:p w14:paraId="76A46C46" w14:textId="77777777" w:rsidR="00B936D9" w:rsidRPr="00E36422" w:rsidRDefault="00B936D9" w:rsidP="00B936D9">
      <w:pPr>
        <w:spacing w:line="360" w:lineRule="auto"/>
        <w:jc w:val="both"/>
        <w:rPr>
          <w:rFonts w:ascii="Times New Roman" w:eastAsia="Times New Roman" w:hAnsi="Times New Roman" w:cs="Times New Roman"/>
          <w:b/>
          <w:color w:val="000000" w:themeColor="text1"/>
        </w:rPr>
      </w:pPr>
      <w:r w:rsidRPr="00E36422">
        <w:rPr>
          <w:rFonts w:ascii="Times New Roman" w:eastAsia="Times New Roman" w:hAnsi="Times New Roman" w:cs="Times New Roman"/>
          <w:b/>
          <w:color w:val="000000" w:themeColor="text1"/>
        </w:rPr>
        <w:t>Extended Data Figure 3</w:t>
      </w:r>
      <w:r w:rsidRPr="00E36422">
        <w:rPr>
          <w:rFonts w:ascii="Times New Roman" w:eastAsia="Times New Roman" w:hAnsi="Times New Roman" w:cs="Times New Roman"/>
          <w:color w:val="000000" w:themeColor="text1"/>
        </w:rPr>
        <w:t xml:space="preserve">: </w:t>
      </w:r>
      <w:r w:rsidRPr="00E36422">
        <w:rPr>
          <w:rFonts w:ascii="Times New Roman" w:eastAsia="Times New Roman" w:hAnsi="Times New Roman" w:cs="Times New Roman"/>
          <w:b/>
          <w:color w:val="000000" w:themeColor="text1"/>
        </w:rPr>
        <w:t>Effect of labelling density on rate of peptide aggregation and change in fluorescence lifetime.</w:t>
      </w:r>
      <w:r w:rsidRPr="00E36422">
        <w:rPr>
          <w:rFonts w:ascii="Times New Roman" w:eastAsia="Times New Roman" w:hAnsi="Times New Roman" w:cs="Times New Roman"/>
          <w:color w:val="000000" w:themeColor="text1"/>
        </w:rPr>
        <w:t xml:space="preserve"> </w:t>
      </w:r>
      <w:r w:rsidRPr="00E36422">
        <w:rPr>
          <w:rFonts w:ascii="Times New Roman" w:eastAsia="Times New Roman" w:hAnsi="Times New Roman" w:cs="Times New Roman"/>
          <w:b/>
          <w:color w:val="000000" w:themeColor="text1"/>
        </w:rPr>
        <w:t xml:space="preserve">a) </w:t>
      </w:r>
      <w:r w:rsidRPr="00E36422">
        <w:rPr>
          <w:rFonts w:ascii="Times New Roman" w:eastAsia="Times New Roman" w:hAnsi="Times New Roman" w:cs="Times New Roman"/>
          <w:color w:val="000000" w:themeColor="text1"/>
        </w:rPr>
        <w:t>Labelling density gradient in microfluidic chip. Each row contains 10 droplets of increasing labelled</w:t>
      </w:r>
      <w:r w:rsidRPr="00E36422">
        <w:rPr>
          <w:rFonts w:ascii="Times New Roman" w:eastAsia="Times New Roman" w:hAnsi="Times New Roman" w:cs="Times New Roman"/>
          <w:b/>
          <w:color w:val="000000" w:themeColor="text1"/>
        </w:rPr>
        <w:t xml:space="preserve"> </w:t>
      </w:r>
      <w:r w:rsidRPr="00E36422">
        <w:rPr>
          <w:rFonts w:ascii="Times New Roman" w:eastAsia="Times New Roman" w:hAnsi="Times New Roman" w:cs="Times New Roman"/>
          <w:color w:val="000000" w:themeColor="text1"/>
        </w:rPr>
        <w:t>Aβ</w:t>
      </w:r>
      <w:r w:rsidRPr="00E36422">
        <w:rPr>
          <w:rFonts w:ascii="Times New Roman" w:eastAsia="Times New Roman" w:hAnsi="Times New Roman" w:cs="Times New Roman"/>
          <w:color w:val="000000" w:themeColor="text1"/>
          <w:vertAlign w:val="subscript"/>
        </w:rPr>
        <w:t xml:space="preserve">42 </w:t>
      </w:r>
      <w:r w:rsidRPr="00E36422">
        <w:rPr>
          <w:rFonts w:ascii="Times New Roman" w:eastAsia="Times New Roman" w:hAnsi="Times New Roman" w:cs="Times New Roman"/>
          <w:color w:val="000000" w:themeColor="text1"/>
        </w:rPr>
        <w:t xml:space="preserve">(10 </w:t>
      </w:r>
      <w:proofErr w:type="spellStart"/>
      <w:r w:rsidRPr="00E36422">
        <w:rPr>
          <w:rFonts w:ascii="Times New Roman" w:eastAsia="Times New Roman" w:hAnsi="Times New Roman" w:cs="Times New Roman"/>
          <w:color w:val="000000" w:themeColor="text1"/>
        </w:rPr>
        <w:t>μM</w:t>
      </w:r>
      <w:proofErr w:type="spellEnd"/>
      <w:r w:rsidRPr="00E36422">
        <w:rPr>
          <w:rFonts w:ascii="Times New Roman" w:eastAsia="Times New Roman" w:hAnsi="Times New Roman" w:cs="Times New Roman"/>
          <w:b/>
          <w:color w:val="000000" w:themeColor="text1"/>
        </w:rPr>
        <w:t xml:space="preserve">). b) </w:t>
      </w:r>
      <w:r w:rsidRPr="00E36422">
        <w:rPr>
          <w:rFonts w:ascii="Times New Roman" w:eastAsia="Times New Roman" w:hAnsi="Times New Roman" w:cs="Times New Roman"/>
          <w:color w:val="000000" w:themeColor="text1"/>
        </w:rPr>
        <w:t>Aggregation profiles of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 at different labelling densities. 50% labelled shows the largest dynamic range. </w:t>
      </w:r>
      <w:r w:rsidRPr="00E36422">
        <w:rPr>
          <w:rFonts w:ascii="Times New Roman" w:eastAsia="Times New Roman" w:hAnsi="Times New Roman" w:cs="Times New Roman"/>
          <w:b/>
          <w:color w:val="000000" w:themeColor="text1"/>
        </w:rPr>
        <w:t>c)</w:t>
      </w:r>
      <w:r w:rsidRPr="00E36422">
        <w:rPr>
          <w:rFonts w:ascii="Times New Roman" w:eastAsia="Times New Roman" w:hAnsi="Times New Roman" w:cs="Times New Roman"/>
          <w:color w:val="000000" w:themeColor="text1"/>
        </w:rPr>
        <w:t xml:space="preserve"> Normalised aggregation profiles at different labelling densities. Aggregation curves from 90% and 100% labelled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 are omitted due to negligible aggregation. Plots show mean ± SEM, n = 10.</w:t>
      </w:r>
    </w:p>
    <w:p w14:paraId="1CDAAD7F" w14:textId="77777777" w:rsidR="00B936D9" w:rsidRPr="00E36422" w:rsidRDefault="00B936D9" w:rsidP="00B936D9">
      <w:pPr>
        <w:tabs>
          <w:tab w:val="center" w:pos="4776"/>
        </w:tabs>
        <w:spacing w:line="360" w:lineRule="auto"/>
        <w:jc w:val="both"/>
        <w:rPr>
          <w:rFonts w:ascii="Times New Roman" w:eastAsia="Times New Roman" w:hAnsi="Times New Roman" w:cs="Times New Roman"/>
          <w:b/>
          <w:color w:val="000000" w:themeColor="text1"/>
          <w:sz w:val="24"/>
          <w:szCs w:val="24"/>
        </w:rPr>
      </w:pPr>
    </w:p>
    <w:p w14:paraId="0C3EA28D" w14:textId="77777777" w:rsidR="00B936D9" w:rsidRPr="00E36422" w:rsidRDefault="00B936D9" w:rsidP="00B936D9">
      <w:pPr>
        <w:rPr>
          <w:rFonts w:ascii="Times New Roman" w:eastAsia="Times New Roman" w:hAnsi="Times New Roman" w:cs="Times New Roman"/>
          <w:color w:val="000000" w:themeColor="text1"/>
          <w:sz w:val="20"/>
          <w:szCs w:val="20"/>
        </w:rPr>
      </w:pPr>
      <w:r w:rsidRPr="00E36422">
        <w:rPr>
          <w:color w:val="000000" w:themeColor="text1"/>
        </w:rPr>
        <w:br w:type="page"/>
      </w:r>
    </w:p>
    <w:p w14:paraId="59EEC4A7" w14:textId="77777777" w:rsidR="00B936D9" w:rsidRPr="00E36422" w:rsidRDefault="00B936D9" w:rsidP="00B936D9">
      <w:pPr>
        <w:jc w:val="center"/>
        <w:rPr>
          <w:rFonts w:ascii="Times New Roman" w:eastAsia="Times New Roman" w:hAnsi="Times New Roman" w:cs="Times New Roman"/>
          <w:color w:val="000000" w:themeColor="text1"/>
          <w:sz w:val="20"/>
          <w:szCs w:val="20"/>
        </w:rPr>
      </w:pPr>
      <w:r w:rsidRPr="00E36422">
        <w:rPr>
          <w:rFonts w:ascii="Times New Roman" w:eastAsia="Times New Roman" w:hAnsi="Times New Roman" w:cs="Times New Roman"/>
          <w:noProof/>
          <w:color w:val="000000" w:themeColor="text1"/>
          <w:sz w:val="20"/>
          <w:szCs w:val="20"/>
        </w:rPr>
        <w:lastRenderedPageBreak/>
        <w:drawing>
          <wp:inline distT="0" distB="0" distL="0" distR="0" wp14:anchorId="2C216D81" wp14:editId="1972C528">
            <wp:extent cx="5445630" cy="6634078"/>
            <wp:effectExtent l="0" t="0" r="0" b="0"/>
            <wp:docPr id="5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
                    <a:srcRect t="4654" b="9258"/>
                    <a:stretch>
                      <a:fillRect/>
                    </a:stretch>
                  </pic:blipFill>
                  <pic:spPr>
                    <a:xfrm>
                      <a:off x="0" y="0"/>
                      <a:ext cx="5445630" cy="6634078"/>
                    </a:xfrm>
                    <a:prstGeom prst="rect">
                      <a:avLst/>
                    </a:prstGeom>
                    <a:ln/>
                  </pic:spPr>
                </pic:pic>
              </a:graphicData>
            </a:graphic>
          </wp:inline>
        </w:drawing>
      </w:r>
    </w:p>
    <w:p w14:paraId="37FB14CF" w14:textId="77777777" w:rsidR="00B936D9" w:rsidRPr="00E36422" w:rsidRDefault="00B936D9" w:rsidP="00B936D9">
      <w:pPr>
        <w:tabs>
          <w:tab w:val="center" w:pos="4776"/>
        </w:tabs>
        <w:spacing w:line="360" w:lineRule="auto"/>
        <w:jc w:val="both"/>
        <w:rPr>
          <w:rFonts w:ascii="Times New Roman" w:eastAsia="Times New Roman" w:hAnsi="Times New Roman" w:cs="Times New Roman"/>
          <w:color w:val="000000" w:themeColor="text1"/>
        </w:rPr>
      </w:pPr>
      <w:r w:rsidRPr="00E36422">
        <w:rPr>
          <w:rFonts w:ascii="Times New Roman" w:eastAsia="Times New Roman" w:hAnsi="Times New Roman" w:cs="Times New Roman"/>
          <w:b/>
          <w:color w:val="000000" w:themeColor="text1"/>
        </w:rPr>
        <w:t>Extended Data Figure 4</w:t>
      </w:r>
      <w:r w:rsidRPr="00E36422">
        <w:rPr>
          <w:rFonts w:ascii="Times New Roman" w:eastAsia="Times New Roman" w:hAnsi="Times New Roman" w:cs="Times New Roman"/>
          <w:color w:val="000000" w:themeColor="text1"/>
        </w:rPr>
        <w:t xml:space="preserve">: </w:t>
      </w:r>
      <w:r w:rsidRPr="00E36422">
        <w:rPr>
          <w:rFonts w:ascii="Times New Roman" w:eastAsia="Times New Roman" w:hAnsi="Times New Roman" w:cs="Times New Roman"/>
          <w:b/>
          <w:color w:val="000000" w:themeColor="text1"/>
        </w:rPr>
        <w:t xml:space="preserve">Detailed analysis of compound collection screening with a phasor plot and biexponential fit. </w:t>
      </w:r>
      <w:r w:rsidRPr="00E36422">
        <w:rPr>
          <w:rFonts w:ascii="Times New Roman" w:eastAsia="Times New Roman" w:hAnsi="Times New Roman" w:cs="Times New Roman"/>
          <w:color w:val="000000" w:themeColor="text1"/>
        </w:rPr>
        <w:t xml:space="preserve">(a) Raw fluorescence intensity image of nine droplet replicates containing peptide and test compounds at the 135-minute time point. (b) Phasor plot analysis of the lifetime data from the entire </w:t>
      </w:r>
      <w:proofErr w:type="spellStart"/>
      <w:r w:rsidRPr="00E36422">
        <w:rPr>
          <w:rFonts w:ascii="Times New Roman" w:eastAsia="Times New Roman" w:hAnsi="Times New Roman" w:cs="Times New Roman"/>
          <w:color w:val="000000" w:themeColor="text1"/>
        </w:rPr>
        <w:t>nanoFLIM</w:t>
      </w:r>
      <w:proofErr w:type="spellEnd"/>
      <w:r w:rsidRPr="00E36422">
        <w:rPr>
          <w:rFonts w:ascii="Times New Roman" w:eastAsia="Times New Roman" w:hAnsi="Times New Roman" w:cs="Times New Roman"/>
          <w:color w:val="000000" w:themeColor="text1"/>
        </w:rPr>
        <w:t xml:space="preserve"> image. This is an unbiased analysis approach, which does not rely on a fitting model of exponential decay data. Native unaggregated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 tagged with AF488 lies in the universal circle near 4 ns and fully aggregated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-AF488 has a very short (quenched) fluorescence lifetime close to 1 ns. All </w:t>
      </w:r>
      <w:r w:rsidRPr="00E36422">
        <w:rPr>
          <w:rFonts w:ascii="Times New Roman" w:eastAsia="Times New Roman" w:hAnsi="Times New Roman" w:cs="Times New Roman"/>
          <w:color w:val="000000" w:themeColor="text1"/>
        </w:rPr>
        <w:lastRenderedPageBreak/>
        <w:t>droplets contain a mixture of these two species in different proportions. (c) The phasor plot shows a bimodal distribution in which a small subgroup of points (selected with the cursor) are closer to the native, unaggregated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 species than the rest of the points. (d) Points selected by the cursor in (c) with the least amount of aggregated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 correspond to the droplets containing MJ040, showing the effectiveness of the compound in inhibiting aggregation. (e) The phasor plot reveals that decay curves in image (a) are biexponential as they lie within the universal circle between two pure single exponential species. Standard biexponential fitting to decay curves are performed to extract quantitative lifetime parameters. The mean fluorescence lifetime is high for droplets containing MJ040, which shows that Aβ</w:t>
      </w:r>
      <w:r w:rsidRPr="00E36422">
        <w:rPr>
          <w:rFonts w:ascii="Times New Roman" w:eastAsia="Times New Roman" w:hAnsi="Times New Roman" w:cs="Times New Roman"/>
          <w:color w:val="000000" w:themeColor="text1"/>
          <w:vertAlign w:val="subscript"/>
        </w:rPr>
        <w:t>42</w:t>
      </w:r>
      <w:r w:rsidRPr="00E36422">
        <w:rPr>
          <w:rFonts w:ascii="Times New Roman" w:eastAsia="Times New Roman" w:hAnsi="Times New Roman" w:cs="Times New Roman"/>
          <w:color w:val="000000" w:themeColor="text1"/>
        </w:rPr>
        <w:t xml:space="preserve"> aggregation is inhibited in these droplets. (f) Typical fluorescence decay curves (with a comparison between MJ036 and MJ040), biexponential fits to the raw data, and the fit residuals for individual pixels of the FLIM image. The instrument response function (IRF) for the setup is also plotted. </w:t>
      </w:r>
    </w:p>
    <w:p w14:paraId="57E1F0B3" w14:textId="77777777" w:rsidR="00B936D9" w:rsidRDefault="00B936D9">
      <w:bookmarkStart w:id="1" w:name="_GoBack"/>
      <w:bookmarkEnd w:id="1"/>
    </w:p>
    <w:sectPr w:rsidR="00B936D9" w:rsidSect="00C62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hdrShapeDefaults>
    <o:shapedefaults v:ext="edit" spidmax="2049"/>
  </w:hdrShapeDefault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D9"/>
    <w:rsid w:val="00B936D9"/>
    <w:rsid w:val="00C62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780C5"/>
  <w15:chartTrackingRefBased/>
  <w15:docId w15:val="{A4FE0AA3-BF94-3942-8111-28B4BFB1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6D9"/>
    <w:pPr>
      <w:spacing w:after="160" w:line="259" w:lineRule="auto"/>
    </w:pPr>
    <w:rPr>
      <w:rFonts w:ascii="Calibri" w:eastAsia="Calibri" w:hAnsi="Calibri" w:cs="Calibri"/>
      <w:sz w:val="22"/>
      <w:szCs w:val="22"/>
      <w:lang w:val="en-GB" w:eastAsia="en-GB"/>
    </w:rPr>
  </w:style>
  <w:style w:type="paragraph" w:styleId="Heading3">
    <w:name w:val="heading 3"/>
    <w:basedOn w:val="Normal"/>
    <w:next w:val="Normal"/>
    <w:link w:val="Heading3Char"/>
    <w:uiPriority w:val="9"/>
    <w:unhideWhenUsed/>
    <w:qFormat/>
    <w:rsid w:val="00B936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36D9"/>
    <w:rPr>
      <w:rFonts w:asciiTheme="majorHAnsi" w:eastAsiaTheme="majorEastAsia" w:hAnsiTheme="majorHAnsi" w:cstheme="majorBidi"/>
      <w:color w:val="1F3763" w:themeColor="accent1" w:themeShade="7F"/>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1063</Words>
  <Characters>6065</Characters>
  <Application>Microsoft Office Word</Application>
  <DocSecurity>0</DocSecurity>
  <Lines>50</Lines>
  <Paragraphs>14</Paragraphs>
  <ScaleCrop>false</ScaleCrop>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2022-04-08T15:48:00Z</dcterms:created>
  <dcterms:modified xsi:type="dcterms:W3CDTF">2022-04-08T15:49:00Z</dcterms:modified>
</cp:coreProperties>
</file>