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E812B" w14:textId="31B56830" w:rsidR="00605184" w:rsidRDefault="00E645D2" w:rsidP="00E645D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45D2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E83D5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1500F026" w14:textId="5E02E6A0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0F08E" w14:textId="63602819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>
        <w:rPr>
          <w:rFonts w:ascii="Times New Roman" w:eastAsia="微软雅黑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49024" behindDoc="0" locked="0" layoutInCell="1" allowOverlap="1" wp14:anchorId="5AFF6D33" wp14:editId="79695104">
            <wp:simplePos x="0" y="0"/>
            <wp:positionH relativeFrom="column">
              <wp:posOffset>157480</wp:posOffset>
            </wp:positionH>
            <wp:positionV relativeFrom="paragraph">
              <wp:posOffset>597747</wp:posOffset>
            </wp:positionV>
            <wp:extent cx="5113655" cy="1821180"/>
            <wp:effectExtent l="0" t="0" r="0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5D2">
        <w:rPr>
          <w:rFonts w:ascii="Times New Roman" w:eastAsia="微软雅黑" w:hAnsi="Times New Roman" w:cs="Times New Roman"/>
          <w:b/>
          <w:bCs/>
          <w:sz w:val="24"/>
          <w:szCs w:val="24"/>
        </w:rPr>
        <w:t>Additional file 1:</w:t>
      </w:r>
    </w:p>
    <w:p w14:paraId="1AACC4E6" w14:textId="476E091B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5FAA7E3D" w14:textId="68A02E81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E645D2">
        <w:rPr>
          <w:rFonts w:ascii="Times New Roman" w:eastAsia="微软雅黑" w:hAnsi="Times New Roman" w:cs="Times New Roman"/>
          <w:b/>
          <w:bCs/>
          <w:sz w:val="24"/>
          <w:szCs w:val="24"/>
        </w:rPr>
        <w:t>Figure S1</w:t>
      </w:r>
      <w:r w:rsidRPr="00E645D2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E645D2">
        <w:rPr>
          <w:rFonts w:ascii="Times New Roman" w:eastAsia="微软雅黑" w:hAnsi="Times New Roman" w:cs="Times New Roman"/>
          <w:sz w:val="24"/>
          <w:szCs w:val="24"/>
        </w:rPr>
        <w:t xml:space="preserve">Culture of breast cancer stem-like cells. MDA-MB-231 and MDA-MB-453 sphere-forming cells (SFCs) were enriched from parental cells (PCs) and maintained in stem cell culture medium. These cells were further sorted by magnetic separation for the phenotype of </w:t>
      </w:r>
      <w:r w:rsidRPr="001D5481">
        <w:rPr>
          <w:rFonts w:ascii="Times New Roman" w:eastAsia="微软雅黑" w:hAnsi="Times New Roman" w:cs="Times New Roman"/>
          <w:sz w:val="24"/>
          <w:szCs w:val="24"/>
        </w:rPr>
        <w:t>CD44</w:t>
      </w:r>
      <w:r w:rsidRPr="001D5481">
        <w:rPr>
          <w:rFonts w:ascii="Times New Roman" w:eastAsia="微软雅黑" w:hAnsi="Times New Roman" w:cs="Times New Roman"/>
          <w:sz w:val="24"/>
          <w:szCs w:val="24"/>
          <w:vertAlign w:val="superscript"/>
        </w:rPr>
        <w:t>+</w:t>
      </w:r>
      <w:r w:rsidRPr="001D5481">
        <w:rPr>
          <w:rFonts w:ascii="Times New Roman" w:eastAsia="微软雅黑" w:hAnsi="Times New Roman" w:cs="Times New Roman"/>
          <w:sz w:val="24"/>
          <w:szCs w:val="24"/>
        </w:rPr>
        <w:t>/CD24</w:t>
      </w:r>
      <w:r w:rsidRPr="001D5481">
        <w:rPr>
          <w:rFonts w:ascii="Times New Roman" w:eastAsia="微软雅黑" w:hAnsi="Times New Roman" w:cs="Times New Roman"/>
          <w:sz w:val="24"/>
          <w:szCs w:val="24"/>
          <w:vertAlign w:val="superscript"/>
        </w:rPr>
        <w:t>-</w:t>
      </w:r>
      <w:r w:rsidRPr="00E645D2">
        <w:rPr>
          <w:rFonts w:ascii="Times New Roman" w:eastAsia="微软雅黑" w:hAnsi="Times New Roman" w:cs="Times New Roman"/>
          <w:sz w:val="24"/>
          <w:szCs w:val="24"/>
        </w:rPr>
        <w:t xml:space="preserve">. The microscopic images were </w:t>
      </w:r>
      <w:r w:rsidR="0080571E">
        <w:rPr>
          <w:rFonts w:ascii="Times New Roman" w:eastAsia="微软雅黑" w:hAnsi="Times New Roman" w:cs="Times New Roman"/>
          <w:sz w:val="24"/>
          <w:szCs w:val="24"/>
        </w:rPr>
        <w:t xml:space="preserve">acquired </w:t>
      </w:r>
      <w:r w:rsidRPr="00E645D2">
        <w:rPr>
          <w:rFonts w:ascii="Times New Roman" w:eastAsia="微软雅黑" w:hAnsi="Times New Roman" w:cs="Times New Roman"/>
          <w:sz w:val="24"/>
          <w:szCs w:val="24"/>
        </w:rPr>
        <w:t>using inverted phase contrast microscope. Original magnification: 200×.</w:t>
      </w:r>
    </w:p>
    <w:p w14:paraId="3613A97B" w14:textId="77777777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27EA5BCE" w14:textId="77777777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365B629C" w14:textId="77777777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1A0282A5" w14:textId="58560920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77A9086F" w14:textId="31CEF23B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6B2F9427" w14:textId="1B538A64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6EF0D94B" w14:textId="28CD1094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5E01BAD5" w14:textId="77777777" w:rsidR="00E645D2" w:rsidRP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1949EDB7" w14:textId="15D1F7B9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E645D2">
        <w:rPr>
          <w:rFonts w:ascii="Times New Roman" w:eastAsia="微软雅黑" w:hAnsi="Times New Roman" w:cs="Times New Roman"/>
          <w:b/>
          <w:bCs/>
          <w:sz w:val="24"/>
          <w:szCs w:val="24"/>
        </w:rPr>
        <w:lastRenderedPageBreak/>
        <w:t>Additional file 2</w:t>
      </w:r>
    </w:p>
    <w:p w14:paraId="7B7A6E8E" w14:textId="01E5633E" w:rsidR="00E645D2" w:rsidRDefault="00E645D2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89A4473" wp14:editId="4C889D99">
                <wp:simplePos x="0" y="0"/>
                <wp:positionH relativeFrom="column">
                  <wp:posOffset>1344930</wp:posOffset>
                </wp:positionH>
                <wp:positionV relativeFrom="paragraph">
                  <wp:posOffset>-635</wp:posOffset>
                </wp:positionV>
                <wp:extent cx="4129464" cy="276999"/>
                <wp:effectExtent l="0" t="0" r="0" b="0"/>
                <wp:wrapNone/>
                <wp:docPr id="3123" name="矩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B8C63E-1FB6-42EA-877E-B81E185922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9464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69E0B" w14:textId="77777777" w:rsidR="00E645D2" w:rsidRPr="00E645D2" w:rsidRDefault="00E645D2" w:rsidP="00E645D2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645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Table S1 Subcutaneous tumor formation in nude mice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A4473" id="矩形 1" o:spid="_x0000_s1026" style="position:absolute;left:0;text-align:left;margin-left:105.9pt;margin-top:-.05pt;width:325.15pt;height:21.8pt;z-index: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" filled="f" stroked="f">
                <v:textbox style="mso-fit-shape-to-text:t">
                  <w:txbxContent>
                    <w:p w14:paraId="63869E0B" w14:textId="77777777" w:rsidR="00E645D2" w:rsidRPr="00E645D2" w:rsidRDefault="00E645D2" w:rsidP="00E645D2">
                      <w:pPr>
                        <w:kinsoku w:val="0"/>
                        <w:overflowPunct w:val="0"/>
                        <w:textAlignment w:val="baseline"/>
                        <w:rPr>
                          <w:rFonts w:ascii="Times New Roman" w:hAnsi="Times New Roman" w:cs="Times New Roman"/>
                          <w:kern w:val="0"/>
                          <w:sz w:val="24"/>
                          <w:szCs w:val="24"/>
                        </w:rPr>
                      </w:pPr>
                      <w:r w:rsidRPr="00E645D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  <w:t>Table S1 Subcutaneous tumor formation in nude mice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318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9"/>
        <w:gridCol w:w="2435"/>
        <w:gridCol w:w="2011"/>
        <w:gridCol w:w="2006"/>
      </w:tblGrid>
      <w:tr w:rsidR="00E645D2" w:rsidRPr="00E645D2" w14:paraId="51DC94A2" w14:textId="77777777" w:rsidTr="00E645D2">
        <w:trPr>
          <w:trHeight w:val="459"/>
          <w:jc w:val="center"/>
        </w:trPr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0FF1819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Cell Types</w:t>
            </w:r>
          </w:p>
        </w:tc>
        <w:tc>
          <w:tcPr>
            <w:tcW w:w="13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54C46BB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No. of cells inoculated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1A4250FF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Tumor incidence</w:t>
            </w:r>
          </w:p>
        </w:tc>
        <w:tc>
          <w:tcPr>
            <w:tcW w:w="10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7D2A1109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Latency period (d)</w:t>
            </w:r>
          </w:p>
        </w:tc>
      </w:tr>
      <w:tr w:rsidR="00E645D2" w:rsidRPr="00E645D2" w14:paraId="2C02B458" w14:textId="77777777" w:rsidTr="00E645D2">
        <w:trPr>
          <w:trHeight w:val="286"/>
          <w:jc w:val="center"/>
        </w:trPr>
        <w:tc>
          <w:tcPr>
            <w:tcW w:w="14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163EE930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MDA-MB-231-PCs</w:t>
            </w:r>
          </w:p>
        </w:tc>
        <w:tc>
          <w:tcPr>
            <w:tcW w:w="13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0684A438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4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99C9A4A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0/6</w:t>
            </w:r>
          </w:p>
        </w:tc>
        <w:tc>
          <w:tcPr>
            <w:tcW w:w="10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77D7C738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E645D2" w:rsidRPr="00E645D2" w14:paraId="6EA9AEC6" w14:textId="77777777" w:rsidTr="00E645D2">
        <w:trPr>
          <w:trHeight w:val="286"/>
          <w:jc w:val="center"/>
        </w:trPr>
        <w:tc>
          <w:tcPr>
            <w:tcW w:w="1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CD5753" w14:textId="77777777" w:rsidR="00E645D2" w:rsidRPr="00E645D2" w:rsidRDefault="00E645D2" w:rsidP="00E645D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69C16AC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D1E805A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6/6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62EDB8E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15</w:t>
            </w:r>
          </w:p>
        </w:tc>
      </w:tr>
      <w:tr w:rsidR="00E645D2" w:rsidRPr="00E645D2" w14:paraId="3A96FFDD" w14:textId="77777777" w:rsidTr="00E645D2">
        <w:trPr>
          <w:trHeight w:val="286"/>
          <w:jc w:val="center"/>
        </w:trPr>
        <w:tc>
          <w:tcPr>
            <w:tcW w:w="1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A2DA1C" w14:textId="77777777" w:rsidR="00E645D2" w:rsidRPr="00E645D2" w:rsidRDefault="00E645D2" w:rsidP="00E645D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89671DC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E9AF158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6/6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9299071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8</w:t>
            </w:r>
          </w:p>
        </w:tc>
      </w:tr>
      <w:tr w:rsidR="00E645D2" w:rsidRPr="00E645D2" w14:paraId="6B122567" w14:textId="77777777" w:rsidTr="00E645D2">
        <w:trPr>
          <w:trHeight w:val="286"/>
          <w:jc w:val="center"/>
        </w:trPr>
        <w:tc>
          <w:tcPr>
            <w:tcW w:w="14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DE29FB2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MDA-MB-231-SFCs</w:t>
            </w:r>
          </w:p>
        </w:tc>
        <w:tc>
          <w:tcPr>
            <w:tcW w:w="13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0A154469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2</w:t>
            </w:r>
          </w:p>
        </w:tc>
        <w:tc>
          <w:tcPr>
            <w:tcW w:w="11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6CEE3454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0/6</w:t>
            </w:r>
          </w:p>
        </w:tc>
        <w:tc>
          <w:tcPr>
            <w:tcW w:w="10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095A5F99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-</w:t>
            </w:r>
          </w:p>
        </w:tc>
      </w:tr>
      <w:tr w:rsidR="00E645D2" w:rsidRPr="00E645D2" w14:paraId="38050F35" w14:textId="77777777" w:rsidTr="00E645D2">
        <w:trPr>
          <w:trHeight w:val="286"/>
          <w:jc w:val="center"/>
        </w:trPr>
        <w:tc>
          <w:tcPr>
            <w:tcW w:w="1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31E2CB" w14:textId="77777777" w:rsidR="00E645D2" w:rsidRPr="00E645D2" w:rsidRDefault="00E645D2" w:rsidP="00E645D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ED661AF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416E4B8B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1/6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F54EC96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15</w:t>
            </w:r>
          </w:p>
        </w:tc>
      </w:tr>
      <w:tr w:rsidR="00E645D2" w:rsidRPr="00E645D2" w14:paraId="62D573F8" w14:textId="77777777" w:rsidTr="00E645D2">
        <w:trPr>
          <w:trHeight w:val="104"/>
          <w:jc w:val="center"/>
        </w:trPr>
        <w:tc>
          <w:tcPr>
            <w:tcW w:w="1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5407E" w14:textId="77777777" w:rsidR="00E645D2" w:rsidRPr="00E645D2" w:rsidRDefault="00E645D2" w:rsidP="00E645D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7127EC40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1 x 10</w:t>
            </w: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position w:val="7"/>
                <w:szCs w:val="21"/>
                <w:vertAlign w:val="superscript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39F4239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6/6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2FBC38A2" w14:textId="77777777" w:rsidR="00E645D2" w:rsidRPr="00E645D2" w:rsidRDefault="00E645D2" w:rsidP="00E645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5D2">
              <w:rPr>
                <w:rFonts w:ascii="Times New Roman" w:eastAsia="微软雅黑" w:hAnsi="Times New Roman" w:cs="Times New Roman"/>
                <w:color w:val="000000" w:themeColor="text1"/>
                <w:kern w:val="24"/>
                <w:szCs w:val="21"/>
              </w:rPr>
              <w:t>7</w:t>
            </w:r>
          </w:p>
        </w:tc>
      </w:tr>
    </w:tbl>
    <w:p w14:paraId="7531A38B" w14:textId="33193313" w:rsidR="00E645D2" w:rsidRDefault="00E645D2" w:rsidP="00E645D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A2A01F" wp14:editId="59D119DE">
                <wp:simplePos x="0" y="0"/>
                <wp:positionH relativeFrom="column">
                  <wp:posOffset>-423</wp:posOffset>
                </wp:positionH>
                <wp:positionV relativeFrom="paragraph">
                  <wp:posOffset>46355</wp:posOffset>
                </wp:positionV>
                <wp:extent cx="3409908" cy="276999"/>
                <wp:effectExtent l="0" t="0" r="0" b="0"/>
                <wp:wrapNone/>
                <wp:docPr id="41" name="矩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EA4F9A-14A0-438C-BD37-CC79E63062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08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8CE02" w14:textId="77777777" w:rsidR="00E645D2" w:rsidRPr="00E645D2" w:rsidRDefault="00E645D2" w:rsidP="00E645D2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645D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PC, </w:t>
                            </w:r>
                            <w:r w:rsidRPr="00E645D2">
                              <w:rPr>
                                <w:rFonts w:ascii="Times New Roman" w:eastAsia="微软雅黑" w:hAnsi="Times New Roman" w:cs="Times New Roman"/>
                                <w:color w:val="000000"/>
                                <w:kern w:val="24"/>
                              </w:rPr>
                              <w:t xml:space="preserve">Parental Cells; </w:t>
                            </w:r>
                            <w:r w:rsidRPr="00E645D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SFC,</w:t>
                            </w:r>
                            <w:r w:rsidRPr="00E645D2">
                              <w:rPr>
                                <w:rFonts w:ascii="Times New Roman" w:eastAsia="微软雅黑" w:hAnsi="Times New Roman" w:cs="Times New Roman"/>
                                <w:color w:val="000000"/>
                                <w:kern w:val="24"/>
                              </w:rPr>
                              <w:t xml:space="preserve"> Sphere-Forming Cells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2A01F" id="_x0000_s1027" style="position:absolute;left:0;text-align:left;margin-left:-.05pt;margin-top:3.65pt;width:268.5pt;height:21.8pt;z-index: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" filled="f" stroked="f">
                <v:textbox style="mso-fit-shape-to-text:t">
                  <w:txbxContent>
                    <w:p w14:paraId="02F8CE02" w14:textId="77777777" w:rsidR="00E645D2" w:rsidRPr="00E645D2" w:rsidRDefault="00E645D2" w:rsidP="00E645D2">
                      <w:pPr>
                        <w:kinsoku w:val="0"/>
                        <w:overflowPunct w:val="0"/>
                        <w:textAlignment w:val="baseline"/>
                        <w:rPr>
                          <w:rFonts w:ascii="Times New Roman" w:hAnsi="Times New Roman" w:cs="Times New Roman"/>
                          <w:kern w:val="0"/>
                          <w:sz w:val="24"/>
                          <w:szCs w:val="24"/>
                        </w:rPr>
                      </w:pPr>
                      <w:r w:rsidRPr="00E645D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PC, </w:t>
                      </w:r>
                      <w:r w:rsidRPr="00E645D2">
                        <w:rPr>
                          <w:rFonts w:ascii="Times New Roman" w:eastAsia="微软雅黑" w:hAnsi="Times New Roman" w:cs="Times New Roman"/>
                          <w:color w:val="000000"/>
                          <w:kern w:val="24"/>
                        </w:rPr>
                        <w:t xml:space="preserve">Parental Cells; </w:t>
                      </w:r>
                      <w:r w:rsidRPr="00E645D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SFC,</w:t>
                      </w:r>
                      <w:r w:rsidRPr="00E645D2">
                        <w:rPr>
                          <w:rFonts w:ascii="Times New Roman" w:eastAsia="微软雅黑" w:hAnsi="Times New Roman" w:cs="Times New Roman"/>
                          <w:color w:val="000000"/>
                          <w:kern w:val="24"/>
                        </w:rPr>
                        <w:t xml:space="preserve"> Sphere-Forming Cells</w:t>
                      </w:r>
                    </w:p>
                  </w:txbxContent>
                </v:textbox>
              </v:rect>
            </w:pict>
          </mc:Fallback>
        </mc:AlternateContent>
      </w:r>
    </w:p>
    <w:p w14:paraId="68C92296" w14:textId="3FC32FD0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0E1C13" w14:textId="3E57D2C1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3D0563" w14:textId="2204878D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D0E4DF" w14:textId="42E8FEC7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82E1DE" w14:textId="5B201016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16015E" w14:textId="7F3F6A22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D78546" w14:textId="6D20B00F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0F234A" w14:textId="51C9A0D4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2BC1C7" w14:textId="0CB5C431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34378F" w14:textId="524445C9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360BE2" w14:textId="5472AB1A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1AE1A8" w14:textId="784FC25E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E09646" w14:textId="10F1B44E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9EC2A5" w14:textId="09A03508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5168" behindDoc="0" locked="0" layoutInCell="1" allowOverlap="1" wp14:anchorId="2CDC95DE" wp14:editId="5125F2AE">
            <wp:simplePos x="0" y="0"/>
            <wp:positionH relativeFrom="column">
              <wp:posOffset>-635</wp:posOffset>
            </wp:positionH>
            <wp:positionV relativeFrom="paragraph">
              <wp:posOffset>676486</wp:posOffset>
            </wp:positionV>
            <wp:extent cx="5325110" cy="3192145"/>
            <wp:effectExtent l="0" t="0" r="889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19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5D2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eastAsia="微软雅黑" w:hAnsi="Times New Roman" w:cs="Times New Roman"/>
          <w:b/>
          <w:bCs/>
          <w:sz w:val="24"/>
          <w:szCs w:val="24"/>
        </w:rPr>
        <w:t>3</w:t>
      </w:r>
    </w:p>
    <w:p w14:paraId="723974BA" w14:textId="231577C3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001320" w14:textId="5B216CD1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45D2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E645D2">
        <w:rPr>
          <w:rFonts w:ascii="Times New Roman" w:hAnsi="Times New Roman" w:cs="Times New Roman"/>
          <w:sz w:val="24"/>
          <w:szCs w:val="24"/>
        </w:rPr>
        <w:t xml:space="preserve"> Western blot analysis of common lysine 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acylations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>. Effect of lovastatin on the four common lysine acylation types in MDA-MB-231 vs. MDA-MB-453 CSCs. Equal amounts of proteins extracted from vehicle- or lovastatin-treated cells were separated on SDS-PAGE gels and probed each with an antibody against pan-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acetyllysine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Kac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malonyllysine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Kmal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 xml:space="preserve">), or 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succinyllysine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45D2">
        <w:rPr>
          <w:rFonts w:ascii="Times New Roman" w:hAnsi="Times New Roman" w:cs="Times New Roman"/>
          <w:sz w:val="24"/>
          <w:szCs w:val="24"/>
        </w:rPr>
        <w:t>Ksucc</w:t>
      </w:r>
      <w:proofErr w:type="spellEnd"/>
      <w:r w:rsidRPr="00E645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5D2">
        <w:rPr>
          <w:rFonts w:ascii="Times New Roman" w:hAnsi="Times New Roman" w:cs="Times New Roman"/>
          <w:sz w:val="24"/>
          <w:szCs w:val="24"/>
        </w:rPr>
        <w:t>followed by HRP-conjugated secondary antibody incubation and ECL development. Coomassie brilliant blue staining was used as an equal-loading control.</w:t>
      </w:r>
    </w:p>
    <w:p w14:paraId="796C2ACA" w14:textId="10F96060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45D2">
        <w:rPr>
          <w:rFonts w:ascii="Times New Roman" w:hAnsi="Times New Roman" w:cs="Times New Roman"/>
          <w:sz w:val="24"/>
          <w:szCs w:val="24"/>
        </w:rPr>
        <w:t>LV, lovastatin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64D58E" w14:textId="39618B58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2B71E1" w14:textId="13BCA673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4A37DC" w14:textId="054DC19A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FE12E2" w14:textId="66451055" w:rsidR="005A19C1" w:rsidRPr="001D5481" w:rsidRDefault="005A19C1" w:rsidP="00E645D2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>
        <w:rPr>
          <w:rFonts w:ascii="Times New Roman" w:eastAsia="微软雅黑" w:hAnsi="Times New Roman" w:cs="Times New Roman" w:hint="eastAs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006036A1" wp14:editId="713481CC">
            <wp:simplePos x="0" y="0"/>
            <wp:positionH relativeFrom="column">
              <wp:posOffset>640080</wp:posOffset>
            </wp:positionH>
            <wp:positionV relativeFrom="paragraph">
              <wp:posOffset>434340</wp:posOffset>
            </wp:positionV>
            <wp:extent cx="3985260" cy="2949575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4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5D2" w:rsidRPr="00E645D2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Additional file </w:t>
      </w:r>
      <w:r w:rsidR="00E645D2">
        <w:rPr>
          <w:rFonts w:ascii="Times New Roman" w:eastAsia="微软雅黑" w:hAnsi="Times New Roman" w:cs="Times New Roman"/>
          <w:b/>
          <w:bCs/>
          <w:sz w:val="24"/>
          <w:szCs w:val="24"/>
        </w:rPr>
        <w:t>4</w:t>
      </w:r>
    </w:p>
    <w:p w14:paraId="42734E5E" w14:textId="0A842C50" w:rsidR="00EA5EF3" w:rsidRDefault="00E645D2" w:rsidP="00EA5EF3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645D2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E645D2">
        <w:rPr>
          <w:rFonts w:ascii="Times New Roman" w:hAnsi="Times New Roman" w:cs="Times New Roman"/>
          <w:b/>
          <w:bCs/>
          <w:sz w:val="24"/>
          <w:szCs w:val="24"/>
        </w:rPr>
        <w:t xml:space="preserve">S3 </w:t>
      </w:r>
      <w:r w:rsidRPr="00E645D2">
        <w:rPr>
          <w:rFonts w:ascii="Times New Roman" w:hAnsi="Times New Roman" w:cs="Times New Roman"/>
          <w:sz w:val="24"/>
          <w:szCs w:val="24"/>
        </w:rPr>
        <w:t>Lovastatin</w:t>
      </w:r>
      <w:r w:rsidR="00EA5EF3">
        <w:t xml:space="preserve"> </w:t>
      </w:r>
      <w:r w:rsidR="00EA5EF3" w:rsidRPr="00EA5EF3">
        <w:rPr>
          <w:rFonts w:ascii="Times New Roman" w:hAnsi="Times New Roman" w:cs="Times New Roman"/>
          <w:sz w:val="24"/>
          <w:szCs w:val="24"/>
        </w:rPr>
        <w:t xml:space="preserve">suppresses growth of orthotopic tumors in nude mice derived from MDA-MB-231 </w:t>
      </w:r>
      <w:r w:rsidR="00EA5EF3">
        <w:rPr>
          <w:rFonts w:ascii="Times New Roman" w:hAnsi="Times New Roman" w:cs="Times New Roman"/>
          <w:sz w:val="24"/>
          <w:szCs w:val="24"/>
        </w:rPr>
        <w:t>CS</w:t>
      </w:r>
      <w:r w:rsidR="00EA5EF3" w:rsidRPr="00EA5EF3">
        <w:rPr>
          <w:rFonts w:ascii="Times New Roman" w:hAnsi="Times New Roman" w:cs="Times New Roman"/>
          <w:sz w:val="24"/>
          <w:szCs w:val="24"/>
        </w:rPr>
        <w:t xml:space="preserve">Cs but not MDA-MB-453 </w:t>
      </w:r>
      <w:r w:rsidR="00EA5EF3">
        <w:rPr>
          <w:rFonts w:ascii="Times New Roman" w:hAnsi="Times New Roman" w:cs="Times New Roman"/>
          <w:sz w:val="24"/>
          <w:szCs w:val="24"/>
        </w:rPr>
        <w:t>CS</w:t>
      </w:r>
      <w:r w:rsidR="00EA5EF3" w:rsidRPr="00EA5EF3">
        <w:rPr>
          <w:rFonts w:ascii="Times New Roman" w:hAnsi="Times New Roman" w:cs="Times New Roman"/>
          <w:sz w:val="24"/>
          <w:szCs w:val="24"/>
        </w:rPr>
        <w:t>Cs.</w:t>
      </w:r>
      <w:r w:rsidRPr="00E645D2">
        <w:rPr>
          <w:rFonts w:ascii="Times New Roman" w:hAnsi="Times New Roman" w:cs="Times New Roman"/>
          <w:sz w:val="24"/>
          <w:szCs w:val="24"/>
        </w:rPr>
        <w:t xml:space="preserve"> </w:t>
      </w:r>
      <w:r w:rsidRPr="003C03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645D2">
        <w:rPr>
          <w:rFonts w:ascii="Times New Roman" w:hAnsi="Times New Roman" w:cs="Times New Roman"/>
          <w:sz w:val="24"/>
          <w:szCs w:val="24"/>
        </w:rPr>
        <w:t xml:space="preserve"> </w:t>
      </w:r>
      <w:r w:rsidR="00EA5EF3" w:rsidRPr="00437CE0">
        <w:rPr>
          <w:rFonts w:ascii="Times New Roman" w:eastAsia="宋体" w:hAnsi="Times New Roman" w:cs="Times New Roman"/>
          <w:sz w:val="24"/>
          <w:szCs w:val="24"/>
        </w:rPr>
        <w:t xml:space="preserve">Change of tumor volume over time </w:t>
      </w:r>
      <w:r w:rsidR="00EA5EF3" w:rsidRPr="00437CE0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 w:rsidR="00EA5EF3" w:rsidRPr="00437CE0">
        <w:rPr>
          <w:rFonts w:ascii="Times New Roman" w:eastAsia="宋体" w:hAnsi="Times New Roman" w:cs="Times New Roman"/>
          <w:sz w:val="24"/>
          <w:szCs w:val="24"/>
        </w:rPr>
        <w:t xml:space="preserve">different groups. </w:t>
      </w:r>
      <w:r w:rsidR="00296217" w:rsidRPr="003C0386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="00EA5EF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EA5EF3" w:rsidRPr="00437CE0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EA5EF3" w:rsidRPr="00437CE0">
        <w:rPr>
          <w:rFonts w:ascii="Times New Roman" w:eastAsia="宋体" w:hAnsi="Times New Roman" w:cs="Times New Roman"/>
          <w:sz w:val="24"/>
          <w:szCs w:val="24"/>
        </w:rPr>
        <w:t xml:space="preserve"> tumor weight of the mice </w:t>
      </w:r>
      <w:r w:rsidR="00EA5EF3" w:rsidRPr="00437CE0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 w:rsidR="00EA5EF3" w:rsidRPr="00437CE0">
        <w:rPr>
          <w:rFonts w:ascii="Times New Roman" w:eastAsia="宋体" w:hAnsi="Times New Roman" w:cs="Times New Roman"/>
          <w:sz w:val="24"/>
          <w:szCs w:val="24"/>
        </w:rPr>
        <w:t xml:space="preserve">different groups. Data </w:t>
      </w:r>
      <w:r w:rsidR="00EA5EF3" w:rsidRPr="00437CE0">
        <w:rPr>
          <w:rFonts w:ascii="Times New Roman" w:eastAsia="宋体" w:hAnsi="Times New Roman" w:cs="Times New Roman" w:hint="eastAsia"/>
          <w:sz w:val="24"/>
          <w:szCs w:val="24"/>
        </w:rPr>
        <w:t xml:space="preserve">are </w:t>
      </w:r>
      <w:r w:rsidR="00EA5EF3" w:rsidRPr="00437CE0">
        <w:rPr>
          <w:rFonts w:ascii="Times New Roman" w:eastAsia="宋体" w:hAnsi="Times New Roman" w:cs="Times New Roman"/>
          <w:sz w:val="24"/>
          <w:szCs w:val="24"/>
        </w:rPr>
        <w:t xml:space="preserve">shown as mean ± SEM. </w:t>
      </w:r>
    </w:p>
    <w:p w14:paraId="37E280DC" w14:textId="4A183262" w:rsidR="00E645D2" w:rsidRDefault="00E761EB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61EB">
        <w:rPr>
          <w:rFonts w:ascii="Times New Roman" w:eastAsia="宋体" w:hAnsi="Times New Roman" w:cs="Times New Roman"/>
          <w:sz w:val="24"/>
          <w:szCs w:val="24"/>
        </w:rPr>
        <w:t xml:space="preserve">* </w:t>
      </w:r>
      <w:r w:rsidRPr="00E761EB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E761EB">
        <w:rPr>
          <w:rFonts w:ascii="Times New Roman" w:eastAsia="宋体" w:hAnsi="Times New Roman" w:cs="Times New Roman"/>
          <w:sz w:val="24"/>
          <w:szCs w:val="24"/>
        </w:rPr>
        <w:t xml:space="preserve"> &lt; 0.05</w:t>
      </w:r>
      <w:r w:rsidRPr="00E761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compared with control</w:t>
      </w:r>
      <w:r w:rsidRPr="00E761EB">
        <w:rPr>
          <w:rFonts w:ascii="Times New Roman" w:eastAsia="宋体" w:hAnsi="Times New Roman" w:cs="Times New Roman"/>
          <w:sz w:val="24"/>
          <w:szCs w:val="24"/>
        </w:rPr>
        <w:t>;</w:t>
      </w:r>
      <w:r w:rsidRPr="00E761EB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761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V or </w:t>
      </w:r>
      <w:proofErr w:type="spellStart"/>
      <w:r w:rsidRPr="00E761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Veh</w:t>
      </w:r>
      <w:proofErr w:type="spellEnd"/>
      <w:r w:rsidRPr="00E761EB">
        <w:rPr>
          <w:rFonts w:ascii="Times New Roman" w:eastAsia="Times New Roman" w:hAnsi="Times New Roman" w:cs="Times New Roman" w:hint="eastAsia"/>
          <w:bCs/>
          <w:sz w:val="24"/>
          <w:szCs w:val="24"/>
          <w:shd w:val="clear" w:color="auto" w:fill="FFFFFF"/>
        </w:rPr>
        <w:t>, vehicle; L</w:t>
      </w:r>
      <w:r w:rsidRPr="00E761E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or LV</w:t>
      </w:r>
      <w:r w:rsidRPr="00E761EB">
        <w:rPr>
          <w:rFonts w:ascii="Times New Roman" w:eastAsia="Times New Roman" w:hAnsi="Times New Roman" w:cs="Times New Roman" w:hint="eastAsia"/>
          <w:bCs/>
          <w:sz w:val="24"/>
          <w:szCs w:val="24"/>
          <w:shd w:val="clear" w:color="auto" w:fill="FFFFFF"/>
        </w:rPr>
        <w:t>, lovastatin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6162150E" w14:textId="4C520CAD" w:rsid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C02043" w14:textId="43695288" w:rsid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89E4F1" w14:textId="77777777" w:rsidR="00E645D2" w:rsidRPr="00E645D2" w:rsidRDefault="00E645D2" w:rsidP="00E64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645D2" w:rsidRPr="00E64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E0913" w14:textId="77777777" w:rsidR="003A6D0F" w:rsidRDefault="003A6D0F" w:rsidP="00E645D2">
      <w:r>
        <w:separator/>
      </w:r>
    </w:p>
  </w:endnote>
  <w:endnote w:type="continuationSeparator" w:id="0">
    <w:p w14:paraId="330F121D" w14:textId="77777777" w:rsidR="003A6D0F" w:rsidRDefault="003A6D0F" w:rsidP="00E6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A01C0" w14:textId="77777777" w:rsidR="003A6D0F" w:rsidRDefault="003A6D0F" w:rsidP="00E645D2">
      <w:r>
        <w:separator/>
      </w:r>
    </w:p>
  </w:footnote>
  <w:footnote w:type="continuationSeparator" w:id="0">
    <w:p w14:paraId="5E33376E" w14:textId="77777777" w:rsidR="003A6D0F" w:rsidRDefault="003A6D0F" w:rsidP="00E64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6F2"/>
    <w:rsid w:val="001D5481"/>
    <w:rsid w:val="00247FE8"/>
    <w:rsid w:val="00296217"/>
    <w:rsid w:val="002D7318"/>
    <w:rsid w:val="003A6D0F"/>
    <w:rsid w:val="003C0386"/>
    <w:rsid w:val="00437CE0"/>
    <w:rsid w:val="005A19C1"/>
    <w:rsid w:val="00605184"/>
    <w:rsid w:val="0080571E"/>
    <w:rsid w:val="00954755"/>
    <w:rsid w:val="009D26F2"/>
    <w:rsid w:val="00B578C6"/>
    <w:rsid w:val="00CF5FA6"/>
    <w:rsid w:val="00E645D2"/>
    <w:rsid w:val="00E761EB"/>
    <w:rsid w:val="00E83D5E"/>
    <w:rsid w:val="00EA5EF3"/>
    <w:rsid w:val="00F27806"/>
    <w:rsid w:val="00F7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9EC61"/>
  <w15:docId w15:val="{FB847EA2-401F-4062-9123-41B1C037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5D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645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057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057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0571E"/>
  </w:style>
  <w:style w:type="paragraph" w:styleId="ab">
    <w:name w:val="annotation subject"/>
    <w:basedOn w:val="a9"/>
    <w:next w:val="a9"/>
    <w:link w:val="ac"/>
    <w:uiPriority w:val="99"/>
    <w:semiHidden/>
    <w:unhideWhenUsed/>
    <w:rsid w:val="008057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0571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0571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05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 CJ</dc:creator>
  <cp:lastModifiedBy>郑 CJ</cp:lastModifiedBy>
  <cp:revision>7</cp:revision>
  <dcterms:created xsi:type="dcterms:W3CDTF">2021-01-02T13:15:00Z</dcterms:created>
  <dcterms:modified xsi:type="dcterms:W3CDTF">2021-01-03T04:10:00Z</dcterms:modified>
</cp:coreProperties>
</file>