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Supporting Information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Facile in-situ construction of 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instrText xml:space="preserve"> HYPERLINK "https://fanyi.sogou.com/javascript: void(0)" </w:instrTex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granular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polyhedral Ag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O</w:t>
      </w:r>
      <w:r>
        <w:rPr>
          <w:rFonts w:hint="default" w:ascii="Times New Roman" w:hAnsi="Times New Roman" w:eastAsia="AdvOT999035f4 + 20" w:cs="Times New Roman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–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Ag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CO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3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/lamellar 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Bi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O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CO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3</w:t>
      </w:r>
      <w:r>
        <w:rPr>
          <w:rFonts w:hint="default" w:ascii="Times New Roman" w:hAnsi="Times New Roman" w:eastAsia="AdvOT999035f4 + 20" w:cs="Times New Roman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–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Bi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MoO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vertAlign w:val="subscript"/>
        </w:rPr>
        <w:t>6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spherical heterojunction 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with enhanced photocatalytic activity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 towards pollutants</w:t>
      </w:r>
    </w:p>
    <w:p>
      <w:pPr>
        <w:spacing w:line="480" w:lineRule="auto"/>
        <w:rPr>
          <w:rFonts w:hint="eastAsia" w:ascii="Times New Roman" w:hAnsi="Times New Roman"/>
          <w:sz w:val="24"/>
          <w:szCs w:val="22"/>
        </w:rPr>
      </w:pPr>
    </w:p>
    <w:p>
      <w:pPr>
        <w:spacing w:line="480" w:lineRule="auto"/>
        <w:rPr>
          <w:rFonts w:ascii="Times New Roman" w:hAnsi="Times New Roman"/>
          <w:i/>
          <w:iCs/>
          <w:szCs w:val="21"/>
          <w:vertAlign w:val="superscript"/>
        </w:rPr>
      </w:pPr>
      <w:r>
        <w:rPr>
          <w:rFonts w:hint="eastAsia" w:ascii="Times New Roman" w:hAnsi="Times New Roman"/>
          <w:sz w:val="24"/>
          <w:szCs w:val="22"/>
        </w:rPr>
        <w:t>Yu Zhang</w:t>
      </w:r>
      <w:r>
        <w:rPr>
          <w:rFonts w:ascii="Times New Roman" w:hAnsi="Times New Roman"/>
          <w:sz w:val="24"/>
          <w:szCs w:val="22"/>
          <w:vertAlign w:val="superscript"/>
        </w:rPr>
        <w:t>a</w:t>
      </w:r>
      <w:r>
        <w:rPr>
          <w:rFonts w:hint="eastAsia" w:ascii="Times New Roman" w:hAnsi="Times New Roman"/>
          <w:sz w:val="24"/>
          <w:szCs w:val="22"/>
          <w:vertAlign w:val="baseline"/>
          <w:lang w:val="en-US" w:eastAsia="zh-CN"/>
        </w:rPr>
        <w:t xml:space="preserve">, </w:t>
      </w:r>
      <w:r>
        <w:rPr>
          <w:rFonts w:ascii="Times New Roman" w:hAnsi="Times New Roman"/>
          <w:sz w:val="24"/>
          <w:szCs w:val="22"/>
        </w:rPr>
        <w:t>Fengyan Ma</w:t>
      </w:r>
      <w:r>
        <w:rPr>
          <w:rFonts w:ascii="Times New Roman" w:hAnsi="Times New Roman"/>
          <w:sz w:val="24"/>
          <w:szCs w:val="22"/>
          <w:vertAlign w:val="superscript"/>
        </w:rPr>
        <w:t>a*</w:t>
      </w:r>
      <w:r>
        <w:rPr>
          <w:rFonts w:ascii="Times New Roman" w:hAnsi="Times New Roman"/>
          <w:sz w:val="24"/>
          <w:szCs w:val="22"/>
        </w:rPr>
        <w:t xml:space="preserve">,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Meihua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Ling</w:t>
      </w:r>
      <w:r>
        <w:rPr>
          <w:rFonts w:ascii="Times New Roman" w:hAnsi="Times New Roman"/>
          <w:sz w:val="24"/>
          <w:szCs w:val="22"/>
          <w:vertAlign w:val="superscript"/>
        </w:rPr>
        <w:t>a</w:t>
      </w:r>
      <w:r>
        <w:rPr>
          <w:rFonts w:hint="eastAsia" w:ascii="Times New Roman" w:hAnsi="Times New Roman"/>
          <w:sz w:val="24"/>
          <w:szCs w:val="22"/>
        </w:rPr>
        <w:t>, Y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anan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Han</w:t>
      </w:r>
      <w:r>
        <w:rPr>
          <w:rFonts w:ascii="Times New Roman" w:hAnsi="Times New Roman"/>
          <w:sz w:val="24"/>
          <w:szCs w:val="22"/>
          <w:vertAlign w:val="superscript"/>
        </w:rPr>
        <w:t>a</w:t>
      </w:r>
      <w:r>
        <w:rPr>
          <w:rFonts w:ascii="Times New Roman" w:hAnsi="Times New Roman"/>
          <w:sz w:val="24"/>
          <w:szCs w:val="22"/>
        </w:rPr>
        <w:t>,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Dandan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Lv</w:t>
      </w:r>
      <w:r>
        <w:rPr>
          <w:rFonts w:hint="eastAsia" w:ascii="Times New Roman" w:hAnsi="Times New Roman"/>
          <w:sz w:val="24"/>
          <w:szCs w:val="22"/>
          <w:vertAlign w:val="superscript"/>
        </w:rPr>
        <w:t>a</w:t>
      </w:r>
      <w:r>
        <w:rPr>
          <w:rFonts w:hint="eastAsia" w:ascii="Times New Roman" w:hAnsi="Times New Roman"/>
          <w:sz w:val="24"/>
          <w:szCs w:val="22"/>
        </w:rPr>
        <w:t xml:space="preserve">,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Zhengjun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Wang</w:t>
      </w:r>
      <w:r>
        <w:rPr>
          <w:rFonts w:hint="eastAsia" w:ascii="Times New Roman" w:hAnsi="Times New Roman"/>
          <w:sz w:val="24"/>
          <w:szCs w:val="22"/>
          <w:vertAlign w:val="superscript"/>
        </w:rPr>
        <w:t>a</w:t>
      </w:r>
      <w:r>
        <w:rPr>
          <w:rFonts w:ascii="Times New Roman" w:hAnsi="Times New Roman"/>
          <w:sz w:val="24"/>
          <w:szCs w:val="22"/>
        </w:rPr>
        <w:t>,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Wenzhi Zhang</w:t>
      </w:r>
      <w:r>
        <w:rPr>
          <w:rFonts w:hint="eastAsia" w:ascii="Times New Roman" w:hAnsi="Times New Roman"/>
          <w:sz w:val="24"/>
          <w:szCs w:val="22"/>
          <w:vertAlign w:val="superscript"/>
        </w:rPr>
        <w:t>a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 xml:space="preserve">, </w:t>
      </w:r>
      <w:r>
        <w:rPr>
          <w:rFonts w:ascii="Times New Roman" w:hAnsi="Times New Roman"/>
          <w:sz w:val="24"/>
          <w:szCs w:val="22"/>
        </w:rPr>
        <w:t>and Li Li</w:t>
      </w:r>
      <w:r>
        <w:rPr>
          <w:rFonts w:ascii="Times New Roman" w:hAnsi="Times New Roman"/>
          <w:sz w:val="24"/>
          <w:szCs w:val="22"/>
          <w:vertAlign w:val="superscript"/>
        </w:rPr>
        <w:t>a,b*</w:t>
      </w:r>
    </w:p>
    <w:p>
      <w:pPr>
        <w:spacing w:line="480" w:lineRule="auto"/>
        <w:rPr>
          <w:rFonts w:ascii="Times New Roman" w:hAnsi="Times New Roman"/>
          <w:i/>
          <w:szCs w:val="22"/>
          <w:vertAlign w:val="superscript"/>
        </w:rPr>
      </w:pPr>
      <w:r>
        <w:rPr>
          <w:rFonts w:ascii="Times New Roman" w:hAnsi="Times New Roman"/>
          <w:i/>
          <w:szCs w:val="22"/>
          <w:vertAlign w:val="superscript"/>
        </w:rPr>
        <w:t>a</w:t>
      </w:r>
      <w:r>
        <w:rPr>
          <w:rFonts w:ascii="Times New Roman" w:hAnsi="Times New Roman"/>
          <w:i/>
          <w:szCs w:val="22"/>
        </w:rPr>
        <w:t xml:space="preserve">College of Chemistry and Chemical Engineering, Qiqihar University, Qiqihar 161006, </w:t>
      </w:r>
      <w:r>
        <w:rPr>
          <w:rFonts w:ascii="Times New Roman" w:hAnsi="Times New Roman"/>
          <w:i/>
          <w:iCs/>
          <w:szCs w:val="22"/>
        </w:rPr>
        <w:t>Heilongjiang, PR China</w:t>
      </w:r>
    </w:p>
    <w:p>
      <w:pPr>
        <w:spacing w:line="480" w:lineRule="auto"/>
        <w:rPr>
          <w:rFonts w:ascii="Times New Roman" w:hAnsi="Times New Roman"/>
          <w:i/>
          <w:iCs/>
          <w:szCs w:val="22"/>
        </w:rPr>
      </w:pPr>
      <w:r>
        <w:rPr>
          <w:rFonts w:ascii="Times New Roman" w:hAnsi="Times New Roman"/>
          <w:i/>
          <w:szCs w:val="22"/>
          <w:vertAlign w:val="superscript"/>
        </w:rPr>
        <w:t>b</w:t>
      </w:r>
      <w:r>
        <w:rPr>
          <w:rFonts w:ascii="Times New Roman" w:hAnsi="Times New Roman"/>
          <w:i/>
          <w:szCs w:val="22"/>
        </w:rPr>
        <w:t xml:space="preserve">College of Materials Science and Engineering, Qiqihar University, Qiqihar 161006, </w:t>
      </w:r>
      <w:r>
        <w:rPr>
          <w:rFonts w:ascii="Times New Roman" w:hAnsi="Times New Roman"/>
          <w:i/>
          <w:iCs/>
          <w:szCs w:val="22"/>
        </w:rPr>
        <w:t>Heilongjiang, PR China</w:t>
      </w:r>
    </w:p>
    <w:p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Corresponding authors. </w:t>
      </w:r>
    </w:p>
    <w:p>
      <w:pPr>
        <w:spacing w:line="480" w:lineRule="auto"/>
        <w:rPr>
          <w:rFonts w:hint="default" w:ascii="Times New Roman" w:hAnsi="Times New Roman" w:cs="Times New Roman"/>
          <w:b/>
          <w:bCs/>
          <w:sz w:val="32"/>
          <w:szCs w:val="32"/>
          <w:highlight w:val="yellow"/>
          <w:lang w:val="en-US" w:eastAsia="zh-CN"/>
        </w:rPr>
      </w:pPr>
      <w:r>
        <w:rPr>
          <w:rFonts w:ascii="Times New Roman" w:hAnsi="Times New Roman"/>
          <w:i/>
          <w:sz w:val="24"/>
          <w:szCs w:val="24"/>
          <w:lang w:val="pt-BR"/>
        </w:rPr>
        <w:t>E-mail</w:t>
      </w:r>
      <w:r>
        <w:rPr>
          <w:rFonts w:ascii="Times New Roman" w:hAnsi="Times New Roman"/>
          <w:sz w:val="24"/>
          <w:szCs w:val="24"/>
          <w:lang w:val="pt-BR"/>
        </w:rPr>
        <w:t>: qqhrlili@126.com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pacing w:line="30" w:lineRule="atLeast"/>
        <w:ind w:firstLine="0" w:firstLineChars="0"/>
        <w:jc w:val="left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Preparation of Bi</w:t>
      </w:r>
      <w:r>
        <w:rPr>
          <w:rFonts w:hint="eastAsia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MoO</w:t>
      </w:r>
      <w:r>
        <w:rPr>
          <w:rFonts w:hint="eastAsia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vertAlign w:val="subscript"/>
          <w:lang w:val="en-US" w:eastAsia="zh-CN" w:bidi="ar"/>
        </w:rPr>
        <w:t xml:space="preserve">6 </w:t>
      </w:r>
      <w:r>
        <w:rPr>
          <w:rFonts w:hint="eastAsia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hollow </w:t>
      </w:r>
      <w:r>
        <w:rPr>
          <w:rFonts w:hint="eastAsia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highlight w:val="none"/>
          <w:vertAlign w:val="baseline"/>
          <w:lang w:val="en-US" w:eastAsia="zh-CN" w:bidi="ar"/>
        </w:rPr>
        <w:t>sphere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Bi(NO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3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)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·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5H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O 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(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2 mmol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)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and 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Na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MoO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4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·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2H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O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(</w:t>
      </w:r>
      <w:r>
        <w:rPr>
          <w:rFonts w:hint="default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1 mmol</w:t>
      </w:r>
      <w:r>
        <w:rPr>
          <w:rFonts w:hint="eastAsia" w:ascii="Times New Roman" w:hAnsi="Times New Roman" w:eastAsia="AdvOTb92eb7df . I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)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were separately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dissolved in ethylene glycol ((CH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OH)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5 mL)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. Then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t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he latter was dropped into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the former followed by ethanol (C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H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5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OH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20 mL) 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to form mixture solution under vigorously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magnetically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stirring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for 2 h. Subsequently,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t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he solution was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moved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to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t</w:t>
      </w:r>
      <w:r>
        <w:rPr>
          <w:rFonts w:hint="default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eflon</w:t>
      </w:r>
      <w:r>
        <w:rPr>
          <w:rFonts w:hint="default" w:ascii="Times New Roman" w:hAnsi="Times New Roman" w:eastAsia="AdvOT999035f4 + 20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–</w:t>
      </w:r>
      <w:r>
        <w:rPr>
          <w:rFonts w:hint="default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lined</w:t>
      </w:r>
      <w:r>
        <w:rPr>
          <w:rFonts w:hint="eastAsia" w:ascii="Times New Roman" w:hAnsi="Times New Roman" w:eastAsia="AdvOTb83ee1dd . B" w:cs="Times New Roman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autoclave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(</w:t>
      </w:r>
      <w:r>
        <w:rPr>
          <w:rFonts w:hint="default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50 mL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)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, sealed and kept for 24 h at 180 °C.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The solid was collected by centrifugation, washed thoroughly with water and ethanol three times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,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and desiccate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d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at 60 °C to obtain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a yellow</w:t>
      </w:r>
      <w:r>
        <w:rPr>
          <w:rFonts w:hint="eastAsia" w:ascii="Times New Roman" w:hAnsi="Times New Roman" w:eastAsia="AdvOT999035f4 + 20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-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green Bi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MoO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vertAlign w:val="subscript"/>
          <w:lang w:val="en-US" w:eastAsia="zh-CN" w:bidi="ar"/>
        </w:rPr>
        <w:t>6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powder.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b92eb7df . I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Characterization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Times New Roman" w:hAnsi="Times New Roman" w:eastAsia="AdvOT999035f4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X-ray diffraction (XRD) patterns of the products were received on a diffractometer (Bruker</w:t>
      </w:r>
      <w:r>
        <w:rPr>
          <w:rFonts w:hint="default" w:ascii="Times New Roman" w:hAnsi="Times New Roman" w:eastAsia="AdvOT999035f4 + 20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–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AXS/D8) using Cu Kα radiation in the range of 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°–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0°. X-ray photoelectron spectra (XPS) measurements were done on a spectrometer (ESCALAB/250Xi) with Al Kα source using C1s peak at 284.6 eV as reference.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Fourier transform infrared (FT</w:t>
      </w:r>
      <w:r>
        <w:rPr>
          <w:rFonts w:hint="default" w:ascii="Times New Roman" w:hAnsi="Times New Roman" w:eastAsia="AdvOT999035f4 + 20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–</w:t>
      </w:r>
      <w:r>
        <w:rPr>
          <w:rFonts w:hint="default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IR) spectra were </w:t>
      </w:r>
      <w:r>
        <w:rPr>
          <w:rFonts w:hint="eastAsia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gathered</w:t>
      </w:r>
      <w:r>
        <w:rPr>
          <w:rFonts w:hint="default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on a Nicolet 6700 spectrometer</w:t>
      </w:r>
      <w:r>
        <w:rPr>
          <w:rFonts w:hint="eastAsia" w:ascii="Times New Roman" w:hAnsi="Times New Roman" w:eastAsia="AdvOT2e364b11" w:cs="Times New Roman"/>
          <w:color w:val="FF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applying</w:t>
      </w:r>
      <w:r>
        <w:rPr>
          <w:rFonts w:hint="default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KBr to grind with test samples.</w:t>
      </w:r>
      <w:r>
        <w:rPr>
          <w:rFonts w:hint="eastAsia" w:ascii="Times New Roman" w:hAnsi="Times New Roman" w:eastAsia="AdvOT2e364b11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The morphological analysis of the samples were performed by transmission electron microscopy (TEM, JEOL/JEM2100F) and scanning electron microscopy (SEM, HitachiS</w:t>
      </w:r>
      <w:r>
        <w:rPr>
          <w:rFonts w:hint="default" w:ascii="Times New Roman" w:hAnsi="Times New Roman" w:eastAsia="AdvOT999035f4 + 20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–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4300).The photoluminescence spectra of different samples were performed by a spectrophotometer (PL, F</w:t>
      </w:r>
      <w:r>
        <w:rPr>
          <w:rFonts w:hint="default" w:ascii="Times New Roman" w:hAnsi="Times New Roman" w:eastAsia="AdvOT999035f4 + 20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–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7000FL). The UV–vis diffuse reflection absorption spectra (DRS) were acquired by a spectrophotometer (Purkinje/TU-1901) using BaSO4 as reference.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Times New Roman" w:hAnsi="Times New Roman" w:eastAsia="AdvOT999035f4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Photoelectrochemical tests were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executed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on an electrochemical workstation (PEC–1000, Bofill).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In the transient photocurrent experiments, the working electrode is a titanium sheet coated with a 1.0 cm x 1.0 cm photocatalyst, the counter electrode is a platinum sheet, and the reference electrode is a saturated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Ag/AgCl (saturated KCl) 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electrode. The working electrode was made as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following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: 0.1 g of catalyst was first put into 5 mL of ethanol, sonicated for 10 min, and then agitated to form a suspension. 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T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</w:rPr>
        <w:t>hereafte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r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,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the suspension was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coated onto a 2.0 cm x 1.0 cm titanium sheet and finally the prepared titanium sheet was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desiccate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d in an drying chest at 50 </w:t>
      </w:r>
      <w:r>
        <w:rPr>
          <w:rFonts w:hint="default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°C</w:t>
      </w:r>
      <w:r>
        <w:rPr>
          <w:rFonts w:hint="eastAsia" w:ascii="Times New Roman" w:hAnsi="Times New Roman" w:eastAsia="AdvOTb83ee1dd . B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for 30 min.</w:t>
      </w:r>
      <w:r>
        <w:rPr>
          <w:rFonts w:hint="eastAsia" w:ascii="Times New Roman" w:hAnsi="Times New Roman" w:eastAsia="AdvOTb83ee1dd . B" w:cs="Times New Roman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The sodium sulphate solution and 300 W xenon lamp (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λ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&gt; 420 nm) were uesed as the electrolyte and the light source during the test process, respectively. An open circuit voltage was approx. 0.3 V.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In the electrochemical impedance experiments, the working electrode was a nickel foam coated with a 1.0 cm x 1.0 cm photocatalyst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. The </w:t>
      </w:r>
      <w:r>
        <w:rPr>
          <w:rFonts w:hint="default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working electrode</w:t>
      </w:r>
      <w:r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prepared and test conditions were similar to the above description.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eastAsia" w:ascii="Times New Roman" w:hAnsi="Times New Roman" w:eastAsia="AdvOTb83ee1dd . B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3152140" cy="2491105"/>
            <wp:effectExtent l="0" t="0" r="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3831" t="3665" r="60552" b="55839"/>
                    <a:stretch>
                      <a:fillRect/>
                    </a:stretch>
                  </pic:blipFill>
                  <pic:spPr>
                    <a:xfrm>
                      <a:off x="0" y="0"/>
                      <a:ext cx="315214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Fig. S1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XRD patterns of stirring at room temperature for 2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h and 18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h</w:t>
      </w:r>
      <w:r>
        <w:rPr>
          <w:rFonts w:hint="default" w:ascii="Times New Roman" w:hAnsi="Times New Roman" w:cs="Times New Roman"/>
          <w:sz w:val="21"/>
          <w:szCs w:val="21"/>
        </w:rPr>
        <w:t xml:space="preserve"> before adding AgNO</w:t>
      </w:r>
      <w:r>
        <w:rPr>
          <w:rFonts w:hint="default"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hint="default" w:ascii="Times New Roman" w:hAnsi="Times New Roman" w:cs="Times New Roman"/>
          <w:sz w:val="21"/>
          <w:szCs w:val="21"/>
        </w:rPr>
        <w:t>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sz w:val="21"/>
          <w:szCs w:val="21"/>
          <w:highlight w:val="cy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OT999035f4 + 2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b92eb7df . I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b83ee1dd . 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999035f4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2e364b11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188D6C"/>
    <w:multiLevelType w:val="singleLevel"/>
    <w:tmpl w:val="EB188D6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80131"/>
    <w:rsid w:val="0287479E"/>
    <w:rsid w:val="07C70A14"/>
    <w:rsid w:val="1AF76EBF"/>
    <w:rsid w:val="1CE724CD"/>
    <w:rsid w:val="1E9D2DB2"/>
    <w:rsid w:val="24305262"/>
    <w:rsid w:val="25655000"/>
    <w:rsid w:val="27580131"/>
    <w:rsid w:val="2DB50318"/>
    <w:rsid w:val="2E4E5F57"/>
    <w:rsid w:val="31496359"/>
    <w:rsid w:val="41942DD8"/>
    <w:rsid w:val="47D12BE7"/>
    <w:rsid w:val="4CF3744D"/>
    <w:rsid w:val="51F648E4"/>
    <w:rsid w:val="574134AB"/>
    <w:rsid w:val="577F20FC"/>
    <w:rsid w:val="59E52814"/>
    <w:rsid w:val="5ABA7716"/>
    <w:rsid w:val="5B751975"/>
    <w:rsid w:val="5BFA340D"/>
    <w:rsid w:val="5F23375D"/>
    <w:rsid w:val="638037BD"/>
    <w:rsid w:val="641B57B0"/>
    <w:rsid w:val="66A61099"/>
    <w:rsid w:val="691B6E7A"/>
    <w:rsid w:val="6B347267"/>
    <w:rsid w:val="6E602011"/>
    <w:rsid w:val="707B75D6"/>
    <w:rsid w:val="73BB2FE8"/>
    <w:rsid w:val="7916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2022-01-15T12:09:00Z</dcterms:created>
  <dc:creator>WPS_1503236821</dc:creator>
  <cp:lastModifiedBy>WPS_1503236821</cp:lastModifiedBy>
  <dcterms:modified xsi:type="dcterms:W3CDTF">2022-03-20T14:22:20Z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6A1D05940B8B44BCBD3FB6D673BE877A</vt:lpwstr>
  </property>
</Properties>
</file>