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1352"/>
        <w:gridCol w:w="1147"/>
        <w:gridCol w:w="1338"/>
        <w:gridCol w:w="1598"/>
        <w:gridCol w:w="2044"/>
        <w:gridCol w:w="1324"/>
        <w:gridCol w:w="977"/>
        <w:gridCol w:w="170"/>
        <w:gridCol w:w="1256"/>
      </w:tblGrid>
      <w:tr w:rsidR="001E4E4A" w:rsidRPr="001E4E4A" w:rsidTr="00734728">
        <w:trPr>
          <w:cantSplit/>
          <w:trHeight w:val="300"/>
        </w:trPr>
        <w:tc>
          <w:tcPr>
            <w:tcW w:w="124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vertAlign w:val="superscript"/>
                <w:lang w:val="en-US" w:eastAsia="da-DK"/>
              </w:rPr>
            </w:pPr>
            <w:bookmarkStart w:id="0" w:name="_GoBack"/>
            <w:bookmarkEnd w:id="0"/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Table 6.a. NEWCASTLE - OTTAWA QUALITY ASSESSMENT SCALE, NOS-score for Cross Sectional Studies. Dialysis.</w:t>
            </w:r>
            <w:r w:rsidRPr="000D1590">
              <w:rPr>
                <w:rFonts w:eastAsia="Times New Roman"/>
                <w:b/>
                <w:bCs/>
                <w:color w:val="000000"/>
                <w:vertAlign w:val="superscript"/>
                <w:lang w:val="en-US" w:eastAsia="da-DK"/>
              </w:rPr>
              <w:t>§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lang w:val="en-US" w:eastAsia="da-DK"/>
              </w:rPr>
            </w:pPr>
          </w:p>
        </w:tc>
      </w:tr>
      <w:tr w:rsidR="001E4E4A" w:rsidRPr="000D1590" w:rsidTr="00734728">
        <w:trPr>
          <w:trHeight w:val="340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2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Selection:                             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Comparability:    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Outcome:                             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</w:tr>
      <w:tr w:rsidR="001E4E4A" w:rsidRPr="000D1590" w:rsidTr="00734728"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References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Representa</w:t>
            </w: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softHyphen/>
              <w:t>tiveness of the sample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2)            Sample size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3)                 Non-respondents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4) Ascertainment of the exposure (risk factor):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                                    The subjects in different outcome groups are comparable, based on the study design or analysis. Confounding factors are controlled.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 Assessment of the outcome: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2)            Statistical test: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</w:p>
          <w:p w:rsidR="001E4E4A" w:rsidRPr="00221BCF" w:rsidRDefault="001E4E4A" w:rsidP="00734728">
            <w:pPr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  <w:t>Quality assessment NOS-score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Albatineh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2019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AL-</w:t>
            </w: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Jumaih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Al-</w:t>
            </w: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Shahrani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Curtin et al, 1998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E4E4A" w:rsidRPr="000D1590" w:rsidRDefault="001E4E4A" w:rsidP="00734728">
            <w:pPr>
              <w:rPr>
                <w:rFonts w:eastAsia="Times New Roman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lang w:val="en-US" w:eastAsia="da-DK"/>
              </w:rPr>
              <w:t>Grubman</w:t>
            </w:r>
            <w:proofErr w:type="spellEnd"/>
            <w:r w:rsidRPr="000D1590">
              <w:rPr>
                <w:rFonts w:eastAsia="Times New Roman"/>
                <w:lang w:val="en-US" w:eastAsia="da-DK"/>
              </w:rPr>
              <w:t>-Nowak 2020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Gutman et al, 1981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8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Helanterá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Holley et al, 1994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Huang et al, 2017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Julian-Mauro et al, 2013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Kasiske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1998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Kutner et al, 1991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Kutner 2010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Kutner 2008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Kwan et al, 2013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Li et al, 2018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Molsted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2004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Nakayama et al, 2015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Neumann et al, 2018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Panagopoulou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2009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lastRenderedPageBreak/>
              <w:t>Parajuli et al, 2016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Ravindran et al, 2020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Takaki et al, 2006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Tanaka et al, 2020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Theorell et al, 1991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Walker et al, 2016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Wilk et al, 2019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Wolcott et al, 1988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1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Zimmerman et al, 2006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</w:tbl>
    <w:p w:rsidR="001E4E4A" w:rsidRPr="00C57D43" w:rsidRDefault="001E4E4A" w:rsidP="001E4E4A">
      <w:pPr>
        <w:contextualSpacing/>
        <w:rPr>
          <w:lang w:val="en-US"/>
        </w:rPr>
      </w:pPr>
      <w:r w:rsidRPr="000D1590">
        <w:rPr>
          <w:sz w:val="28"/>
          <w:szCs w:val="28"/>
          <w:vertAlign w:val="superscript"/>
          <w:lang w:val="en-US"/>
        </w:rPr>
        <w:t>§ A study can be given a maximum of one star (*) for each numbered item within the Selection categories (1-3)</w:t>
      </w:r>
      <w:r>
        <w:rPr>
          <w:sz w:val="28"/>
          <w:szCs w:val="28"/>
          <w:vertAlign w:val="superscript"/>
          <w:lang w:val="en-US"/>
        </w:rPr>
        <w:t xml:space="preserve"> </w:t>
      </w:r>
      <w:r w:rsidRPr="000D1590">
        <w:rPr>
          <w:sz w:val="28"/>
          <w:szCs w:val="28"/>
          <w:vertAlign w:val="superscript"/>
          <w:lang w:val="en-US"/>
        </w:rPr>
        <w:t>and Outcome categories. A maximum of two stars (**) can be given for Selection category 4 and for Comparability.</w:t>
      </w:r>
      <w:r w:rsidRPr="00C57D43">
        <w:rPr>
          <w:lang w:val="en-US"/>
        </w:rPr>
        <w:br w:type="page"/>
      </w:r>
    </w:p>
    <w:tbl>
      <w:tblPr>
        <w:tblW w:w="1435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401"/>
        <w:gridCol w:w="1151"/>
        <w:gridCol w:w="1217"/>
        <w:gridCol w:w="1618"/>
        <w:gridCol w:w="1701"/>
        <w:gridCol w:w="1308"/>
        <w:gridCol w:w="1184"/>
        <w:gridCol w:w="1184"/>
        <w:gridCol w:w="9"/>
        <w:gridCol w:w="1175"/>
      </w:tblGrid>
      <w:tr w:rsidR="001E4E4A" w:rsidRPr="005D66F0" w:rsidTr="00734728">
        <w:trPr>
          <w:trHeight w:val="300"/>
        </w:trPr>
        <w:tc>
          <w:tcPr>
            <w:tcW w:w="131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lastRenderedPageBreak/>
              <w:t>Table 6.b. NEWCASTLE - OTTAWA QUALITY ASSESSMENT SCALE, NOS-score for Cohort Studies. Dialysis.</w:t>
            </w:r>
            <w:r w:rsidRPr="000D1590">
              <w:rPr>
                <w:sz w:val="20"/>
                <w:szCs w:val="20"/>
                <w:vertAlign w:val="superscript"/>
                <w:lang w:val="en-US"/>
              </w:rPr>
              <w:t xml:space="preserve"> §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</w:p>
        </w:tc>
      </w:tr>
      <w:tr w:rsidR="001E4E4A" w:rsidRPr="000D1590" w:rsidTr="00734728">
        <w:trPr>
          <w:trHeight w:val="34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Selection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Comparability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Outcome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</w:p>
        </w:tc>
      </w:tr>
      <w:tr w:rsidR="001E4E4A" w:rsidRPr="000D1590" w:rsidTr="00734728">
        <w:trPr>
          <w:trHeight w:val="1777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References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1) </w:t>
            </w:r>
            <w:proofErr w:type="spellStart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Representa-tiveness</w:t>
            </w:r>
            <w:proofErr w:type="spellEnd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of the exposed cohort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2)          Selection of the </w:t>
            </w:r>
            <w:proofErr w:type="spellStart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non exposed</w:t>
            </w:r>
            <w:proofErr w:type="spellEnd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cohort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3) Ascertain-</w:t>
            </w:r>
            <w:proofErr w:type="spellStart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ment</w:t>
            </w:r>
            <w:proofErr w:type="spellEnd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of exposure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4) Demonstration that outcome of interest was not present at start of study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1)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Comparability of cohorts on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the basis of the design or analysis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 Assessment of outcome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2)                 Was follow-up long enough for outcomes to occur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3)          Adequacy of follow up of cohorts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</w:p>
          <w:p w:rsidR="001E4E4A" w:rsidRPr="00221BCF" w:rsidRDefault="001E4E4A" w:rsidP="00734728">
            <w:pPr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  <w:t>Quality assessment NOS-score</w:t>
            </w:r>
          </w:p>
        </w:tc>
      </w:tr>
      <w:tr w:rsidR="001E4E4A" w:rsidRPr="000D1590" w:rsidTr="007347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Ghani et al, 2018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Imanishi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2017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Jarl et al, 2018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van </w:t>
            </w: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Manen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2001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</w:tbl>
    <w:p w:rsidR="001E4E4A" w:rsidRPr="005D66F0" w:rsidRDefault="001E4E4A" w:rsidP="001E4E4A">
      <w:pPr>
        <w:rPr>
          <w:sz w:val="28"/>
          <w:szCs w:val="28"/>
          <w:vertAlign w:val="superscript"/>
          <w:lang w:val="en-US"/>
        </w:rPr>
      </w:pPr>
      <w:r w:rsidRPr="000D1590">
        <w:rPr>
          <w:sz w:val="28"/>
          <w:szCs w:val="28"/>
          <w:vertAlign w:val="superscript"/>
          <w:lang w:val="en-US"/>
        </w:rPr>
        <w:t>§ A study can be given a maximum of one star for each numbered item within the Selection and Outcome categories. A maximum of two stars can be given for Comparability</w:t>
      </w:r>
      <w:r w:rsidRPr="000D1590">
        <w:rPr>
          <w:sz w:val="20"/>
          <w:szCs w:val="20"/>
          <w:lang w:val="en-US"/>
        </w:rPr>
        <w:br w:type="page"/>
      </w:r>
    </w:p>
    <w:tbl>
      <w:tblPr>
        <w:tblW w:w="1448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2"/>
        <w:gridCol w:w="1390"/>
        <w:gridCol w:w="1389"/>
        <w:gridCol w:w="1253"/>
        <w:gridCol w:w="1525"/>
        <w:gridCol w:w="2061"/>
        <w:gridCol w:w="1389"/>
        <w:gridCol w:w="1389"/>
        <w:gridCol w:w="1007"/>
        <w:gridCol w:w="382"/>
      </w:tblGrid>
      <w:tr w:rsidR="001E4E4A" w:rsidRPr="000D1590" w:rsidTr="00734728">
        <w:trPr>
          <w:trHeight w:val="300"/>
        </w:trPr>
        <w:tc>
          <w:tcPr>
            <w:tcW w:w="141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lastRenderedPageBreak/>
              <w:t>Table 6.c. NEWCASTLE - OTTAWA QUALITY ASSESSMENT SCALE, NOS-score for Cross Sectional studies. Pre- and Post-transplant.</w:t>
            </w:r>
            <w:r w:rsidRPr="000D1590">
              <w:rPr>
                <w:rFonts w:eastAsia="Times New Roman"/>
                <w:color w:val="000000"/>
                <w:vertAlign w:val="superscript"/>
                <w:lang w:val="en-US" w:eastAsia="da-DK"/>
              </w:rPr>
              <w:t>§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  <w:tc>
          <w:tcPr>
            <w:tcW w:w="55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Selection:                                                                     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Comparability:         </w:t>
            </w:r>
          </w:p>
        </w:tc>
        <w:tc>
          <w:tcPr>
            <w:tcW w:w="27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Outcome:                             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 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References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Representativeness of the sample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2)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Sample size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3)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Non-respondents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4) Ascertainment of the exposure (risk factor):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                                     The subjects in different outcome groups are comparable, based on the study design or analysis. Confounding factors are controlled.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 Assessment of the outcome: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2)           Statistical test: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</w:p>
          <w:p w:rsidR="001E4E4A" w:rsidRPr="00221BCF" w:rsidRDefault="001E4E4A" w:rsidP="00734728">
            <w:pPr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  <w:t>Quality assessment NOS-score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Bohlke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2008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9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Chen et al, 2007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Chrisholm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>-Burns, 2011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8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De </w:t>
            </w: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Baere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>, 2010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De Pascale et al, 2019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Eng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Eppenberger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lang w:val="en-US" w:eastAsia="da-DK"/>
              </w:rPr>
              <w:t>Grubman</w:t>
            </w:r>
            <w:proofErr w:type="spellEnd"/>
            <w:r w:rsidRPr="000D1590">
              <w:rPr>
                <w:rFonts w:eastAsia="Times New Roman"/>
                <w:lang w:val="en-US" w:eastAsia="da-DK"/>
              </w:rPr>
              <w:t>-Nowak, 2020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Helanterá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Jordakieva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2020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Julian Mauro 2013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Markell et al, 1997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Matas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2001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Monroe et al, 2005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Nour et al, 2015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Panagopoulou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2009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3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Parajuli et al, 2016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Raiz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>, 1997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8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lastRenderedPageBreak/>
              <w:t>Slakey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2007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AF6480" w:rsidRDefault="001E4E4A" w:rsidP="00734728">
            <w:pPr>
              <w:rPr>
                <w:rFonts w:eastAsia="Times New Roman"/>
                <w:color w:val="000000"/>
                <w:lang w:eastAsia="da-DK"/>
              </w:rPr>
            </w:pPr>
            <w:r w:rsidRPr="00AF6480">
              <w:rPr>
                <w:rFonts w:eastAsia="Times New Roman"/>
                <w:color w:val="000000"/>
                <w:lang w:eastAsia="da-DK"/>
              </w:rPr>
              <w:t>van der Mei et al, 2011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AF6480" w:rsidRDefault="001E4E4A" w:rsidP="00734728">
            <w:pPr>
              <w:rPr>
                <w:rFonts w:eastAsia="Times New Roman"/>
                <w:color w:val="000000"/>
                <w:lang w:eastAsia="da-DK"/>
              </w:rPr>
            </w:pPr>
            <w:r w:rsidRPr="00AF6480">
              <w:rPr>
                <w:rFonts w:eastAsia="Times New Roman"/>
                <w:color w:val="000000"/>
                <w:lang w:eastAsia="da-DK"/>
              </w:rPr>
              <w:t>van der Mei et al, 2006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AF6480" w:rsidRDefault="001E4E4A" w:rsidP="00734728">
            <w:pPr>
              <w:rPr>
                <w:rFonts w:eastAsia="Times New Roman"/>
                <w:color w:val="000000"/>
                <w:lang w:eastAsia="da-DK"/>
              </w:rPr>
            </w:pPr>
            <w:r w:rsidRPr="00AF6480">
              <w:rPr>
                <w:rFonts w:eastAsia="Times New Roman"/>
                <w:color w:val="000000"/>
                <w:lang w:eastAsia="da-DK"/>
              </w:rPr>
              <w:t>van der Mei et al, 2007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cantSplit/>
          <w:trHeight w:val="340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Whitlock et al, 2017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</w:tbl>
    <w:p w:rsidR="001E4E4A" w:rsidRPr="005D66F0" w:rsidRDefault="001E4E4A" w:rsidP="001E4E4A">
      <w:pPr>
        <w:rPr>
          <w:sz w:val="28"/>
          <w:szCs w:val="28"/>
          <w:vertAlign w:val="superscript"/>
          <w:lang w:val="en-US"/>
        </w:rPr>
      </w:pPr>
      <w:r w:rsidRPr="000D1590">
        <w:rPr>
          <w:sz w:val="28"/>
          <w:szCs w:val="28"/>
          <w:vertAlign w:val="superscript"/>
          <w:lang w:val="en-US"/>
        </w:rPr>
        <w:t>§ A study can be given a maximum of one star (*) for each numbered item within the Selection categories (1-3)and Outcome categories. A maximum of two stars (**) can be given for Selection category 4 and for Comparability.</w:t>
      </w:r>
      <w:r w:rsidRPr="000D1590">
        <w:rPr>
          <w:lang w:val="en-US"/>
        </w:rPr>
        <w:br w:type="page"/>
      </w:r>
    </w:p>
    <w:tbl>
      <w:tblPr>
        <w:tblW w:w="1424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021"/>
        <w:gridCol w:w="1021"/>
        <w:gridCol w:w="1021"/>
        <w:gridCol w:w="1628"/>
        <w:gridCol w:w="1618"/>
        <w:gridCol w:w="1241"/>
        <w:gridCol w:w="1148"/>
        <w:gridCol w:w="2005"/>
        <w:gridCol w:w="121"/>
        <w:gridCol w:w="730"/>
        <w:gridCol w:w="418"/>
      </w:tblGrid>
      <w:tr w:rsidR="001E4E4A" w:rsidRPr="000D1590" w:rsidTr="00734728">
        <w:trPr>
          <w:trHeight w:val="300"/>
        </w:trPr>
        <w:tc>
          <w:tcPr>
            <w:tcW w:w="138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lastRenderedPageBreak/>
              <w:t>Table 6.d. NEWCASTLE - OTTAWA QUALITY ASSESSMENT SCALE (NOS-score) for Cohort Studies. Pre- and Post-transplant.</w:t>
            </w:r>
            <w:r w:rsidRPr="000D1590">
              <w:rPr>
                <w:rFonts w:eastAsia="Times New Roman"/>
                <w:b/>
                <w:bCs/>
                <w:color w:val="000000"/>
                <w:vertAlign w:val="superscript"/>
                <w:lang w:val="en-US" w:eastAsia="da-DK"/>
              </w:rPr>
              <w:t>§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</w:p>
        </w:tc>
      </w:tr>
      <w:tr w:rsidR="001E4E4A" w:rsidRPr="000D1590" w:rsidTr="00734728">
        <w:trPr>
          <w:trHeight w:val="34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Selection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 xml:space="preserve"> Comparability 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b/>
                <w:bCs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b/>
                <w:bCs/>
                <w:color w:val="000000"/>
                <w:lang w:val="en-US" w:eastAsia="da-DK"/>
              </w:rPr>
              <w:t>Outcome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</w:tr>
      <w:tr w:rsidR="001E4E4A" w:rsidRPr="000D1590" w:rsidTr="00734728">
        <w:trPr>
          <w:trHeight w:val="1531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References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1) Representativeness of the exposed cohort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2) Selection of the </w:t>
            </w:r>
            <w:proofErr w:type="spellStart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non exposed</w:t>
            </w:r>
            <w:proofErr w:type="spellEnd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cohort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3) Ascertainment of exposure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4) Demonstration that outcome of interest was not present at start of study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1)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Comparability of cohorts </w:t>
            </w:r>
            <w:proofErr w:type="gramStart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on the basis of</w:t>
            </w:r>
            <w:proofErr w:type="gramEnd"/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 the design or analysis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1)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Assessment of outcome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2)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Was follow-up long enough for outcomes to occur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 xml:space="preserve">3) </w:t>
            </w:r>
          </w:p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  <w:t>Adequacy of follow up of cohorts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E4E4A" w:rsidRPr="00221BCF" w:rsidRDefault="001E4E4A" w:rsidP="00734728">
            <w:pPr>
              <w:rPr>
                <w:rFonts w:eastAsia="Times New Roman"/>
                <w:color w:val="000000"/>
                <w:sz w:val="22"/>
                <w:szCs w:val="22"/>
                <w:lang w:val="en-US" w:eastAsia="da-DK"/>
              </w:rPr>
            </w:pPr>
          </w:p>
          <w:p w:rsidR="001E4E4A" w:rsidRPr="00221BCF" w:rsidRDefault="001E4E4A" w:rsidP="00734728">
            <w:pPr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</w:pPr>
            <w:r w:rsidRPr="00221BCF">
              <w:rPr>
                <w:rFonts w:eastAsia="Times New Roman"/>
                <w:b/>
                <w:bCs/>
                <w:color w:val="000000"/>
                <w:sz w:val="22"/>
                <w:szCs w:val="22"/>
                <w:lang w:val="en-US" w:eastAsia="da-DK"/>
              </w:rPr>
              <w:t>Quality assessment NOS-score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Danuser et al, 2017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Jarl et al, 2018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Matas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1996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sz w:val="20"/>
                <w:szCs w:val="20"/>
                <w:lang w:val="en-US" w:eastAsia="da-DK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Messias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Miake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5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Petersen et al, 2008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**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7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Sangalli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4</w:t>
            </w:r>
          </w:p>
        </w:tc>
      </w:tr>
      <w:tr w:rsidR="001E4E4A" w:rsidRPr="000D1590" w:rsidTr="00734728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rPr>
                <w:rFonts w:eastAsia="Times New Roman"/>
                <w:color w:val="000000"/>
                <w:lang w:val="en-US" w:eastAsia="da-DK"/>
              </w:rPr>
            </w:pPr>
            <w:proofErr w:type="spellStart"/>
            <w:r w:rsidRPr="000D1590">
              <w:rPr>
                <w:rFonts w:eastAsia="Times New Roman"/>
                <w:color w:val="000000"/>
                <w:lang w:val="en-US" w:eastAsia="da-DK"/>
              </w:rPr>
              <w:t>Tzvetanov</w:t>
            </w:r>
            <w:proofErr w:type="spellEnd"/>
            <w:r w:rsidRPr="000D1590">
              <w:rPr>
                <w:rFonts w:eastAsia="Times New Roman"/>
                <w:color w:val="000000"/>
                <w:lang w:val="en-US" w:eastAsia="da-DK"/>
              </w:rPr>
              <w:t xml:space="preserve"> et al, 2014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 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*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E4E4A" w:rsidRPr="000D1590" w:rsidRDefault="001E4E4A" w:rsidP="00734728">
            <w:pPr>
              <w:jc w:val="right"/>
              <w:rPr>
                <w:rFonts w:eastAsia="Times New Roman"/>
                <w:color w:val="000000"/>
                <w:lang w:val="en-US" w:eastAsia="da-DK"/>
              </w:rPr>
            </w:pPr>
            <w:r w:rsidRPr="000D1590">
              <w:rPr>
                <w:rFonts w:eastAsia="Times New Roman"/>
                <w:color w:val="000000"/>
                <w:lang w:val="en-US" w:eastAsia="da-DK"/>
              </w:rPr>
              <w:t>6</w:t>
            </w:r>
          </w:p>
        </w:tc>
      </w:tr>
    </w:tbl>
    <w:p w:rsidR="001E4E4A" w:rsidRDefault="001E4E4A" w:rsidP="001E4E4A">
      <w:pPr>
        <w:rPr>
          <w:sz w:val="20"/>
          <w:szCs w:val="20"/>
          <w:lang w:val="en-US"/>
        </w:rPr>
      </w:pPr>
      <w:r w:rsidRPr="000D1590">
        <w:rPr>
          <w:sz w:val="20"/>
          <w:szCs w:val="20"/>
          <w:vertAlign w:val="superscript"/>
          <w:lang w:val="en-US"/>
        </w:rPr>
        <w:t xml:space="preserve">§ </w:t>
      </w:r>
      <w:r w:rsidRPr="000D1590">
        <w:rPr>
          <w:sz w:val="20"/>
          <w:szCs w:val="20"/>
          <w:lang w:val="en-US"/>
        </w:rPr>
        <w:t>A study can be given a maximum of one star for each numbered item within the Selection and Outcome categories. A maximum of two stars can be given for Comparability</w:t>
      </w:r>
      <w:r>
        <w:rPr>
          <w:sz w:val="20"/>
          <w:szCs w:val="20"/>
          <w:lang w:val="en-US"/>
        </w:rPr>
        <w:br w:type="page"/>
      </w:r>
    </w:p>
    <w:p w:rsidR="001E4E4A" w:rsidRDefault="001E4E4A" w:rsidP="001E4E4A">
      <w:pPr>
        <w:rPr>
          <w:sz w:val="20"/>
          <w:szCs w:val="20"/>
          <w:lang w:val="en-US"/>
        </w:rPr>
        <w:sectPr w:rsidR="001E4E4A" w:rsidSect="001E4E4A">
          <w:pgSz w:w="16838" w:h="11906" w:orient="landscape"/>
          <w:pgMar w:top="1134" w:right="1701" w:bottom="1134" w:left="1701" w:header="708" w:footer="708" w:gutter="0"/>
          <w:lnNumType w:countBy="1"/>
          <w:cols w:space="708"/>
          <w:docGrid w:linePitch="360"/>
        </w:sectPr>
      </w:pPr>
    </w:p>
    <w:p w:rsidR="001E4E4A" w:rsidRPr="000334BA" w:rsidRDefault="001E4E4A" w:rsidP="001E4E4A">
      <w:pPr>
        <w:spacing w:line="480" w:lineRule="auto"/>
        <w:rPr>
          <w:b/>
          <w:bCs/>
          <w:lang w:val="en-US"/>
        </w:rPr>
      </w:pPr>
      <w:r w:rsidRPr="000334BA">
        <w:rPr>
          <w:b/>
          <w:bCs/>
          <w:lang w:val="en-US"/>
        </w:rPr>
        <w:lastRenderedPageBreak/>
        <w:t>L</w:t>
      </w:r>
      <w:r>
        <w:rPr>
          <w:b/>
          <w:bCs/>
          <w:lang w:val="en-US"/>
        </w:rPr>
        <w:t>egends to Figures</w:t>
      </w:r>
    </w:p>
    <w:p w:rsidR="001E4E4A" w:rsidRPr="00934B88" w:rsidRDefault="001E4E4A" w:rsidP="001E4E4A">
      <w:pPr>
        <w:spacing w:after="240" w:line="480" w:lineRule="auto"/>
        <w:rPr>
          <w:lang w:val="en-US"/>
        </w:rPr>
      </w:pPr>
      <w:r w:rsidRPr="00934B88">
        <w:rPr>
          <w:lang w:val="en-US"/>
        </w:rPr>
        <w:t xml:space="preserve">Figure 1. Flow chart illustrating the systematic search for studies examining employment outcome in patients with kidney failure receiving dialysis or transplantation. </w:t>
      </w:r>
    </w:p>
    <w:p w:rsidR="001E4E4A" w:rsidRPr="00934B88" w:rsidRDefault="001E4E4A" w:rsidP="001E4E4A">
      <w:pPr>
        <w:spacing w:after="240" w:line="480" w:lineRule="auto"/>
        <w:rPr>
          <w:b/>
          <w:bCs/>
          <w:i/>
          <w:iCs/>
          <w:lang w:val="en-US"/>
        </w:rPr>
      </w:pPr>
      <w:r w:rsidRPr="00934B88">
        <w:rPr>
          <w:b/>
          <w:bCs/>
          <w:i/>
          <w:iCs/>
          <w:lang w:val="en-US"/>
        </w:rPr>
        <w:t>Supplementary:</w:t>
      </w:r>
    </w:p>
    <w:p w:rsidR="001E4E4A" w:rsidRPr="00934B88" w:rsidRDefault="001E4E4A" w:rsidP="001E4E4A">
      <w:pPr>
        <w:spacing w:line="480" w:lineRule="auto"/>
        <w:outlineLvl w:val="0"/>
        <w:rPr>
          <w:rFonts w:eastAsia="Times New Roman"/>
          <w:lang w:val="en-US" w:eastAsia="da-DK"/>
        </w:rPr>
      </w:pPr>
      <w:bookmarkStart w:id="1" w:name="_Hlk55815061"/>
      <w:r w:rsidRPr="00934B88">
        <w:rPr>
          <w:rFonts w:eastAsia="Times New Roman"/>
          <w:lang w:val="en-US" w:eastAsia="da-DK"/>
        </w:rPr>
        <w:t xml:space="preserve">Figure 2.a. Forest Plot of Comparison: Predictors for employment during dialysis. </w:t>
      </w:r>
    </w:p>
    <w:p w:rsidR="001E4E4A" w:rsidRPr="00934B88" w:rsidRDefault="001E4E4A" w:rsidP="001E4E4A">
      <w:pPr>
        <w:spacing w:after="240" w:line="480" w:lineRule="auto"/>
        <w:outlineLvl w:val="0"/>
        <w:rPr>
          <w:lang w:val="en-US"/>
        </w:rPr>
      </w:pPr>
      <w:r w:rsidRPr="00934B88">
        <w:rPr>
          <w:rFonts w:eastAsia="Times New Roman"/>
          <w:lang w:val="en-US" w:eastAsia="da-DK"/>
        </w:rPr>
        <w:t xml:space="preserve">Outcome: </w:t>
      </w:r>
      <w:r w:rsidRPr="00934B88">
        <w:rPr>
          <w:lang w:val="en-US"/>
        </w:rPr>
        <w:t>Non-diabetic or Diabetic.</w:t>
      </w:r>
      <w:r w:rsidRPr="00934B88">
        <w:rPr>
          <w:rFonts w:eastAsia="Times New Roman"/>
          <w:lang w:val="en-US" w:eastAsia="da-DK"/>
        </w:rPr>
        <w:t xml:space="preserve"> </w:t>
      </w:r>
    </w:p>
    <w:p w:rsidR="001E4E4A" w:rsidRPr="00934B88" w:rsidRDefault="001E4E4A" w:rsidP="001E4E4A">
      <w:pPr>
        <w:spacing w:line="480" w:lineRule="auto"/>
        <w:rPr>
          <w:rFonts w:eastAsia="Times New Roman"/>
          <w:lang w:val="en-US" w:eastAsia="da-DK"/>
        </w:rPr>
      </w:pPr>
      <w:bookmarkStart w:id="2" w:name="_Hlk55815256"/>
      <w:bookmarkEnd w:id="1"/>
      <w:r w:rsidRPr="00934B88">
        <w:rPr>
          <w:rFonts w:eastAsia="Times New Roman"/>
          <w:lang w:val="en-US" w:eastAsia="da-DK"/>
        </w:rPr>
        <w:t xml:space="preserve">Figure 2.b. Forest Plot of Comparison: Predictors for employment during dialysis. </w:t>
      </w:r>
    </w:p>
    <w:p w:rsidR="001E4E4A" w:rsidRPr="00934B88" w:rsidRDefault="001E4E4A" w:rsidP="001E4E4A">
      <w:pPr>
        <w:spacing w:after="240" w:line="480" w:lineRule="auto"/>
        <w:rPr>
          <w:lang w:val="en-US"/>
        </w:rPr>
      </w:pPr>
      <w:r w:rsidRPr="00934B88">
        <w:rPr>
          <w:rFonts w:eastAsia="Times New Roman"/>
          <w:lang w:val="en-US" w:eastAsia="da-DK"/>
        </w:rPr>
        <w:t>Outcome: Educational level</w:t>
      </w:r>
      <w:r w:rsidRPr="00934B88">
        <w:rPr>
          <w:lang w:val="en-US"/>
        </w:rPr>
        <w:t xml:space="preserve"> more than high school or high school or less.</w:t>
      </w:r>
    </w:p>
    <w:p w:rsidR="001E4E4A" w:rsidRPr="00934B88" w:rsidRDefault="001E4E4A" w:rsidP="001E4E4A">
      <w:pPr>
        <w:pStyle w:val="EndNoteBibliography"/>
        <w:spacing w:after="0" w:line="480" w:lineRule="auto"/>
        <w:rPr>
          <w:lang w:val="en-US"/>
        </w:rPr>
      </w:pPr>
      <w:bookmarkStart w:id="3" w:name="_Hlk55815400"/>
      <w:bookmarkEnd w:id="2"/>
      <w:r w:rsidRPr="00934B88">
        <w:rPr>
          <w:lang w:val="en-US"/>
        </w:rPr>
        <w:t>Figure 2.c. Forest Plot of Comparison: Predictors for employment during dialysis.</w:t>
      </w:r>
    </w:p>
    <w:p w:rsidR="001E4E4A" w:rsidRPr="00934B88" w:rsidRDefault="001E4E4A" w:rsidP="001E4E4A">
      <w:pPr>
        <w:pStyle w:val="EndNoteBibliography"/>
        <w:spacing w:after="240" w:line="480" w:lineRule="auto"/>
        <w:rPr>
          <w:lang w:val="en-US"/>
        </w:rPr>
      </w:pPr>
      <w:r w:rsidRPr="00934B88">
        <w:rPr>
          <w:lang w:val="en-US"/>
        </w:rPr>
        <w:t>Outcome: Dialysis type: HD or PD.</w:t>
      </w:r>
    </w:p>
    <w:p w:rsidR="001E4E4A" w:rsidRPr="00934B88" w:rsidRDefault="001E4E4A" w:rsidP="001E4E4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eastAsia="Times New Roman"/>
          <w:lang w:val="en-US" w:eastAsia="da-DK"/>
        </w:rPr>
      </w:pPr>
      <w:bookmarkStart w:id="4" w:name="_Hlk55815445"/>
      <w:bookmarkEnd w:id="3"/>
      <w:r w:rsidRPr="00934B88">
        <w:rPr>
          <w:rFonts w:eastAsia="Times New Roman"/>
          <w:lang w:val="en-US" w:eastAsia="da-DK"/>
        </w:rPr>
        <w:t xml:space="preserve">Figure 2.d. Forest Plot of Comparison: Predictors for employment during dialysis. </w:t>
      </w:r>
    </w:p>
    <w:p w:rsidR="001E4E4A" w:rsidRPr="00934B88" w:rsidRDefault="001E4E4A" w:rsidP="001E4E4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480" w:lineRule="auto"/>
        <w:rPr>
          <w:lang w:val="en-US"/>
        </w:rPr>
      </w:pPr>
      <w:r w:rsidRPr="00934B88">
        <w:rPr>
          <w:rFonts w:eastAsia="Times New Roman"/>
          <w:lang w:val="en-US" w:eastAsia="da-DK"/>
        </w:rPr>
        <w:t>Outcome: Gender: Male or Female.</w:t>
      </w:r>
    </w:p>
    <w:bookmarkEnd w:id="4"/>
    <w:p w:rsidR="001E4E4A" w:rsidRPr="00934B88" w:rsidRDefault="001E4E4A" w:rsidP="001E4E4A">
      <w:pPr>
        <w:spacing w:after="240" w:line="480" w:lineRule="auto"/>
        <w:outlineLvl w:val="0"/>
        <w:rPr>
          <w:rFonts w:eastAsia="Times New Roman"/>
          <w:lang w:val="en-US" w:eastAsia="da-DK"/>
        </w:rPr>
      </w:pPr>
    </w:p>
    <w:p w:rsidR="001E4E4A" w:rsidRPr="00934B88" w:rsidRDefault="001E4E4A" w:rsidP="001E4E4A">
      <w:pPr>
        <w:pStyle w:val="EndNoteBibliography"/>
        <w:spacing w:after="0" w:line="480" w:lineRule="auto"/>
        <w:rPr>
          <w:color w:val="auto"/>
          <w:lang w:val="en-US"/>
        </w:rPr>
      </w:pPr>
      <w:r w:rsidRPr="00934B88">
        <w:rPr>
          <w:lang w:val="en-US"/>
        </w:rPr>
        <w:t xml:space="preserve">Figure 3.a. </w:t>
      </w:r>
      <w:bookmarkStart w:id="5" w:name="_Hlk55815649"/>
      <w:r w:rsidRPr="00934B88">
        <w:rPr>
          <w:color w:val="auto"/>
          <w:lang w:val="en-US"/>
        </w:rPr>
        <w:t>Forest Plot of Comparison: Predictors for post-transplant employment.</w:t>
      </w:r>
    </w:p>
    <w:p w:rsidR="001E4E4A" w:rsidRPr="00934B88" w:rsidRDefault="001E4E4A" w:rsidP="001E4E4A">
      <w:pPr>
        <w:pStyle w:val="EndNoteBibliography"/>
        <w:spacing w:after="240" w:line="480" w:lineRule="auto"/>
        <w:rPr>
          <w:lang w:val="en-US"/>
        </w:rPr>
      </w:pPr>
      <w:r w:rsidRPr="00934B88">
        <w:rPr>
          <w:color w:val="auto"/>
          <w:lang w:val="en-US"/>
        </w:rPr>
        <w:t>Outcome: Gender: Male or Female</w:t>
      </w:r>
      <w:bookmarkEnd w:id="5"/>
      <w:r w:rsidRPr="00934B88">
        <w:rPr>
          <w:color w:val="auto"/>
          <w:lang w:val="en-US"/>
        </w:rPr>
        <w:t>.</w:t>
      </w:r>
    </w:p>
    <w:p w:rsidR="001E4E4A" w:rsidRPr="00934B88" w:rsidRDefault="001E4E4A" w:rsidP="001E4E4A">
      <w:pPr>
        <w:spacing w:line="480" w:lineRule="auto"/>
        <w:rPr>
          <w:lang w:val="en-US"/>
        </w:rPr>
      </w:pPr>
      <w:r w:rsidRPr="00934B88">
        <w:rPr>
          <w:lang w:val="en-US"/>
        </w:rPr>
        <w:t xml:space="preserve">Figure 3.b. </w:t>
      </w:r>
      <w:bookmarkStart w:id="6" w:name="_Hlk55815755"/>
      <w:r w:rsidRPr="00934B88">
        <w:rPr>
          <w:lang w:val="en-US"/>
        </w:rPr>
        <w:t>Forest Plot of Comparison: Predictors for post-transplant employment.</w:t>
      </w:r>
    </w:p>
    <w:p w:rsidR="001E4E4A" w:rsidRPr="00934B88" w:rsidRDefault="001E4E4A" w:rsidP="001E4E4A">
      <w:pPr>
        <w:spacing w:after="240" w:line="480" w:lineRule="auto"/>
        <w:rPr>
          <w:lang w:val="en-US"/>
        </w:rPr>
      </w:pPr>
      <w:r w:rsidRPr="00934B88">
        <w:rPr>
          <w:lang w:val="en-US"/>
        </w:rPr>
        <w:t>Outcome: Educational Level; More Than High School or High School or Less.</w:t>
      </w:r>
      <w:bookmarkEnd w:id="6"/>
    </w:p>
    <w:p w:rsidR="001E4E4A" w:rsidRPr="00934B88" w:rsidRDefault="001E4E4A" w:rsidP="001E4E4A">
      <w:pPr>
        <w:pStyle w:val="NormalWeb"/>
        <w:spacing w:before="0" w:after="0" w:line="480" w:lineRule="auto"/>
        <w:rPr>
          <w:rFonts w:cs="Times New Roman"/>
          <w:color w:val="auto"/>
        </w:rPr>
      </w:pPr>
      <w:r w:rsidRPr="00934B88">
        <w:rPr>
          <w:rFonts w:cs="Times New Roman"/>
          <w:color w:val="auto"/>
        </w:rPr>
        <w:t xml:space="preserve">Figure 3.c. </w:t>
      </w:r>
      <w:bookmarkStart w:id="7" w:name="_Hlk55815814"/>
      <w:r w:rsidRPr="00934B88">
        <w:rPr>
          <w:rFonts w:cs="Times New Roman"/>
          <w:color w:val="auto"/>
        </w:rPr>
        <w:t>Forest Plot of Comparison: Predictors for post-transplant employment.</w:t>
      </w:r>
    </w:p>
    <w:p w:rsidR="001E4E4A" w:rsidRPr="00934B88" w:rsidRDefault="001E4E4A" w:rsidP="001E4E4A">
      <w:pPr>
        <w:pStyle w:val="NormalWeb"/>
        <w:spacing w:before="0" w:after="240" w:line="480" w:lineRule="auto"/>
        <w:rPr>
          <w:rFonts w:cs="Times New Roman"/>
          <w:color w:val="auto"/>
        </w:rPr>
      </w:pPr>
      <w:r w:rsidRPr="00934B88">
        <w:rPr>
          <w:rFonts w:cs="Times New Roman"/>
          <w:color w:val="auto"/>
        </w:rPr>
        <w:t>Outcome: Living donor kidney or deceased donor.</w:t>
      </w:r>
      <w:bookmarkEnd w:id="7"/>
    </w:p>
    <w:p w:rsidR="001E4E4A" w:rsidRPr="00934B88" w:rsidRDefault="001E4E4A" w:rsidP="001E4E4A">
      <w:pPr>
        <w:spacing w:line="480" w:lineRule="auto"/>
        <w:outlineLvl w:val="0"/>
        <w:rPr>
          <w:rFonts w:eastAsia="Times New Roman"/>
          <w:lang w:val="en-US" w:eastAsia="da-DK"/>
        </w:rPr>
      </w:pPr>
      <w:r w:rsidRPr="00934B88">
        <w:rPr>
          <w:rFonts w:eastAsia="Times New Roman"/>
          <w:lang w:val="en-US" w:eastAsia="da-DK"/>
        </w:rPr>
        <w:t xml:space="preserve">Figure 3.d. Forest Plot of Comparison: Predictors for post-transplant employment. </w:t>
      </w:r>
    </w:p>
    <w:p w:rsidR="00A80DE9" w:rsidRPr="001E4E4A" w:rsidRDefault="00A80DE9">
      <w:pPr>
        <w:rPr>
          <w:lang w:val="en-US"/>
        </w:rPr>
      </w:pPr>
    </w:p>
    <w:sectPr w:rsidR="00A80DE9" w:rsidRPr="001E4E4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E4E4A"/>
    <w:rsid w:val="001E4E4A"/>
    <w:rsid w:val="003E4FA3"/>
    <w:rsid w:val="00A8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0E94CD-DB46-4307-BDDE-7D57AEC74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E4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uiPriority w:val="99"/>
    <w:rsid w:val="001E4E4A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da-DK"/>
    </w:rPr>
  </w:style>
  <w:style w:type="paragraph" w:customStyle="1" w:styleId="EndNoteBibliography">
    <w:name w:val="EndNote Bibliography"/>
    <w:rsid w:val="001E4E4A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da-DK"/>
    </w:rPr>
  </w:style>
  <w:style w:type="character" w:styleId="Linjenummer">
    <w:name w:val="line number"/>
    <w:basedOn w:val="Standardskrifttypeiafsnit"/>
    <w:uiPriority w:val="99"/>
    <w:semiHidden/>
    <w:unhideWhenUsed/>
    <w:rsid w:val="001E4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957</Words>
  <Characters>5840</Characters>
  <Application>Microsoft Office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 Kirkeskov</dc:creator>
  <cp:keywords/>
  <dc:description/>
  <cp:lastModifiedBy>Lilli Kirkeskov</cp:lastModifiedBy>
  <cp:revision>1</cp:revision>
  <dcterms:created xsi:type="dcterms:W3CDTF">2021-01-20T09:49:00Z</dcterms:created>
  <dcterms:modified xsi:type="dcterms:W3CDTF">2021-01-20T09:51:00Z</dcterms:modified>
</cp:coreProperties>
</file>