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A9B44" w14:textId="4F98AA3E" w:rsidR="00A732A2" w:rsidRPr="001C7F25" w:rsidRDefault="00A732A2" w:rsidP="00A732A2">
      <w:pPr>
        <w:spacing w:line="360" w:lineRule="auto"/>
        <w:jc w:val="center"/>
        <w:rPr>
          <w:rFonts w:ascii="Times New Roman" w:hAnsi="Times New Roman" w:cs="Times New Roman"/>
          <w:b/>
          <w:bCs/>
        </w:rPr>
      </w:pPr>
      <w:r w:rsidRPr="001C7F25">
        <w:rPr>
          <w:rFonts w:ascii="Times New Roman" w:hAnsi="Times New Roman" w:cs="Times New Roman"/>
          <w:b/>
          <w:bCs/>
        </w:rPr>
        <w:t>Universal testing for hepatitis B and hepatitis C in the Emergency Department: A cost-effectiveness and budget impact analysis of two urban hospitals in the United Kingdom:</w:t>
      </w:r>
    </w:p>
    <w:p w14:paraId="1E414826" w14:textId="08BEC609" w:rsidR="00FB05EE" w:rsidRPr="001C7F25" w:rsidRDefault="00A732A2" w:rsidP="00A732A2">
      <w:pPr>
        <w:spacing w:line="360" w:lineRule="auto"/>
        <w:jc w:val="center"/>
        <w:rPr>
          <w:rFonts w:ascii="Times New Roman" w:hAnsi="Times New Roman" w:cs="Times New Roman"/>
          <w:b/>
          <w:bCs/>
        </w:rPr>
      </w:pPr>
      <w:r w:rsidRPr="001C7F25">
        <w:rPr>
          <w:rFonts w:ascii="Times New Roman" w:hAnsi="Times New Roman" w:cs="Times New Roman"/>
          <w:b/>
          <w:bCs/>
        </w:rPr>
        <w:t>Appendix</w:t>
      </w:r>
    </w:p>
    <w:p w14:paraId="4FF27518" w14:textId="2382F9C7" w:rsidR="00095F50" w:rsidRPr="001C7F25" w:rsidRDefault="00095F50">
      <w:pPr>
        <w:rPr>
          <w:rFonts w:ascii="Times New Roman" w:hAnsi="Times New Roman" w:cs="Times New Roman"/>
        </w:rPr>
      </w:pPr>
      <w:r w:rsidRPr="001C7F25">
        <w:rPr>
          <w:rFonts w:ascii="Times New Roman" w:hAnsi="Times New Roman" w:cs="Times New Roman"/>
        </w:rPr>
        <w:br w:type="page"/>
      </w:r>
    </w:p>
    <w:p w14:paraId="72B51BE2" w14:textId="4E19DF6A" w:rsidR="00095F50" w:rsidRPr="001C7F25" w:rsidRDefault="00095F50" w:rsidP="00B260B1">
      <w:pPr>
        <w:pStyle w:val="Heading2"/>
        <w:rPr>
          <w:rFonts w:ascii="Times New Roman" w:hAnsi="Times New Roman" w:cs="Times New Roman"/>
        </w:rPr>
      </w:pPr>
      <w:r w:rsidRPr="001C7F25">
        <w:rPr>
          <w:rFonts w:ascii="Times New Roman" w:hAnsi="Times New Roman" w:cs="Times New Roman"/>
        </w:rPr>
        <w:lastRenderedPageBreak/>
        <w:t xml:space="preserve">Hepatitis B treatment </w:t>
      </w:r>
    </w:p>
    <w:p w14:paraId="4691A2D6" w14:textId="77777777" w:rsidR="00B260B1" w:rsidRPr="001C7F25" w:rsidRDefault="00B260B1">
      <w:pPr>
        <w:rPr>
          <w:rFonts w:ascii="Times New Roman" w:hAnsi="Times New Roman" w:cs="Times New Roman"/>
        </w:rPr>
      </w:pPr>
    </w:p>
    <w:p w14:paraId="4C1C288F" w14:textId="41E1DA81" w:rsidR="00B260B1" w:rsidRPr="001C7F25" w:rsidRDefault="00B260B1" w:rsidP="00B260B1">
      <w:pPr>
        <w:spacing w:line="480" w:lineRule="auto"/>
        <w:rPr>
          <w:rFonts w:ascii="Times New Roman" w:hAnsi="Times New Roman" w:cs="Times New Roman"/>
        </w:rPr>
      </w:pPr>
      <w:r w:rsidRPr="001C7F25">
        <w:rPr>
          <w:rFonts w:ascii="Times New Roman" w:hAnsi="Times New Roman" w:cs="Times New Roman"/>
        </w:rPr>
        <w:t xml:space="preserve">The transition probabilities for the natural history of HBV were largely based upon a HTA performed by Shepherd </w:t>
      </w:r>
      <w:r w:rsidRPr="001C7F25">
        <w:rPr>
          <w:rFonts w:ascii="Times New Roman" w:hAnsi="Times New Roman" w:cs="Times New Roman"/>
          <w:i/>
          <w:iCs/>
        </w:rPr>
        <w:t>et al</w:t>
      </w:r>
      <w:r w:rsidRPr="001C7F25">
        <w:rPr>
          <w:rFonts w:ascii="Times New Roman" w:hAnsi="Times New Roman" w:cs="Times New Roman"/>
        </w:rPr>
        <w:t>.</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ExcludeYear="1"&gt;&lt;Author&gt;Shepherd J&lt;/Author&gt;&lt;Year&gt;2006&lt;/Year&gt;&lt;RecNum&gt;26&lt;/RecNum&gt;&lt;DisplayText&gt;[1]&lt;/DisplayText&gt;&lt;record&gt;&lt;rec-number&gt;26&lt;/rec-number&gt;&lt;foreign-keys&gt;&lt;key app="EN" db-id="tp0rz5a2v2s0v3edrfmpd2pftv2rfwre59az" timestamp="1536338777"&gt;26&lt;/key&gt;&lt;/foreign-keys&gt;&lt;ref-type name="Journal Article"&gt;17&lt;/ref-type&gt;&lt;contributors&gt;&lt;authors&gt;&lt;author&gt;Shepherd J, &lt;/author&gt;&lt;author&gt;Jones J, &lt;/author&gt;&lt;author&gt;Takeda A, &lt;/author&gt;&lt;author&gt;Davidson P, &lt;/author&gt;&lt;author&gt;Price A&lt;/author&gt;&lt;/authors&gt;&lt;/contributors&gt;&lt;titles&gt;&lt;title&gt;Adefovir dipivoxil and pegylated interferon alfa-2a for the treatment of chronic hepatitis B: a systematic review and economic evaluation.&lt;/title&gt;&lt;secondary-title&gt;Health Technol Assess&lt;/secondary-title&gt;&lt;/titles&gt;&lt;periodical&gt;&lt;full-title&gt;Health Technol Assess&lt;/full-title&gt;&lt;/periodical&gt;&lt;volume&gt;10&lt;/volume&gt;&lt;number&gt;28&lt;/number&gt;&lt;dates&gt;&lt;year&gt;2006&lt;/year&gt;&lt;/dates&gt;&lt;urls&gt;&lt;/urls&gt;&lt;electronic-resource-num&gt;https://doi.org/10.3310/hta10280&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[1]</w:t>
      </w:r>
      <w:r w:rsidRPr="001C7F25">
        <w:rPr>
          <w:rFonts w:ascii="Times New Roman" w:hAnsi="Times New Roman" w:cs="Times New Roman"/>
        </w:rPr>
        <w:fldChar w:fldCharType="end"/>
      </w:r>
      <w:r w:rsidRPr="001C7F25">
        <w:rPr>
          <w:rFonts w:ascii="Times New Roman" w:hAnsi="Times New Roman" w:cs="Times New Roman"/>
        </w:rPr>
        <w:t xml:space="preserve"> Treatment related transition probabilities were sourced from various clinical trials, specific to HBeAg status (details below). Since treatment </w:t>
      </w:r>
      <w:r w:rsidR="008B0671" w:rsidRPr="001C7F25">
        <w:rPr>
          <w:rFonts w:ascii="Times New Roman" w:hAnsi="Times New Roman" w:cs="Times New Roman"/>
        </w:rPr>
        <w:t xml:space="preserve">can be for long durations, the model </w:t>
      </w:r>
      <w:r w:rsidRPr="001C7F25">
        <w:rPr>
          <w:rFonts w:ascii="Times New Roman" w:hAnsi="Times New Roman" w:cs="Times New Roman"/>
        </w:rPr>
        <w:t>assume</w:t>
      </w:r>
      <w:r w:rsidR="008B0671" w:rsidRPr="001C7F25">
        <w:rPr>
          <w:rFonts w:ascii="Times New Roman" w:hAnsi="Times New Roman" w:cs="Times New Roman"/>
        </w:rPr>
        <w:t>s</w:t>
      </w:r>
      <w:r w:rsidRPr="001C7F25">
        <w:rPr>
          <w:rFonts w:ascii="Times New Roman" w:hAnsi="Times New Roman" w:cs="Times New Roman"/>
        </w:rPr>
        <w:t xml:space="preserve"> that 3.33% of individuals per year would disengage with care, moving from ‘engaged in care’ or ‘on treatment’ health states to ‘not engaged in care’ health states. This was based </w:t>
      </w:r>
      <w:r w:rsidR="008B0671" w:rsidRPr="001C7F25">
        <w:rPr>
          <w:rFonts w:ascii="Times New Roman" w:hAnsi="Times New Roman" w:cs="Times New Roman"/>
        </w:rPr>
        <w:t xml:space="preserve">on </w:t>
      </w:r>
      <w:r w:rsidRPr="001C7F25">
        <w:rPr>
          <w:rFonts w:ascii="Times New Roman" w:hAnsi="Times New Roman" w:cs="Times New Roman"/>
        </w:rPr>
        <w:t>a</w:t>
      </w:r>
      <w:r w:rsidR="008B0671" w:rsidRPr="001C7F25">
        <w:rPr>
          <w:rFonts w:ascii="Times New Roman" w:hAnsi="Times New Roman" w:cs="Times New Roman"/>
        </w:rPr>
        <w:t xml:space="preserve"> study by </w:t>
      </w:r>
      <w:r w:rsidRPr="001C7F25">
        <w:rPr>
          <w:rFonts w:ascii="Times New Roman" w:hAnsi="Times New Roman" w:cs="Times New Roman"/>
        </w:rPr>
        <w:t>Marcellin, capturing all individuals lost or excluded from the final analysis for any reason other than a clinical justification (</w:t>
      </w:r>
      <w:r w:rsidR="008B0671" w:rsidRPr="001C7F25">
        <w:rPr>
          <w:rFonts w:ascii="Times New Roman" w:hAnsi="Times New Roman" w:cs="Times New Roman"/>
        </w:rPr>
        <w:t>such as a</w:t>
      </w:r>
      <w:r w:rsidRPr="001C7F25">
        <w:rPr>
          <w:rFonts w:ascii="Times New Roman" w:hAnsi="Times New Roman" w:cs="Times New Roman"/>
        </w:rPr>
        <w:t xml:space="preserve"> treatment switch due to tolerability or off treatment subsequent to seroconversion).</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ExcludeYear="1"&gt;&lt;Author&gt;Marcellin&lt;/Author&gt;&lt;Year&gt;2014&lt;/Year&gt;&lt;RecNum&gt;65&lt;/RecNum&gt;&lt;DisplayText&gt;[2]&lt;/DisplayText&gt;&lt;record&gt;&lt;rec-number&gt;65&lt;/rec-number&gt;&lt;foreign-keys&gt;&lt;key app="EN" db-id="tp0rz5a2v2s0v3edrfmpd2pftv2rfwre59az" timestamp="1551112569"&gt;65&lt;/key&gt;&lt;/foreign-keys&gt;&lt;ref-type name="Journal Article"&gt;17&lt;/ref-type&gt;&lt;contributors&gt;&lt;authors&gt;&lt;author&gt;Marcellin, P&lt;/author&gt;&lt;author&gt;Gane, E&lt;/author&gt;&lt;author&gt;Flisiak, R&lt;/author&gt;&lt;author&gt;Trinh, H&lt;/author&gt;&lt;author&gt;Petersen, J&lt;/author&gt;&lt;author&gt;Gurel, S&lt;/author&gt;&lt;author&gt;Kaita, K&lt;/author&gt;&lt;author&gt;Kotzev, I&lt;/author&gt;&lt;author&gt;Tsai, N&lt;/author&gt;&lt;author&gt;Schall, RA&lt;/author&gt;&lt;author&gt;Flaherty, JF&lt;/author&gt;&lt;author&gt;Gaggar, A&lt;/author&gt;&lt;author&gt;Kitrinos, KM&lt;/author&gt;&lt;author&gt;Subramanian, GM&lt;/author&gt;&lt;author&gt;McHutchison, JG&lt;/author&gt;&lt;author&gt;George, J&lt;/author&gt;&lt;author&gt;Janssen, H&lt;/author&gt;&lt;author&gt;Buti, M. &lt;/author&gt;&lt;/authors&gt;&lt;/contributors&gt;&lt;titles&gt;&lt;title&gt;Long-Term Treatment with Tenofovir Disoproxil Fumarate for Chronic Hepatitis B Infection Is Safe and Well Tolerated and Associated with Durable Virologic Response with No Detectable Resistance: 8 Year Results from Two Phase 3 Trials &lt;/title&gt;&lt;secondary-title&gt;65th Annual Meeting of the American Association for the Study of Liver Diseases&lt;/secondary-title&gt;&lt;/titles&gt;&lt;periodical&gt;&lt;full-title&gt;65th Annual Meeting of the American Association for the Study of Liver Diseases&lt;/full-title&gt;&lt;/periodical&gt;&lt;dates&gt;&lt;year&gt;2014&lt;/year&gt;&lt;/dates&gt;&lt;urls&gt;&lt;related-urls&gt;&lt;url&gt;&lt;style face="underline" font="default" size="100%"&gt;http://www.natap.org/2014/AASLD/AASLD_144.htm&lt;/style&gt;&lt;/url&gt;&lt;/related-urls&gt;&lt;/urls&gt;&lt;/record&gt;&lt;/Cite&gt;&lt;/EndNote&gt;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[2]</w:t>
      </w:r>
      <w:r w:rsidRPr="001C7F25">
        <w:rPr>
          <w:rFonts w:ascii="Times New Roman" w:hAnsi="Times New Roman" w:cs="Times New Roman"/>
        </w:rPr>
        <w:fldChar w:fldCharType="end"/>
      </w:r>
      <w:r w:rsidRPr="001C7F25">
        <w:rPr>
          <w:rFonts w:ascii="Times New Roman" w:hAnsi="Times New Roman" w:cs="Times New Roman"/>
        </w:rPr>
        <w:t xml:space="preserve">  </w:t>
      </w:r>
    </w:p>
    <w:p w14:paraId="6F4CE5F7" w14:textId="73E8ED71" w:rsidR="00B260B1" w:rsidRPr="001C7F25" w:rsidRDefault="00B260B1" w:rsidP="00F737BC">
      <w:pPr>
        <w:pStyle w:val="Heading3"/>
        <w:rPr>
          <w:rFonts w:ascii="Times New Roman" w:eastAsiaTheme="minorHAnsi" w:hAnsi="Times New Roman" w:cs="Times New Roman"/>
        </w:rPr>
      </w:pPr>
      <w:r w:rsidRPr="001C7F25">
        <w:rPr>
          <w:rFonts w:ascii="Times New Roman" w:eastAsiaTheme="minorHAnsi" w:hAnsi="Times New Roman" w:cs="Times New Roman"/>
        </w:rPr>
        <w:t xml:space="preserve">HBeAg positive </w:t>
      </w:r>
      <w:r w:rsidR="00930C15" w:rsidRPr="001C7F25">
        <w:rPr>
          <w:rFonts w:ascii="Times New Roman" w:eastAsiaTheme="minorHAnsi" w:hAnsi="Times New Roman" w:cs="Times New Roman"/>
        </w:rPr>
        <w:t>HBV</w:t>
      </w:r>
    </w:p>
    <w:p w14:paraId="187667FA" w14:textId="4D691E0E" w:rsidR="008B0671" w:rsidRPr="001C7F25" w:rsidRDefault="00B260B1" w:rsidP="00B260B1">
      <w:pPr>
        <w:spacing w:line="480" w:lineRule="auto"/>
        <w:rPr>
          <w:rFonts w:ascii="Times New Roman" w:hAnsi="Times New Roman" w:cs="Times New Roman"/>
        </w:rPr>
      </w:pPr>
      <w:r w:rsidRPr="001C7F25">
        <w:rPr>
          <w:rFonts w:ascii="Times New Roman" w:hAnsi="Times New Roman" w:cs="Times New Roman"/>
        </w:rPr>
        <w:t xml:space="preserve">Based on NICE treatment guidelines for </w:t>
      </w:r>
      <w:r w:rsidR="00930C15" w:rsidRPr="001C7F25">
        <w:rPr>
          <w:rFonts w:ascii="Times New Roman" w:hAnsi="Times New Roman" w:cs="Times New Roman"/>
        </w:rPr>
        <w:t>chronic HBV</w:t>
      </w:r>
      <w:r w:rsidRPr="001C7F25">
        <w:rPr>
          <w:rFonts w:ascii="Times New Roman" w:hAnsi="Times New Roman" w:cs="Times New Roman"/>
        </w:rPr>
        <w:t>, it was assumed that HBeAg positive patients identified with active disease were treated with Peginterferon Alfa-2a (PegIFNα) for 48 weeks (assumed one model cycle).</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ExcludeYear="1"&gt;&lt;Author&gt;National Institute for Health and Care Excellence&lt;/Author&gt;&lt;Year&gt;2017&lt;/Year&gt;&lt;RecNum&gt;29&lt;/RecNum&gt;&lt;DisplayText&gt;[3]&lt;/DisplayText&gt;&lt;record&gt;&lt;rec-number&gt;29&lt;/rec-number&gt;&lt;foreign-keys&gt;&lt;key app="EN" db-id="tp0rz5a2v2s0v3edrfmpd2pftv2rfwre59az" timestamp="1536340909"&gt;29&lt;/key&gt;&lt;/foreign-keys&gt;&lt;ref-type name="Report"&gt;27&lt;/ref-type&gt;&lt;contributors&gt;&lt;authors&gt;&lt;author&gt;National Institute for Health and Care Excellence,&lt;/author&gt;&lt;/authors&gt;&lt;/contributors&gt;&lt;titles&gt;&lt;title&gt;Hepatitis B (chronic): diagnosis and management (CG165)&lt;/title&gt;&lt;/titles&gt;&lt;dates&gt;&lt;year&gt;2017&lt;/year&gt;&lt;/dates&gt;&lt;urls&gt;&lt;related-urls&gt;&lt;url&gt;https://www.nice.org.uk/guidance/cg165&lt;/url&gt;&lt;/related-urls&gt;&lt;/urls&gt;&lt;/record&gt;&lt;/Cite&gt;&lt;/EndNote&gt;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[3]</w:t>
      </w:r>
      <w:r w:rsidRPr="001C7F25">
        <w:rPr>
          <w:rFonts w:ascii="Times New Roman" w:hAnsi="Times New Roman" w:cs="Times New Roman"/>
        </w:rPr>
        <w:fldChar w:fldCharType="end"/>
      </w:r>
      <w:r w:rsidRPr="001C7F25">
        <w:rPr>
          <w:rFonts w:ascii="Times New Roman" w:hAnsi="Times New Roman" w:cs="Times New Roman"/>
        </w:rPr>
        <w:t xml:space="preserve"> </w:t>
      </w:r>
      <w:r w:rsidR="008B0671" w:rsidRPr="001C7F25">
        <w:rPr>
          <w:rFonts w:ascii="Times New Roman" w:hAnsi="Times New Roman" w:cs="Times New Roman"/>
        </w:rPr>
        <w:t>The model assumes 32% of individuals achieve e-antigen seroconversion after one year of treatment, whilst 3% achieve HBsAg seroconversion.</w:t>
      </w:r>
      <w:r w:rsidR="008B0671" w:rsidRPr="001C7F25">
        <w:rPr>
          <w:rFonts w:ascii="Times New Roman" w:hAnsi="Times New Roman" w:cs="Times New Roman"/>
        </w:rPr>
        <w:fldChar w:fldCharType="begin">
          <w:fldData xml:space="preserve">PEVuZE5vdGU+PENpdGUgRXhjbHVkZVllYXI9IjEiPjxBdXRob3I+TGF1PC9BdXRob3I+PFllYXI+
MjAwNTwvWWVhcj48UmVjTnVtPjIwPC9SZWNOdW0+PERpc3BsYXlUZXh0PlsxLCA0XTwvRGlzcGxh
eVRleHQ+PHJlY29yZD48cmVjLW51bWJlcj4yMDwvcmVjLW51bWJlcj48Zm9yZWlnbi1rZXlzPjxr
ZXkgYXBwPSJFTiIgZGItaWQ9InRwMHJ6NWEydjJzMHYzZWRyZm1wZDJwZnR2MnJmd3JlNTlheiIg
dGltZXN0YW1wPSIxNTM2MzM2Mzc0Ij4yMDwva2V5PjwvZm9yZWlnbi1rZXlzPjxyZWYtdHlwZSBu
YW1lPSJKb3VybmFsIEFydGljbGUiPjE3PC9yZWYtdHlwZT48Y29udHJpYnV0b3JzPjxhdXRob3Jz
PjxhdXRob3I+TGF1LCBHZW9yZ2UgSy5LLjwvYXV0aG9yPjxhdXRob3I+UGlyYXR2aXN1dGgsIFRl
ZXJoYTwvYXV0aG9yPjxhdXRob3I+THVvLCBLYW5nIFhpYW48L2F1dGhvcj48YXV0aG9yPk1hcmNl
bGxpbiwgUGF0cmljazwvYXV0aG9yPjxhdXRob3I+VGhvbmdzYXdhdCwgU2F0YXdhdDwvYXV0aG9y
PjxhdXRob3I+Q29va3NsZXksIEdyYWhhbTwvYXV0aG9yPjxhdXRob3I+R2FuZSwgRWR3YXJkPC9h
dXRob3I+PGF1dGhvcj5GcmllZCwgTWljaGFlbCBXLjwvYXV0aG9yPjxhdXRob3I+Q2hvdywgV2Fu
IENoZW5nPC9hdXRob3I+PGF1dGhvcj5QYWlrLCBTZXVuZyBXb29uPC9hdXRob3I+PGF1dGhvcj5D
aGFuZywgV2VuIFl1PC9hdXRob3I+PGF1dGhvcj5CZXJnLCBUaG9tYXM8L2F1dGhvcj48YXV0aG9y
PkZsaXNpYWssIFJvYmVydDwvYXV0aG9yPjxhdXRob3I+TWNDbG91ZCwgUGhpbGlwPC9hdXRob3I+
PGF1dGhvcj5QbHVjaywgTmlnZWw8L2F1dGhvcj48L2F1dGhvcnM+PC9jb250cmlidXRvcnM+PHRp
dGxlcz48dGl0bGU+UGVnaW50ZXJmZXJvbiBBbGZhLTJhLCBMYW1pdnVkaW5lLCBhbmQgdGhlIENv
bWJpbmF0aW9uIGZvciBIQmVBZy1Qb3NpdGl2ZSBDaHJvbmljIEhlcGF0aXRpcyBCPC90aXRsZT48
c2Vjb25kYXJ5LXRpdGxlPk4gRW5nbCBKIE1lZDwvc2Vjb25kYXJ5LXRpdGxlPjwvdGl0bGVzPjxw
ZXJpb2RpY2FsPjxmdWxsLXRpdGxlPk4gRW5nbCBKIE1lZDwvZnVsbC10aXRsZT48L3BlcmlvZGlj
YWw+PHBhZ2VzPjI2ODItMjY5NTwvcGFnZXM+PHZvbHVtZT4zNTI8L3ZvbHVtZT48bnVtYmVyPjI2
PC9udW1iZXI+PGRhdGVzPjx5ZWFyPjIwMDU8L3llYXI+PC9kYXRlcz48YWNjZXNzaW9uLW51bT4x
NTk4NzkxNzwvYWNjZXNzaW9uLW51bT48dXJscz48cmVsYXRlZC11cmxzPjx1cmw+aHR0cHM6Ly93
d3cubmVqbS5vcmcvZG9pL2Z1bGwvMTAuMTA1Ni9ORUpNb2EwNDM0NzA8L3VybD48L3JlbGF0ZWQt
dXJscz48L3VybHM+PGVsZWN0cm9uaWMtcmVzb3VyY2UtbnVtPjEwLjEwNTYvTkVKTW9hMDQzNDcw
PC9lbGVjdHJvbmljLXJlc291cmNlLW51bT48L3JlY29yZD48L0NpdGU+PENpdGUgRXhjbHVkZVll
YXI9IjEiPjxBdXRob3I+U2hlcGhlcmQgSjwvQXV0aG9yPjxZZWFyPjIwMDY8L1llYXI+PFJlY051
bT4yNjwvUmVjTnVtPjxyZWNvcmQ+PHJlYy1udW1iZXI+MjY8L3JlYy1udW1iZXI+PGZvcmVpZ24t
a2V5cz48a2V5IGFwcD0iRU4iIGRiLWlkPSJ0cDByejVhMnYyczB2M2VkcmZtcGQycGZ0djJyZndy
ZTU5YXoiIHRpbWVzdGFtcD0iMTUzNjMzODc3NyI+MjY8L2tleT48L2ZvcmVpZ24ta2V5cz48cmVm
LXR5cGUgbmFtZT0iSm91cm5hbCBBcnRpY2xlIj4xNzwvcmVmLXR5cGU+PGNvbnRyaWJ1dG9ycz48
YXV0aG9ycz48YXV0aG9yPlNoZXBoZXJkIEosIDwvYXV0aG9yPjxhdXRob3I+Sm9uZXMgSiwgPC9h
dXRob3I+PGF1dGhvcj5UYWtlZGEgQSwgPC9hdXRob3I+PGF1dGhvcj5EYXZpZHNvbiBQLCA8L2F1
dGhvcj48YXV0aG9yPlByaWNlIEE8L2F1dGhvcj48L2F1dGhvcnM+PC9jb250cmlidXRvcnM+PHRp
dGxlcz48dGl0bGU+QWRlZm92aXIgZGlwaXZveGlsIGFuZCBwZWd5bGF0ZWQgaW50ZXJmZXJvbiBh
bGZhLTJhIGZvciB0aGUgdHJlYXRtZW50IG9mIGNocm9uaWMgaGVwYXRpdGlzIEI6IGEgc3lzdGVt
YXRpYyByZXZpZXcgYW5kIGVjb25vbWljIGV2YWx1YXRpb24uPC90aXRsZT48c2Vjb25kYXJ5LXRp
dGxlPkhlYWx0aCBUZWNobm9sIEFzc2Vzczwvc2Vjb25kYXJ5LXRpdGxlPjwvdGl0bGVzPjxwZXJp
b2RpY2FsPjxmdWxsLXRpdGxlPkhlYWx0aCBUZWNobm9sIEFzc2VzczwvZnVsbC10aXRsZT48L3Bl
cmlvZGljYWw+PHZvbHVtZT4xMDwvdm9sdW1lPjxudW1iZXI+Mjg8L251bWJlcj48ZGF0ZXM+PHll
YXI+MjAwNjwveWVhcj48L2RhdGVzPjx1cmxzPjwvdXJscz48ZWxlY3Ryb25pYy1yZXNvdXJjZS1u
dW0+aHR0cHM6Ly9kb2kub3JnLzEwLjMzMTAvaHRhMTAyODA8L2VsZWN0cm9uaWMtcmVzb3VyY2Ut
bnVtPjwvcmVjb3JkPjwvQ2l0ZT48L0VuZE5vdGU+AG==
</w:fldData>
        </w:fldChar>
      </w:r>
      <w:r w:rsidR="00C948F6">
        <w:rPr>
          <w:rFonts w:ascii="Times New Roman" w:hAnsi="Times New Roman" w:cs="Times New Roman"/>
        </w:rPr>
        <w:instrText xml:space="preserve"> ADDIN EN.CITE </w:instrText>
      </w:r>
      <w:r w:rsidR="00C948F6">
        <w:rPr>
          <w:rFonts w:ascii="Times New Roman" w:hAnsi="Times New Roman" w:cs="Times New Roman"/>
        </w:rPr>
        <w:fldChar w:fldCharType="begin">
          <w:fldData xml:space="preserve">PEVuZE5vdGU+PENpdGUgRXhjbHVkZVllYXI9IjEiPjxBdXRob3I+TGF1PC9BdXRob3I+PFllYXI+
MjAwNTwvWWVhcj48UmVjTnVtPjIwPC9SZWNOdW0+PERpc3BsYXlUZXh0PlsxLCA0XTwvRGlzcGxh
eVRleHQ+PHJlY29yZD48cmVjLW51bWJlcj4yMDwvcmVjLW51bWJlcj48Zm9yZWlnbi1rZXlzPjxr
ZXkgYXBwPSJFTiIgZGItaWQ9InRwMHJ6NWEydjJzMHYzZWRyZm1wZDJwZnR2MnJmd3JlNTlheiIg
dGltZXN0YW1wPSIxNTM2MzM2Mzc0Ij4yMDwva2V5PjwvZm9yZWlnbi1rZXlzPjxyZWYtdHlwZSBu
YW1lPSJKb3VybmFsIEFydGljbGUiPjE3PC9yZWYtdHlwZT48Y29udHJpYnV0b3JzPjxhdXRob3Jz
PjxhdXRob3I+TGF1LCBHZW9yZ2UgSy5LLjwvYXV0aG9yPjxhdXRob3I+UGlyYXR2aXN1dGgsIFRl
ZXJoYTwvYXV0aG9yPjxhdXRob3I+THVvLCBLYW5nIFhpYW48L2F1dGhvcj48YXV0aG9yPk1hcmNl
bGxpbiwgUGF0cmljazwvYXV0aG9yPjxhdXRob3I+VGhvbmdzYXdhdCwgU2F0YXdhdDwvYXV0aG9y
PjxhdXRob3I+Q29va3NsZXksIEdyYWhhbTwvYXV0aG9yPjxhdXRob3I+R2FuZSwgRWR3YXJkPC9h
dXRob3I+PGF1dGhvcj5GcmllZCwgTWljaGFlbCBXLjwvYXV0aG9yPjxhdXRob3I+Q2hvdywgV2Fu
IENoZW5nPC9hdXRob3I+PGF1dGhvcj5QYWlrLCBTZXVuZyBXb29uPC9hdXRob3I+PGF1dGhvcj5D
aGFuZywgV2VuIFl1PC9hdXRob3I+PGF1dGhvcj5CZXJnLCBUaG9tYXM8L2F1dGhvcj48YXV0aG9y
PkZsaXNpYWssIFJvYmVydDwvYXV0aG9yPjxhdXRob3I+TWNDbG91ZCwgUGhpbGlwPC9hdXRob3I+
PGF1dGhvcj5QbHVjaywgTmlnZWw8L2F1dGhvcj48L2F1dGhvcnM+PC9jb250cmlidXRvcnM+PHRp
dGxlcz48dGl0bGU+UGVnaW50ZXJmZXJvbiBBbGZhLTJhLCBMYW1pdnVkaW5lLCBhbmQgdGhlIENv
bWJpbmF0aW9uIGZvciBIQmVBZy1Qb3NpdGl2ZSBDaHJvbmljIEhlcGF0aXRpcyBCPC90aXRsZT48
c2Vjb25kYXJ5LXRpdGxlPk4gRW5nbCBKIE1lZDwvc2Vjb25kYXJ5LXRpdGxlPjwvdGl0bGVzPjxw
ZXJpb2RpY2FsPjxmdWxsLXRpdGxlPk4gRW5nbCBKIE1lZDwvZnVsbC10aXRsZT48L3BlcmlvZGlj
YWw+PHBhZ2VzPjI2ODItMjY5NTwvcGFnZXM+PHZvbHVtZT4zNTI8L3ZvbHVtZT48bnVtYmVyPjI2
PC9udW1iZXI+PGRhdGVzPjx5ZWFyPjIwMDU8L3llYXI+PC9kYXRlcz48YWNjZXNzaW9uLW51bT4x
NTk4NzkxNzwvYWNjZXNzaW9uLW51bT48dXJscz48cmVsYXRlZC11cmxzPjx1cmw+aHR0cHM6Ly93
d3cubmVqbS5vcmcvZG9pL2Z1bGwvMTAuMTA1Ni9ORUpNb2EwNDM0NzA8L3VybD48L3JlbGF0ZWQt
dXJscz48L3VybHM+PGVsZWN0cm9uaWMtcmVzb3VyY2UtbnVtPjEwLjEwNTYvTkVKTW9hMDQzNDcw
PC9lbGVjdHJvbmljLXJlc291cmNlLW51bT48L3JlY29yZD48L0NpdGU+PENpdGUgRXhjbHVkZVll
YXI9IjEiPjxBdXRob3I+U2hlcGhlcmQgSjwvQXV0aG9yPjxZZWFyPjIwMDY8L1llYXI+PFJlY051
bT4yNjwvUmVjTnVtPjxyZWNvcmQ+PHJlYy1udW1iZXI+MjY8L3JlYy1udW1iZXI+PGZvcmVpZ24t
a2V5cz48a2V5IGFwcD0iRU4iIGRiLWlkPSJ0cDByejVhMnYyczB2M2VkcmZtcGQycGZ0djJyZndy
ZTU5YXoiIHRpbWVzdGFtcD0iMTUzNjMzODc3NyI+MjY8L2tleT48L2ZvcmVpZ24ta2V5cz48cmVm
LXR5cGUgbmFtZT0iSm91cm5hbCBBcnRpY2xlIj4xNzwvcmVmLXR5cGU+PGNvbnRyaWJ1dG9ycz48
YXV0aG9ycz48YXV0aG9yPlNoZXBoZXJkIEosIDwvYXV0aG9yPjxhdXRob3I+Sm9uZXMgSiwgPC9h
dXRob3I+PGF1dGhvcj5UYWtlZGEgQSwgPC9hdXRob3I+PGF1dGhvcj5EYXZpZHNvbiBQLCA8L2F1
dGhvcj48YXV0aG9yPlByaWNlIEE8L2F1dGhvcj48L2F1dGhvcnM+PC9jb250cmlidXRvcnM+PHRp
dGxlcz48dGl0bGU+QWRlZm92aXIgZGlwaXZveGlsIGFuZCBwZWd5bGF0ZWQgaW50ZXJmZXJvbiBh
bGZhLTJhIGZvciB0aGUgdHJlYXRtZW50IG9mIGNocm9uaWMgaGVwYXRpdGlzIEI6IGEgc3lzdGVt
YXRpYyByZXZpZXcgYW5kIGVjb25vbWljIGV2YWx1YXRpb24uPC90aXRsZT48c2Vjb25kYXJ5LXRp
dGxlPkhlYWx0aCBUZWNobm9sIEFzc2Vzczwvc2Vjb25kYXJ5LXRpdGxlPjwvdGl0bGVzPjxwZXJp
b2RpY2FsPjxmdWxsLXRpdGxlPkhlYWx0aCBUZWNobm9sIEFzc2VzczwvZnVsbC10aXRsZT48L3Bl
cmlvZGljYWw+PHZvbHVtZT4xMDwvdm9sdW1lPjxudW1iZXI+Mjg8L251bWJlcj48ZGF0ZXM+PHll
YXI+MjAwNjwveWVhcj48L2RhdGVzPjx1cmxzPjwvdXJscz48ZWxlY3Ryb25pYy1yZXNvdXJjZS1u
dW0+aHR0cHM6Ly9kb2kub3JnLzEwLjMzMTAvaHRhMTAyODA8L2VsZWN0cm9uaWMtcmVzb3VyY2Ut
bnVtPjwvcmVjb3JkPjwvQ2l0ZT48L0VuZE5vdGU+AG==
</w:fldData>
        </w:fldChar>
      </w:r>
      <w:r w:rsidR="00C948F6">
        <w:rPr>
          <w:rFonts w:ascii="Times New Roman" w:hAnsi="Times New Roman" w:cs="Times New Roman"/>
        </w:rPr>
        <w:instrText xml:space="preserve"> ADDIN EN.CITE.DATA </w:instrText>
      </w:r>
      <w:r w:rsidR="00C948F6">
        <w:rPr>
          <w:rFonts w:ascii="Times New Roman" w:hAnsi="Times New Roman" w:cs="Times New Roman"/>
        </w:rPr>
      </w:r>
      <w:r w:rsidR="00C948F6">
        <w:rPr>
          <w:rFonts w:ascii="Times New Roman" w:hAnsi="Times New Roman" w:cs="Times New Roman"/>
        </w:rPr>
        <w:fldChar w:fldCharType="end"/>
      </w:r>
      <w:r w:rsidR="008B0671" w:rsidRPr="001C7F25">
        <w:rPr>
          <w:rFonts w:ascii="Times New Roman" w:hAnsi="Times New Roman" w:cs="Times New Roman"/>
        </w:rPr>
        <w:fldChar w:fldCharType="separate"/>
      </w:r>
      <w:r w:rsidR="00C948F6">
        <w:rPr>
          <w:rFonts w:ascii="Times New Roman" w:hAnsi="Times New Roman" w:cs="Times New Roman"/>
          <w:noProof/>
        </w:rPr>
        <w:t>[1, 4]</w:t>
      </w:r>
      <w:r w:rsidR="008B0671" w:rsidRPr="001C7F25">
        <w:rPr>
          <w:rFonts w:ascii="Times New Roman" w:hAnsi="Times New Roman" w:cs="Times New Roman"/>
        </w:rPr>
        <w:fldChar w:fldCharType="end"/>
      </w:r>
      <w:r w:rsidR="008B0671" w:rsidRPr="001C7F25">
        <w:rPr>
          <w:rFonts w:ascii="Times New Roman" w:hAnsi="Times New Roman" w:cs="Times New Roman"/>
        </w:rPr>
        <w:t xml:space="preserve">  </w:t>
      </w:r>
    </w:p>
    <w:p w14:paraId="69AC4442" w14:textId="6CAB0664" w:rsidR="00B260B1" w:rsidRPr="001C7F25" w:rsidRDefault="00B260B1" w:rsidP="00B260B1">
      <w:pPr>
        <w:spacing w:line="480" w:lineRule="auto"/>
        <w:rPr>
          <w:rFonts w:ascii="Times New Roman" w:hAnsi="Times New Roman" w:cs="Times New Roman"/>
        </w:rPr>
      </w:pPr>
      <w:r w:rsidRPr="001C7F25">
        <w:rPr>
          <w:rFonts w:ascii="Times New Roman" w:hAnsi="Times New Roman" w:cs="Times New Roman"/>
        </w:rPr>
        <w:t>For those that do not achieve e-antigen seroconversion, patients were treated with tenofovir disoproxil fumarate (TDF) until e-antigen seroconversion was achieved.</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ExcludeYear="1"&gt;&lt;Author&gt;National Institute for Health and Care Excellence&lt;/Author&gt;&lt;Year&gt;2013&lt;/Year&gt;&lt;RecNum&gt;3&lt;/RecNum&gt;&lt;DisplayText&gt;[5]&lt;/DisplayText&gt;&lt;record&gt;&lt;rec-number&gt;3&lt;/rec-number&gt;&lt;foreign-keys&gt;&lt;key app="EN" db-id="tp0rz5a2v2s0v3edrfmpd2pftv2rfwre59az" timestamp="1534263527"&gt;3&lt;/key&gt;&lt;/foreign-keys&gt;&lt;ref-type name="Report"&gt;27&lt;/ref-type&gt;&lt;contributors&gt;&lt;authors&gt;&lt;author&gt;National Institute for Health and Care Excellence,&lt;/author&gt;&lt;/authors&gt;&lt;/contributors&gt;&lt;titles&gt;&lt;title&gt;Hepatitis B and C testing: people at risk of infection (PH43)&lt;/title&gt;&lt;/titles&gt;&lt;dates&gt;&lt;year&gt;2013&lt;/year&gt;&lt;/dates&gt;&lt;urls&gt;&lt;related-urls&gt;&lt;url&gt;https://www.nice.org.uk/Guidance/PH43&lt;/url&gt;&lt;/related-urls&gt;&lt;/urls&gt;&lt;access-date&gt;22/09/2021&lt;/access-date&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[5]</w:t>
      </w:r>
      <w:r w:rsidRPr="001C7F25">
        <w:rPr>
          <w:rFonts w:ascii="Times New Roman" w:hAnsi="Times New Roman" w:cs="Times New Roman"/>
        </w:rPr>
        <w:fldChar w:fldCharType="end"/>
      </w:r>
      <w:r w:rsidRPr="001C7F25">
        <w:rPr>
          <w:rFonts w:ascii="Times New Roman" w:hAnsi="Times New Roman" w:cs="Times New Roman"/>
        </w:rPr>
        <w:t xml:space="preserve"> For HBeAg positive patients, 13%</w:t>
      </w:r>
      <w:r w:rsidR="008B0671" w:rsidRPr="001C7F25">
        <w:rPr>
          <w:rFonts w:ascii="Times New Roman" w:hAnsi="Times New Roman" w:cs="Times New Roman"/>
        </w:rPr>
        <w:t xml:space="preserve"> were assumed to</w:t>
      </w:r>
      <w:r w:rsidRPr="001C7F25">
        <w:rPr>
          <w:rFonts w:ascii="Times New Roman" w:hAnsi="Times New Roman" w:cs="Times New Roman"/>
        </w:rPr>
        <w:t xml:space="preserve"> receive Emtricitabine alongside TDF.</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[6]</w:t>
      </w:r>
      <w:r w:rsidRPr="001C7F25">
        <w:rPr>
          <w:rFonts w:ascii="Times New Roman" w:hAnsi="Times New Roman" w:cs="Times New Roman"/>
        </w:rPr>
        <w:fldChar w:fldCharType="end"/>
      </w:r>
      <w:r w:rsidR="008B0671" w:rsidRPr="001C7F25">
        <w:rPr>
          <w:rFonts w:ascii="Times New Roman" w:hAnsi="Times New Roman" w:cs="Times New Roman"/>
        </w:rPr>
        <w:t xml:space="preserve"> T</w:t>
      </w:r>
      <w:r w:rsidRPr="001C7F25">
        <w:rPr>
          <w:rFonts w:ascii="Times New Roman" w:hAnsi="Times New Roman" w:cs="Times New Roman"/>
        </w:rPr>
        <w:t xml:space="preserve">he annual probability of those e-antigen seroconverting whilst treated with TDF was estimated to be 5.6%. This was derived from a long term study of TDF, </w:t>
      </w:r>
      <w:r w:rsidR="008B0671" w:rsidRPr="001C7F25">
        <w:rPr>
          <w:rFonts w:ascii="Times New Roman" w:hAnsi="Times New Roman" w:cs="Times New Roman"/>
        </w:rPr>
        <w:t>with</w:t>
      </w:r>
      <w:r w:rsidRPr="001C7F25">
        <w:rPr>
          <w:rFonts w:ascii="Times New Roman" w:hAnsi="Times New Roman" w:cs="Times New Roman"/>
        </w:rPr>
        <w:t xml:space="preserve"> seroconversion </w:t>
      </w:r>
      <w:r w:rsidR="008B0671" w:rsidRPr="001C7F25">
        <w:rPr>
          <w:rFonts w:ascii="Times New Roman" w:hAnsi="Times New Roman" w:cs="Times New Roman"/>
        </w:rPr>
        <w:t xml:space="preserve">calculated </w:t>
      </w:r>
      <w:r w:rsidRPr="001C7F25">
        <w:rPr>
          <w:rFonts w:ascii="Times New Roman" w:hAnsi="Times New Roman" w:cs="Times New Roman"/>
        </w:rPr>
        <w:t>between week</w:t>
      </w:r>
      <w:r w:rsidR="008B0671" w:rsidRPr="001C7F25">
        <w:rPr>
          <w:rFonts w:ascii="Times New Roman" w:hAnsi="Times New Roman" w:cs="Times New Roman"/>
        </w:rPr>
        <w:t>s</w:t>
      </w:r>
      <w:r w:rsidRPr="001C7F25">
        <w:rPr>
          <w:rFonts w:ascii="Times New Roman" w:hAnsi="Times New Roman" w:cs="Times New Roman"/>
        </w:rPr>
        <w:t xml:space="preserve"> 48 and 240</w:t>
      </w:r>
      <w:r w:rsidR="008B0671" w:rsidRPr="001C7F25">
        <w:rPr>
          <w:rFonts w:ascii="Times New Roman" w:hAnsi="Times New Roman" w:cs="Times New Roman"/>
        </w:rPr>
        <w:t xml:space="preserve"> and converted to an annual probability</w:t>
      </w:r>
      <w:r w:rsidRPr="001C7F25">
        <w:rPr>
          <w:rFonts w:ascii="Times New Roman" w:hAnsi="Times New Roman" w:cs="Times New Roman"/>
        </w:rPr>
        <w:t>.</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[6]</w:t>
      </w:r>
      <w:r w:rsidRPr="001C7F25">
        <w:rPr>
          <w:rFonts w:ascii="Times New Roman" w:hAnsi="Times New Roman" w:cs="Times New Roman"/>
        </w:rPr>
        <w:fldChar w:fldCharType="end"/>
      </w:r>
      <w:r w:rsidRPr="001C7F25">
        <w:rPr>
          <w:rFonts w:ascii="Times New Roman" w:hAnsi="Times New Roman" w:cs="Times New Roman"/>
        </w:rPr>
        <w:t xml:space="preserve"> The annual probability of HBsAg seroconversion was estimated to be 1.8% on TDF.</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[6]</w:t>
      </w:r>
      <w:r w:rsidRPr="001C7F25">
        <w:rPr>
          <w:rFonts w:ascii="Times New Roman" w:hAnsi="Times New Roman" w:cs="Times New Roman"/>
        </w:rPr>
        <w:fldChar w:fldCharType="end"/>
      </w:r>
      <w:r w:rsidRPr="001C7F25">
        <w:rPr>
          <w:rFonts w:ascii="Times New Roman" w:hAnsi="Times New Roman" w:cs="Times New Roman"/>
        </w:rPr>
        <w:t xml:space="preserve"> The transition probabilities associated </w:t>
      </w:r>
      <w:r w:rsidR="008B0671" w:rsidRPr="001C7F25">
        <w:rPr>
          <w:rFonts w:ascii="Times New Roman" w:hAnsi="Times New Roman" w:cs="Times New Roman"/>
        </w:rPr>
        <w:t>whilst on</w:t>
      </w:r>
      <w:r w:rsidRPr="001C7F25">
        <w:rPr>
          <w:rFonts w:ascii="Times New Roman" w:hAnsi="Times New Roman" w:cs="Times New Roman"/>
        </w:rPr>
        <w:t xml:space="preserve"> treatment</w:t>
      </w:r>
      <w:r w:rsidR="008B0671" w:rsidRPr="001C7F25">
        <w:rPr>
          <w:rFonts w:ascii="Times New Roman" w:hAnsi="Times New Roman" w:cs="Times New Roman"/>
        </w:rPr>
        <w:t xml:space="preserve"> (</w:t>
      </w:r>
      <w:r w:rsidRPr="001C7F25">
        <w:rPr>
          <w:rFonts w:ascii="Times New Roman" w:hAnsi="Times New Roman" w:cs="Times New Roman"/>
        </w:rPr>
        <w:t>PegIFNα or TDF</w:t>
      </w:r>
      <w:r w:rsidR="008B0671" w:rsidRPr="001C7F25">
        <w:rPr>
          <w:rFonts w:ascii="Times New Roman" w:hAnsi="Times New Roman" w:cs="Times New Roman"/>
        </w:rPr>
        <w:t>)</w:t>
      </w:r>
      <w:r w:rsidRPr="001C7F25">
        <w:rPr>
          <w:rFonts w:ascii="Times New Roman" w:hAnsi="Times New Roman" w:cs="Times New Roman"/>
        </w:rPr>
        <w:t xml:space="preserve"> were assumed to be the same as for individuals achieving e-antigen seroconversion, due to the relatively high virological control and decrease in HBV DNA whilst on treatment.</w:t>
      </w:r>
      <w:r w:rsidRPr="001C7F25">
        <w:rPr>
          <w:rFonts w:ascii="Times New Roman" w:hAnsi="Times New Roman" w:cs="Times New Roman"/>
        </w:rPr>
        <w:fldChar w:fldCharType="begin">
          <w:fldData xml:space="preserve">PEVuZE5vdGU+PENpdGUgRXhjbHVkZVllYXI9IjEiPjxBdXRob3I+TGF1PC9BdXRob3I+PFllYXI+
MjAwNTwvWWVhcj48UmVjTnVtPjIwPC9SZWNOdW0+PERpc3BsYXlUZXh0Pls0LCA2XTwvRGlzcGxh
eVRleHQ+PHJlY29yZD48cmVjLW51bWJlcj4yMDwvcmVjLW51bWJlcj48Zm9yZWlnbi1rZXlzPjxr
ZXkgYXBwPSJFTiIgZGItaWQ9InRwMHJ6NWEydjJzMHYzZWRyZm1wZDJwZnR2MnJmd3JlNTlheiIg
dGltZXN0YW1wPSIxNTM2MzM2Mzc0Ij4yMDwva2V5PjwvZm9yZWlnbi1rZXlzPjxyZWYtdHlwZSBu
YW1lPSJKb3VybmFsIEFydGljbGUiPjE3PC9yZWYtdHlwZT48Y29udHJpYnV0b3JzPjxhdXRob3Jz
PjxhdXRob3I+TGF1LCBHZW9yZ2UgSy5LLjwvYXV0aG9yPjxhdXRob3I+UGlyYXR2aXN1dGgsIFRl
ZXJoYTwvYXV0aG9yPjxhdXRob3I+THVvLCBLYW5nIFhpYW48L2F1dGhvcj48YXV0aG9yPk1hcmNl
bGxpbiwgUGF0cmljazwvYXV0aG9yPjxhdXRob3I+VGhvbmdzYXdhdCwgU2F0YXdhdDwvYXV0aG9y
PjxhdXRob3I+Q29va3NsZXksIEdyYWhhbTwvYXV0aG9yPjxhdXRob3I+R2FuZSwgRWR3YXJkPC9h
dXRob3I+PGF1dGhvcj5GcmllZCwgTWljaGFlbCBXLjwvYXV0aG9yPjxhdXRob3I+Q2hvdywgV2Fu
IENoZW5nPC9hdXRob3I+PGF1dGhvcj5QYWlrLCBTZXVuZyBXb29uPC9hdXRob3I+PGF1dGhvcj5D
aGFuZywgV2VuIFl1PC9hdXRob3I+PGF1dGhvcj5CZXJnLCBUaG9tYXM8L2F1dGhvcj48YXV0aG9y
PkZsaXNpYWssIFJvYmVydDwvYXV0aG9yPjxhdXRob3I+TWNDbG91ZCwgUGhpbGlwPC9hdXRob3I+
PGF1dGhvcj5QbHVjaywgTmlnZWw8L2F1dGhvcj48L2F1dGhvcnM+PC9jb250cmlidXRvcnM+PHRp
dGxlcz48dGl0bGU+UGVnaW50ZXJmZXJvbiBBbGZhLTJhLCBMYW1pdnVkaW5lLCBhbmQgdGhlIENv
bWJpbmF0aW9uIGZvciBIQmVBZy1Qb3NpdGl2ZSBDaHJvbmljIEhlcGF0aXRpcyBCPC90aXRsZT48
c2Vjb25kYXJ5LXRpdGxlPk4gRW5nbCBKIE1lZDwvc2Vjb25kYXJ5LXRpdGxlPjwvdGl0bGVzPjxw
ZXJpb2RpY2FsPjxmdWxsLXRpdGxlPk4gRW5nbCBKIE1lZDwvZnVsbC10aXRsZT48L3BlcmlvZGlj
YWw+PHBhZ2VzPjI2ODItMjY5NTwvcGFnZXM+PHZvbHVtZT4zNTI8L3ZvbHVtZT48bnVtYmVyPjI2
PC9udW1iZXI+PGRhdGVzPjx5ZWFyPjIwMDU8L3llYXI+PC9kYXRlcz48YWNjZXNzaW9uLW51bT4x
NTk4NzkxNzwvYWNjZXNzaW9uLW51bT48dXJscz48cmVsYXRlZC11cmxzPjx1cmw+aHR0cHM6Ly93
d3cubmVqbS5vcmcvZG9pL2Z1bGwvMTAuMTA1Ni9ORUpNb2EwNDM0NzA8L3VybD48L3JlbGF0ZWQt
dXJscz48L3VybHM+PGVsZWN0cm9uaWMtcmVzb3VyY2UtbnVtPjEwLjEwNTYvTkVKTW9hMDQzNDcw
PC9lbGVjdHJvbmljLXJlc291cmNlLW51bT48L3JlY29yZD48L0NpdGU+PENpdGUgRXhjbHVkZVll
YXI9IjEiPjxBdXRob3I+TWFyY2VsbGluPC9BdXRob3I+PFllYXI+MjAxMzwvWWVhcj48UmVjTnVt
PjIxPC9SZWNOdW0+PHJlY29yZD48cmVjLW51bWJlcj4yMTwvcmVjLW51bWJlcj48Zm9yZWlnbi1r
ZXlzPjxrZXkgYXBwPSJFTiIgZGItaWQ9InRwMHJ6NWEydjJzMHYzZWRyZm1wZDJwZnR2MnJmd3Jl
NTlheiIgdGltZXN0YW1wPSIxNTM2MzM2NDE4Ij4yMTwva2V5PjwvZm9yZWlnbi1rZXlzPjxyZWYt
dHlwZSBuYW1lPSJKb3VybmFsIEFydGljbGUiPjE3PC9yZWYtdHlwZT48Y29udHJpYnV0b3JzPjxh
dXRob3JzPjxhdXRob3I+TWFyY2VsbGluLCBQYXRyaWNrPC9hdXRob3I+PGF1dGhvcj5HYW5lLCBF
ZHdhcmQ8L2F1dGhvcj48YXV0aG9yPkJ1dGksIE1hcmlhPC9hdXRob3I+PGF1dGhvcj5BZmRoYWws
IE5lemFtPC9hdXRob3I+PGF1dGhvcj5TaWV2ZXJ0LCBXaWxsaWFtPC9hdXRob3I+PGF1dGhvcj5K
YWNvYnNvbiwgSXJhIE0uPC9hdXRob3I+PGF1dGhvcj5XYXNoaW5ndG9uLCBNYXJ5IEtheTwvYXV0
aG9yPjxhdXRob3I+R2VybWFuaWRpcywgR2VvcmdlPC9hdXRob3I+PGF1dGhvcj5GbGFoZXJ0eSwg
Sm9obiBGLjwvYXV0aG9yPjxhdXRob3I+U2NoYWxsLCBSYXVsIEFndWlsYXI8L2F1dGhvcj48YXV0
aG9yPkJvcm5zdGVpbiwgSmVmZnJleSBELjwvYXV0aG9yPjxhdXRob3I+S2l0cmlub3MsIEthdGhy
eW4gTS48L2F1dGhvcj48YXV0aG9yPlN1YnJhbWFuaWFuLCBHLiBNYW5pPC9hdXRob3I+PGF1dGhv
cj5NY0h1dGNoaXNvbiwgSm9obiBHLjwvYXV0aG9yPjxhdXRob3I+SGVhdGhjb3RlLCBFLiBKZW5u
eTwvYXV0aG9yPjwvYXV0aG9ycz48L2NvbnRyaWJ1dG9ycz48dGl0bGVzPjx0aXRsZT5SZWdyZXNz
aW9uIG9mIGNpcnJob3NpcyBkdXJpbmcgdHJlYXRtZW50IHdpdGggdGVub2ZvdmlyIGRpc29wcm94
aWwgZnVtYXJhdGUgZm9yIGNocm9uaWMgaGVwYXRpdGlzIEI6IGEgNS15ZWFyIG9wZW4tbGFiZWwg
Zm9sbG93LXVwIHN0dWR5PC90aXRsZT48c2Vjb25kYXJ5LXRpdGxlPkxhbmNldDwvc2Vjb25kYXJ5
LXRpdGxlPjwvdGl0bGVzPjxwZXJpb2RpY2FsPjxmdWxsLXRpdGxlPkxhbmNldDwvZnVsbC10aXRs
ZT48L3BlcmlvZGljYWw+PHBhZ2VzPjQ2OC00NzU8L3BhZ2VzPjx2b2x1bWU+MzgxPC92b2x1bWU+
PG51bWJlcj45ODY1PC9udW1iZXI+PGRhdGVzPjx5ZWFyPjIwMTM8L3llYXI+PHB1Yi1kYXRlcz48
ZGF0ZT4yMDEzLzAyLzA5LzwvZGF0ZT48L3B1Yi1kYXRlcz48L2RhdGVzPjxpc2JuPjAxNDAtNjcz
NjwvaXNibj48dXJscz48cmVsYXRlZC11cmxzPjx1cmw+aHR0cDovL3d3dy5zY2llbmNlZGlyZWN0
LmNvbS9zY2llbmNlL2FydGljbGUvcGlpL1MwMTQwNjczNjEyNjE0MjUxPC91cmw+PC9yZWxhdGVk
LXVybHM+PC91cmxzPjxlbGVjdHJvbmljLXJlc291cmNlLW51bT5odHRwczovL2RvaS5vcmcvMTAu
MTAxNi9TMDE0MC02NzM2KDEyKTYxNDI1LTE8L2VsZWN0cm9uaWMtcmVzb3VyY2UtbnVtPjwvcmVj
b3JkPjwvQ2l0ZT48L0VuZE5vdGU+
</w:fldData>
        </w:fldChar>
      </w:r>
      <w:r w:rsidR="00C948F6">
        <w:rPr>
          <w:rFonts w:ascii="Times New Roman" w:hAnsi="Times New Roman" w:cs="Times New Roman"/>
        </w:rPr>
        <w:instrText xml:space="preserve"> ADDIN EN.CITE </w:instrText>
      </w:r>
      <w:r w:rsidR="00C948F6">
        <w:rPr>
          <w:rFonts w:ascii="Times New Roman" w:hAnsi="Times New Roman" w:cs="Times New Roman"/>
        </w:rPr>
        <w:fldChar w:fldCharType="begin">
          <w:fldData xml:space="preserve">PEVuZE5vdGU+PENpdGUgRXhjbHVkZVllYXI9IjEiPjxBdXRob3I+TGF1PC9BdXRob3I+PFllYXI+
MjAwNTwvWWVhcj48UmVjTnVtPjIwPC9SZWNOdW0+PERpc3BsYXlUZXh0Pls0LCA2XTwvRGlzcGxh
eVRleHQ+PHJlY29yZD48cmVjLW51bWJlcj4yMDwvcmVjLW51bWJlcj48Zm9yZWlnbi1rZXlzPjxr
ZXkgYXBwPSJFTiIgZGItaWQ9InRwMHJ6NWEydjJzMHYzZWRyZm1wZDJwZnR2MnJmd3JlNTlheiIg
dGltZXN0YW1wPSIxNTM2MzM2Mzc0Ij4yMDwva2V5PjwvZm9yZWlnbi1rZXlzPjxyZWYtdHlwZSBu
YW1lPSJKb3VybmFsIEFydGljbGUiPjE3PC9yZWYtdHlwZT48Y29udHJpYnV0b3JzPjxhdXRob3Jz
PjxhdXRob3I+TGF1LCBHZW9yZ2UgSy5LLjwvYXV0aG9yPjxhdXRob3I+UGlyYXR2aXN1dGgsIFRl
ZXJoYTwvYXV0aG9yPjxhdXRob3I+THVvLCBLYW5nIFhpYW48L2F1dGhvcj48YXV0aG9yPk1hcmNl
bGxpbiwgUGF0cmljazwvYXV0aG9yPjxhdXRob3I+VGhvbmdzYXdhdCwgU2F0YXdhdDwvYXV0aG9y
PjxhdXRob3I+Q29va3NsZXksIEdyYWhhbTwvYXV0aG9yPjxhdXRob3I+R2FuZSwgRWR3YXJkPC9h
dXRob3I+PGF1dGhvcj5GcmllZCwgTWljaGFlbCBXLjwvYXV0aG9yPjxhdXRob3I+Q2hvdywgV2Fu
IENoZW5nPC9hdXRob3I+PGF1dGhvcj5QYWlrLCBTZXVuZyBXb29uPC9hdXRob3I+PGF1dGhvcj5D
aGFuZywgV2VuIFl1PC9hdXRob3I+PGF1dGhvcj5CZXJnLCBUaG9tYXM8L2F1dGhvcj48YXV0aG9y
PkZsaXNpYWssIFJvYmVydDwvYXV0aG9yPjxhdXRob3I+TWNDbG91ZCwgUGhpbGlwPC9hdXRob3I+
PGF1dGhvcj5QbHVjaywgTmlnZWw8L2F1dGhvcj48L2F1dGhvcnM+PC9jb250cmlidXRvcnM+PHRp
dGxlcz48dGl0bGU+UGVnaW50ZXJmZXJvbiBBbGZhLTJhLCBMYW1pdnVkaW5lLCBhbmQgdGhlIENv
bWJpbmF0aW9uIGZvciBIQmVBZy1Qb3NpdGl2ZSBDaHJvbmljIEhlcGF0aXRpcyBCPC90aXRsZT48
c2Vjb25kYXJ5LXRpdGxlPk4gRW5nbCBKIE1lZDwvc2Vjb25kYXJ5LXRpdGxlPjwvdGl0bGVzPjxw
ZXJpb2RpY2FsPjxmdWxsLXRpdGxlPk4gRW5nbCBKIE1lZDwvZnVsbC10aXRsZT48L3BlcmlvZGlj
YWw+PHBhZ2VzPjI2ODItMjY5NTwvcGFnZXM+PHZvbHVtZT4zNTI8L3ZvbHVtZT48bnVtYmVyPjI2
PC9udW1iZXI+PGRhdGVzPjx5ZWFyPjIwMDU8L3llYXI+PC9kYXRlcz48YWNjZXNzaW9uLW51bT4x
NTk4NzkxNzwvYWNjZXNzaW9uLW51bT48dXJscz48cmVsYXRlZC11cmxzPjx1cmw+aHR0cHM6Ly93
d3cubmVqbS5vcmcvZG9pL2Z1bGwvMTAuMTA1Ni9ORUpNb2EwNDM0NzA8L3VybD48L3JlbGF0ZWQt
dXJscz48L3VybHM+PGVsZWN0cm9uaWMtcmVzb3VyY2UtbnVtPjEwLjEwNTYvTkVKTW9hMDQzNDcw
PC9lbGVjdHJvbmljLXJlc291cmNlLW51bT48L3JlY29yZD48L0NpdGU+PENpdGUgRXhjbHVkZVll
YXI9IjEiPjxBdXRob3I+TWFyY2VsbGluPC9BdXRob3I+PFllYXI+MjAxMzwvWWVhcj48UmVjTnVt
PjIxPC9SZWNOdW0+PHJlY29yZD48cmVjLW51bWJlcj4yMTwvcmVjLW51bWJlcj48Zm9yZWlnbi1r
ZXlzPjxrZXkgYXBwPSJFTiIgZGItaWQ9InRwMHJ6NWEydjJzMHYzZWRyZm1wZDJwZnR2MnJmd3Jl
NTlheiIgdGltZXN0YW1wPSIxNTM2MzM2NDE4Ij4yMTwva2V5PjwvZm9yZWlnbi1rZXlzPjxyZWYt
dHlwZSBuYW1lPSJKb3VybmFsIEFydGljbGUiPjE3PC9yZWYtdHlwZT48Y29udHJpYnV0b3JzPjxh
dXRob3JzPjxhdXRob3I+TWFyY2VsbGluLCBQYXRyaWNrPC9hdXRob3I+PGF1dGhvcj5HYW5lLCBF
ZHdhcmQ8L2F1dGhvcj48YXV0aG9yPkJ1dGksIE1hcmlhPC9hdXRob3I+PGF1dGhvcj5BZmRoYWws
IE5lemFtPC9hdXRob3I+PGF1dGhvcj5TaWV2ZXJ0LCBXaWxsaWFtPC9hdXRob3I+PGF1dGhvcj5K
YWNvYnNvbiwgSXJhIE0uPC9hdXRob3I+PGF1dGhvcj5XYXNoaW5ndG9uLCBNYXJ5IEtheTwvYXV0
aG9yPjxhdXRob3I+R2VybWFuaWRpcywgR2VvcmdlPC9hdXRob3I+PGF1dGhvcj5GbGFoZXJ0eSwg
Sm9obiBGLjwvYXV0aG9yPjxhdXRob3I+U2NoYWxsLCBSYXVsIEFndWlsYXI8L2F1dGhvcj48YXV0
aG9yPkJvcm5zdGVpbiwgSmVmZnJleSBELjwvYXV0aG9yPjxhdXRob3I+S2l0cmlub3MsIEthdGhy
eW4gTS48L2F1dGhvcj48YXV0aG9yPlN1YnJhbWFuaWFuLCBHLiBNYW5pPC9hdXRob3I+PGF1dGhv
cj5NY0h1dGNoaXNvbiwgSm9obiBHLjwvYXV0aG9yPjxhdXRob3I+SGVhdGhjb3RlLCBFLiBKZW5u
eTwvYXV0aG9yPjwvYXV0aG9ycz48L2NvbnRyaWJ1dG9ycz48dGl0bGVzPjx0aXRsZT5SZWdyZXNz
aW9uIG9mIGNpcnJob3NpcyBkdXJpbmcgdHJlYXRtZW50IHdpdGggdGVub2ZvdmlyIGRpc29wcm94
aWwgZnVtYXJhdGUgZm9yIGNocm9uaWMgaGVwYXRpdGlzIEI6IGEgNS15ZWFyIG9wZW4tbGFiZWwg
Zm9sbG93LXVwIHN0dWR5PC90aXRsZT48c2Vjb25kYXJ5LXRpdGxlPkxhbmNldDwvc2Vjb25kYXJ5
LXRpdGxlPjwvdGl0bGVzPjxwZXJpb2RpY2FsPjxmdWxsLXRpdGxlPkxhbmNldDwvZnVsbC10aXRs
ZT48L3BlcmlvZGljYWw+PHBhZ2VzPjQ2OC00NzU8L3BhZ2VzPjx2b2x1bWU+MzgxPC92b2x1bWU+
PG51bWJlcj45ODY1PC9udW1iZXI+PGRhdGVzPjx5ZWFyPjIwMTM8L3llYXI+PHB1Yi1kYXRlcz48
ZGF0ZT4yMDEzLzAyLzA5LzwvZGF0ZT48L3B1Yi1kYXRlcz48L2RhdGVzPjxpc2JuPjAxNDAtNjcz
NjwvaXNibj48dXJscz48cmVsYXRlZC11cmxzPjx1cmw+aHR0cDovL3d3dy5zY2llbmNlZGlyZWN0
LmNvbS9zY2llbmNlL2FydGljbGUvcGlpL1MwMTQwNjczNjEyNjE0MjUxPC91cmw+PC9yZWxhdGVk
LXVybHM+PC91cmxzPjxlbGVjdHJvbmljLXJlc291cmNlLW51bT5odHRwczovL2RvaS5vcmcvMTAu
MTAxNi9TMDE0MC02NzM2KDEyKTYxNDI1LTE8L2VsZWN0cm9uaWMtcmVzb3VyY2UtbnVtPjwvcmVj
b3JkPjwvQ2l0ZT48L0VuZE5vdGU+
</w:fldData>
        </w:fldChar>
      </w:r>
      <w:r w:rsidR="00C948F6">
        <w:rPr>
          <w:rFonts w:ascii="Times New Roman" w:hAnsi="Times New Roman" w:cs="Times New Roman"/>
        </w:rPr>
        <w:instrText xml:space="preserve"> ADDIN EN.CITE.DATA </w:instrText>
      </w:r>
      <w:r w:rsidR="00C948F6">
        <w:rPr>
          <w:rFonts w:ascii="Times New Roman" w:hAnsi="Times New Roman" w:cs="Times New Roman"/>
        </w:rPr>
      </w:r>
      <w:r w:rsidR="00C948F6">
        <w:rPr>
          <w:rFonts w:ascii="Times New Roman" w:hAnsi="Times New Roman" w:cs="Times New Roman"/>
        </w:rPr>
        <w:fldChar w:fldCharType="end"/>
      </w:r>
      <w:r w:rsidRPr="001C7F25">
        <w:rPr>
          <w:rFonts w:ascii="Times New Roman" w:hAnsi="Times New Roman" w:cs="Times New Roman"/>
        </w:rPr>
        <w:fldChar w:fldCharType="separate"/>
      </w:r>
      <w:r w:rsidR="00C948F6">
        <w:rPr>
          <w:rFonts w:ascii="Times New Roman" w:hAnsi="Times New Roman" w:cs="Times New Roman"/>
          <w:noProof/>
        </w:rPr>
        <w:t>[4, 6]</w:t>
      </w:r>
      <w:r w:rsidRPr="001C7F25">
        <w:rPr>
          <w:rFonts w:ascii="Times New Roman" w:hAnsi="Times New Roman" w:cs="Times New Roman"/>
        </w:rPr>
        <w:fldChar w:fldCharType="end"/>
      </w:r>
      <w:r w:rsidRPr="001C7F25">
        <w:rPr>
          <w:rFonts w:ascii="Times New Roman" w:hAnsi="Times New Roman" w:cs="Times New Roman"/>
        </w:rPr>
        <w:t xml:space="preserve"> This is supported by long term data in which 98% of individuals treated with TDF achieved a virological response at 8 years.</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ExcludeYear="1"&gt;&lt;Author&gt;Marcellin&lt;/Author&gt;&lt;Year&gt;2014&lt;/Year&gt;&lt;RecNum&gt;65&lt;/RecNum&gt;&lt;DisplayText&gt;[2]&lt;/DisplayText&gt;&lt;record&gt;&lt;rec-number&gt;65&lt;/rec-number&gt;&lt;foreign-keys&gt;&lt;key app="EN" db-id="tp0rz5a2v2s0v3edrfmpd2pftv2rfwre59az" timestamp="1551112569"&gt;65&lt;/key&gt;&lt;/foreign-keys&gt;&lt;ref-type name="Journal Article"&gt;17&lt;/ref-type&gt;&lt;contributors&gt;&lt;authors&gt;&lt;author&gt;Marcellin, P&lt;/author&gt;&lt;author&gt;Gane, E&lt;/author&gt;&lt;author&gt;Flisiak, R&lt;/author&gt;&lt;author&gt;Trinh, H&lt;/author&gt;&lt;author&gt;Petersen, J&lt;/author&gt;&lt;author&gt;Gurel, S&lt;/author&gt;&lt;author&gt;Kaita, K&lt;/author&gt;&lt;author&gt;Kotzev, I&lt;/author&gt;&lt;author&gt;Tsai, N&lt;/author&gt;&lt;author&gt;Schall, RA&lt;/author&gt;&lt;author&gt;Flaherty, JF&lt;/author&gt;&lt;author&gt;Gaggar, A&lt;/author&gt;&lt;author&gt;Kitrinos, KM&lt;/author&gt;&lt;author&gt;Subramanian, GM&lt;/author&gt;&lt;author&gt;McHutchison, JG&lt;/author&gt;&lt;author&gt;George, J&lt;/author&gt;&lt;author&gt;Janssen, H&lt;/author&gt;&lt;author&gt;Buti, M. &lt;/author&gt;&lt;/authors&gt;&lt;/contributors&gt;&lt;titles&gt;&lt;title&gt;Long-Term Treatment with Tenofovir Disoproxil Fumarate for Chronic Hepatitis B Infection Is Safe and Well Tolerated and Associated with Durable Virologic Response with No Detectable Resistance: 8 Year Results from Two Phase 3 Trials &lt;/title&gt;&lt;secondary-title&gt;65th Annual Meeting of the American Association for the Study of Liver Diseases&lt;/secondary-title&gt;&lt;/titles&gt;&lt;periodical&gt;&lt;full-title&gt;65th Annual Meeting of the American Association for the Study of Liver Diseases&lt;/full-title&gt;&lt;/periodical&gt;&lt;dates&gt;&lt;year&gt;2014&lt;/year&gt;&lt;/dates&gt;&lt;urls&gt;&lt;related-urls&gt;&lt;url&gt;&lt;style face="underline" font="default" size="100%"&gt;http://www.natap.org/2014/AASLD/AASLD_144.htm&lt;/style&gt;&lt;/url&gt;&lt;/related-urls&gt;&lt;/urls&gt;&lt;/record&gt;&lt;/Cite&gt;&lt;/EndNote&gt;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[2]</w:t>
      </w:r>
      <w:r w:rsidRPr="001C7F25">
        <w:rPr>
          <w:rFonts w:ascii="Times New Roman" w:hAnsi="Times New Roman" w:cs="Times New Roman"/>
        </w:rPr>
        <w:fldChar w:fldCharType="end"/>
      </w:r>
      <w:r w:rsidRPr="001C7F25">
        <w:rPr>
          <w:rFonts w:ascii="Times New Roman" w:hAnsi="Times New Roman" w:cs="Times New Roman"/>
        </w:rPr>
        <w:t xml:space="preserve"> HBeAg positive individuals with no cirrhosis were assumed to cease treatment upon e-antigen </w:t>
      </w:r>
      <w:r w:rsidRPr="001C7F25">
        <w:rPr>
          <w:rFonts w:ascii="Times New Roman" w:hAnsi="Times New Roman" w:cs="Times New Roman"/>
        </w:rPr>
        <w:lastRenderedPageBreak/>
        <w:t>seroconversion. For cirrhotic individuals, treatment with TDF was assumed to continue</w:t>
      </w:r>
      <w:r w:rsidR="008B0671" w:rsidRPr="001C7F25">
        <w:rPr>
          <w:rFonts w:ascii="Times New Roman" w:hAnsi="Times New Roman" w:cs="Times New Roman"/>
        </w:rPr>
        <w:t>, even after</w:t>
      </w:r>
      <w:r w:rsidRPr="001C7F25">
        <w:rPr>
          <w:rFonts w:ascii="Times New Roman" w:hAnsi="Times New Roman" w:cs="Times New Roman"/>
        </w:rPr>
        <w:t xml:space="preserve"> e-antigen seroconversion. </w:t>
      </w:r>
    </w:p>
    <w:p w14:paraId="10C39662" w14:textId="77777777" w:rsidR="00B260B1" w:rsidRPr="001C7F25" w:rsidRDefault="00B260B1" w:rsidP="00B260B1">
      <w:pPr>
        <w:spacing w:line="480" w:lineRule="auto"/>
        <w:rPr>
          <w:rFonts w:ascii="Times New Roman" w:hAnsi="Times New Roman" w:cs="Times New Roman"/>
        </w:rPr>
      </w:pPr>
    </w:p>
    <w:p w14:paraId="3A6CF17D" w14:textId="430BD57D" w:rsidR="00B260B1" w:rsidRPr="001C7F25" w:rsidRDefault="00B260B1" w:rsidP="00B260B1">
      <w:pPr>
        <w:pStyle w:val="Heading3"/>
        <w:rPr>
          <w:rFonts w:ascii="Times New Roman" w:hAnsi="Times New Roman" w:cs="Times New Roman"/>
        </w:rPr>
      </w:pPr>
      <w:r w:rsidRPr="001C7F25">
        <w:rPr>
          <w:rFonts w:ascii="Times New Roman" w:hAnsi="Times New Roman" w:cs="Times New Roman"/>
        </w:rPr>
        <w:t xml:space="preserve">HBeAg negative </w:t>
      </w:r>
      <w:r w:rsidR="00930C15" w:rsidRPr="001C7F25">
        <w:rPr>
          <w:rFonts w:ascii="Times New Roman" w:hAnsi="Times New Roman" w:cs="Times New Roman"/>
        </w:rPr>
        <w:t>HBV</w:t>
      </w:r>
    </w:p>
    <w:p w14:paraId="0079119F" w14:textId="6FB146DA" w:rsidR="00B260B1" w:rsidRPr="001C7F25" w:rsidRDefault="00B260B1" w:rsidP="00B260B1">
      <w:pPr>
        <w:spacing w:line="480" w:lineRule="auto"/>
        <w:rPr>
          <w:rFonts w:ascii="Times New Roman" w:hAnsi="Times New Roman" w:cs="Times New Roman"/>
        </w:rPr>
      </w:pPr>
      <w:r w:rsidRPr="001C7F25">
        <w:rPr>
          <w:rFonts w:ascii="Times New Roman" w:hAnsi="Times New Roman" w:cs="Times New Roman"/>
        </w:rPr>
        <w:t>Similarly to those with HBeAg positive disease, individuals with HBeAg negative disease were treated with PegIFNα</w:t>
      </w:r>
      <w:r w:rsidRPr="001C7F25" w:rsidDel="009C04B9">
        <w:rPr>
          <w:rFonts w:ascii="Times New Roman" w:hAnsi="Times New Roman" w:cs="Times New Roman"/>
        </w:rPr>
        <w:t xml:space="preserve"> </w:t>
      </w:r>
      <w:r w:rsidRPr="001C7F25">
        <w:rPr>
          <w:rFonts w:ascii="Times New Roman" w:hAnsi="Times New Roman" w:cs="Times New Roman"/>
        </w:rPr>
        <w:t>for one year, and then treated with TDF thereafter (independent of disease activity), in line with NICE guidelines.</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ExcludeYear="1"&gt;&lt;Author&gt;National Institute for Health and Care Excellence&lt;/Author&gt;&lt;Year&gt;2017&lt;/Year&gt;&lt;RecNum&gt;29&lt;/RecNum&gt;&lt;DisplayText&gt;[3]&lt;/DisplayText&gt;&lt;record&gt;&lt;rec-number&gt;29&lt;/rec-number&gt;&lt;foreign-keys&gt;&lt;key app="EN" db-id="tp0rz5a2v2s0v3edrfmpd2pftv2rfwre59az" timestamp="1536340909"&gt;29&lt;/key&gt;&lt;/foreign-keys&gt;&lt;ref-type name="Report"&gt;27&lt;/ref-type&gt;&lt;contributors&gt;&lt;authors&gt;&lt;author&gt;National Institute for Health and Care Excellence,&lt;/author&gt;&lt;/authors&gt;&lt;/contributors&gt;&lt;titles&gt;&lt;title&gt;Hepatitis B (chronic): diagnosis and management (CG165)&lt;/title&gt;&lt;/titles&gt;&lt;dates&gt;&lt;year&gt;2017&lt;/year&gt;&lt;/dates&gt;&lt;urls&gt;&lt;related-urls&gt;&lt;url&gt;https://www.nice.org.uk/guidance/cg165&lt;/url&gt;&lt;/related-urls&gt;&lt;/urls&gt;&lt;/record&gt;&lt;/Cite&gt;&lt;/EndNote&gt;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[3]</w:t>
      </w:r>
      <w:r w:rsidRPr="001C7F25">
        <w:rPr>
          <w:rFonts w:ascii="Times New Roman" w:hAnsi="Times New Roman" w:cs="Times New Roman"/>
        </w:rPr>
        <w:fldChar w:fldCharType="end"/>
      </w:r>
      <w:r w:rsidRPr="001C7F25">
        <w:rPr>
          <w:rFonts w:ascii="Times New Roman" w:hAnsi="Times New Roman" w:cs="Times New Roman"/>
        </w:rPr>
        <w:t xml:space="preserve">  Whilst the aim of treatment for HBeAg positive individuals in long-term viral suppression and inducing HBeAg seroconversion, for HBeAg negative individuals, treatment aims for long-term viral suppression of HBV DNA. </w:t>
      </w:r>
    </w:p>
    <w:p w14:paraId="3FA59FA2" w14:textId="0F5FC6ED" w:rsidR="00B260B1" w:rsidRPr="001C7F25" w:rsidRDefault="00B260B1" w:rsidP="00B260B1">
      <w:pPr>
        <w:spacing w:line="480" w:lineRule="auto"/>
        <w:rPr>
          <w:rFonts w:ascii="Times New Roman" w:hAnsi="Times New Roman" w:cs="Times New Roman"/>
        </w:rPr>
      </w:pPr>
      <w:r w:rsidRPr="001C7F25">
        <w:rPr>
          <w:rFonts w:ascii="Times New Roman" w:hAnsi="Times New Roman" w:cs="Times New Roman"/>
        </w:rPr>
        <w:t>It was assumed that in the first year of treatment with PegIFNα, 63% would achieve a virological response after one year, defined as HBV DNA &lt;400 copies per ml, or 69 IU/ml.</w:t>
      </w:r>
      <w:r w:rsidRPr="001C7F25">
        <w:rPr>
          <w:rFonts w:ascii="Times New Roman" w:hAnsi="Times New Roman" w:cs="Times New Roman"/>
        </w:rPr>
        <w:fldChar w:fldCharType="begin">
          <w:fldData xml:space="preserve">PEVuZE5vdGU+PENpdGUgRXhjbHVkZVllYXI9IjEiPjxBdXRob3I+RXVyb3BlYW4gQXNzb2NpYXRp
b24gZm9yIHRoZSBTdHVkeSBvZiB0aGUgTGl2ZXI8L0F1dGhvcj48WWVhcj4yMDE3PC9ZZWFyPjxS
ZWNOdW0+MjM8L1JlY051bT48RGlzcGxheVRleHQ+WzcsIDhdPC9EaXNwbGF5VGV4dD48cmVjb3Jk
PjxyZWMtbnVtYmVyPjIzPC9yZWMtbnVtYmVyPjxmb3JlaWduLWtleXM+PGtleSBhcHA9IkVOIiBk
Yi1pZD0idHAwcno1YTJ2MnMwdjNlZHJmbXBkMnBmdHYycmZ3cmU1OWF6IiB0aW1lc3RhbXA9IjE1
MzYzMzY2NTUiPjIzPC9rZXk+PC9mb3JlaWduLWtleXM+PHJlZi10eXBlIG5hbWU9IkpvdXJuYWwg
QXJ0aWNsZSI+MTc8L3JlZi10eXBlPjxjb250cmlidXRvcnM+PGF1dGhvcnM+PGF1dGhvcj5FdXJv
cGVhbiBBc3NvY2lhdGlvbiBmb3IgdGhlIFN0dWR5IG9mIHRoZSBMaXZlciw8L2F1dGhvcj48L2F1
dGhvcnM+PC9jb250cmlidXRvcnM+PHRpdGxlcz48dGl0bGU+RUFTTCAyMDE3IENsaW5pY2FsIFBy
YWN0aWNlIEd1aWRlbGluZXMgb24gdGhlIG1hbmFnZW1lbnQgb2YgaGVwYXRpdGlzIEIgdmlydXMg
aW5mZWN0aW9uPC90aXRsZT48c2Vjb25kYXJ5LXRpdGxlPkogSGVwYXRvbDwvc2Vjb25kYXJ5LXRp
dGxlPjwvdGl0bGVzPjxwZXJpb2RpY2FsPjxmdWxsLXRpdGxlPkogSGVwYXRvbDwvZnVsbC10aXRs
ZT48L3BlcmlvZGljYWw+PHBhZ2VzPjM3MC0zOTg8L3BhZ2VzPjx2b2x1bWU+Njc8L3ZvbHVtZT48
ZGF0ZXM+PHllYXI+MjAxNzwveWVhcj48L2RhdGVzPjx1cmxzPjwvdXJscz48L3JlY29yZD48L0Np
dGU+PENpdGUgRXhjbHVkZVllYXI9IjEiPjxBdXRob3I+TWFyY2VsbGluPC9BdXRob3I+PFllYXI+
MjAwNDwvWWVhcj48UmVjTnVtPjIyPC9SZWNOdW0+PHJlY29yZD48cmVjLW51bWJlcj4yMjwvcmVj
LW51bWJlcj48Zm9yZWlnbi1rZXlzPjxrZXkgYXBwPSJFTiIgZGItaWQ9InRwMHJ6NWEydjJzMHYz
ZWRyZm1wZDJwZnR2MnJmd3JlNTlheiIgdGltZXN0YW1wPSIxNTM2MzM2NTA3Ij4yMjwva2V5Pjwv
Zm9yZWlnbi1rZXlzPjxyZWYtdHlwZSBuYW1lPSJKb3VybmFsIEFydGljbGUiPjE3PC9yZWYtdHlw
ZT48Y29udHJpYnV0b3JzPjxhdXRob3JzPjxhdXRob3I+TWFyY2VsbGluLCBQYXRyaWNrPC9hdXRo
b3I+PGF1dGhvcj5MYXUsIEdlb3JnZSBLLksuPC9hdXRob3I+PGF1dGhvcj5Cb25pbm8sIEZlcnJ1
Y2NpbzwvYXV0aG9yPjxhdXRob3I+RmFyY2ksIFBhdHJpemlhPC9hdXRob3I+PGF1dGhvcj5IYWR6
aXlhbm5pcywgU3RlcGhhbm9zPC9hdXRob3I+PGF1dGhvcj5KaW4sIFJ1aTwvYXV0aG9yPjxhdXRo
b3I+THUsIFpoaS1NZW5nPC9hdXRob3I+PGF1dGhvcj5QaXJhdHZpc3V0aCwgVGVlcmhhPC9hdXRo
b3I+PGF1dGhvcj5HZXJtYW5pZGlzLCBHZW9yZ2lvczwvYXV0aG9yPjxhdXRob3I+WXVyZGF5ZGlu
LCBDaWhhbjwvYXV0aG9yPjxhdXRob3I+RGlhZ28sIE1vaXNlczwvYXV0aG9yPjxhdXRob3I+R3Vy
ZWwsIFNlbGltPC9hdXRob3I+PGF1dGhvcj5MYWksIE1pbmctWWFuZzwvYXV0aG9yPjxhdXRob3I+
QnV0dG9uLCBQZXRlcjwvYXV0aG9yPjxhdXRob3I+UGx1Y2ssIE5pZ2VsPC9hdXRob3I+PC9hdXRo
b3JzPjwvY29udHJpYnV0b3JzPjx0aXRsZXM+PHRpdGxlPlBlZ2ludGVyZmVyb24gQWxmYS0yYSBB
bG9uZSwgTGFtaXZ1ZGluZSBBbG9uZSwgYW5kIHRoZSBUd28gaW4gQ29tYmluYXRpb24gaW4gUGF0
aWVudHMgd2l0aCBIQmVBZy1OZWdhdGl2ZSBDaHJvbmljIEhlcGF0aXRpcyBCPC90aXRsZT48c2Vj
b25kYXJ5LXRpdGxlPk4gRW5nbCBKIE1lZDwvc2Vjb25kYXJ5LXRpdGxlPjwvdGl0bGVzPjxwZXJp
b2RpY2FsPjxmdWxsLXRpdGxlPk4gRW5nbCBKIE1lZDwvZnVsbC10aXRsZT48L3BlcmlvZGljYWw+
PHBhZ2VzPjEyMDYtMTIxNzwvcGFnZXM+PHZvbHVtZT4zNTE8L3ZvbHVtZT48bnVtYmVyPjEyPC9u
dW1iZXI+PGRhdGVzPjx5ZWFyPjIwMDQ8L3llYXI+PC9kYXRlcz48YWNjZXNzaW9uLW51bT4xNTM3
MTU3ODwvYWNjZXNzaW9uLW51bT48dXJscz48cmVsYXRlZC11cmxzPjx1cmw+aHR0cHM6Ly93d3cu
bmVqbS5vcmcvZG9pL2Z1bGwvMTAuMTA1Ni9ORUpNb2EwNDA0MzE8L3VybD48L3JlbGF0ZWQtdXJs
cz48L3VybHM+PGVsZWN0cm9uaWMtcmVzb3VyY2UtbnVtPjEwLjEwNTYvTkVKTW9hMDQwNDMxPC9l
bGVjdHJvbmljLXJlc291cmNlLW51bT48L3JlY29yZD48L0NpdGU+PC9FbmROb3RlPgB=
</w:fldData>
        </w:fldChar>
      </w:r>
      <w:r w:rsidR="00C948F6">
        <w:rPr>
          <w:rFonts w:ascii="Times New Roman" w:hAnsi="Times New Roman" w:cs="Times New Roman"/>
        </w:rPr>
        <w:instrText xml:space="preserve"> ADDIN EN.CITE </w:instrText>
      </w:r>
      <w:r w:rsidR="00C948F6">
        <w:rPr>
          <w:rFonts w:ascii="Times New Roman" w:hAnsi="Times New Roman" w:cs="Times New Roman"/>
        </w:rPr>
        <w:fldChar w:fldCharType="begin">
          <w:fldData xml:space="preserve">PEVuZE5vdGU+PENpdGUgRXhjbHVkZVllYXI9IjEiPjxBdXRob3I+RXVyb3BlYW4gQXNzb2NpYXRp
b24gZm9yIHRoZSBTdHVkeSBvZiB0aGUgTGl2ZXI8L0F1dGhvcj48WWVhcj4yMDE3PC9ZZWFyPjxS
ZWNOdW0+MjM8L1JlY051bT48RGlzcGxheVRleHQ+WzcsIDhdPC9EaXNwbGF5VGV4dD48cmVjb3Jk
PjxyZWMtbnVtYmVyPjIzPC9yZWMtbnVtYmVyPjxmb3JlaWduLWtleXM+PGtleSBhcHA9IkVOIiBk
Yi1pZD0idHAwcno1YTJ2MnMwdjNlZHJmbXBkMnBmdHYycmZ3cmU1OWF6IiB0aW1lc3RhbXA9IjE1
MzYzMzY2NTUiPjIzPC9rZXk+PC9mb3JlaWduLWtleXM+PHJlZi10eXBlIG5hbWU9IkpvdXJuYWwg
QXJ0aWNsZSI+MTc8L3JlZi10eXBlPjxjb250cmlidXRvcnM+PGF1dGhvcnM+PGF1dGhvcj5FdXJv
cGVhbiBBc3NvY2lhdGlvbiBmb3IgdGhlIFN0dWR5IG9mIHRoZSBMaXZlciw8L2F1dGhvcj48L2F1
dGhvcnM+PC9jb250cmlidXRvcnM+PHRpdGxlcz48dGl0bGU+RUFTTCAyMDE3IENsaW5pY2FsIFBy
YWN0aWNlIEd1aWRlbGluZXMgb24gdGhlIG1hbmFnZW1lbnQgb2YgaGVwYXRpdGlzIEIgdmlydXMg
aW5mZWN0aW9uPC90aXRsZT48c2Vjb25kYXJ5LXRpdGxlPkogSGVwYXRvbDwvc2Vjb25kYXJ5LXRp
dGxlPjwvdGl0bGVzPjxwZXJpb2RpY2FsPjxmdWxsLXRpdGxlPkogSGVwYXRvbDwvZnVsbC10aXRs
ZT48L3BlcmlvZGljYWw+PHBhZ2VzPjM3MC0zOTg8L3BhZ2VzPjx2b2x1bWU+Njc8L3ZvbHVtZT48
ZGF0ZXM+PHllYXI+MjAxNzwveWVhcj48L2RhdGVzPjx1cmxzPjwvdXJscz48L3JlY29yZD48L0Np
dGU+PENpdGUgRXhjbHVkZVllYXI9IjEiPjxBdXRob3I+TWFyY2VsbGluPC9BdXRob3I+PFllYXI+
MjAwNDwvWWVhcj48UmVjTnVtPjIyPC9SZWNOdW0+PHJlY29yZD48cmVjLW51bWJlcj4yMjwvcmVj
LW51bWJlcj48Zm9yZWlnbi1rZXlzPjxrZXkgYXBwPSJFTiIgZGItaWQ9InRwMHJ6NWEydjJzMHYz
ZWRyZm1wZDJwZnR2MnJmd3JlNTlheiIgdGltZXN0YW1wPSIxNTM2MzM2NTA3Ij4yMjwva2V5Pjwv
Zm9yZWlnbi1rZXlzPjxyZWYtdHlwZSBuYW1lPSJKb3VybmFsIEFydGljbGUiPjE3PC9yZWYtdHlw
ZT48Y29udHJpYnV0b3JzPjxhdXRob3JzPjxhdXRob3I+TWFyY2VsbGluLCBQYXRyaWNrPC9hdXRo
b3I+PGF1dGhvcj5MYXUsIEdlb3JnZSBLLksuPC9hdXRob3I+PGF1dGhvcj5Cb25pbm8sIEZlcnJ1
Y2NpbzwvYXV0aG9yPjxhdXRob3I+RmFyY2ksIFBhdHJpemlhPC9hdXRob3I+PGF1dGhvcj5IYWR6
aXlhbm5pcywgU3RlcGhhbm9zPC9hdXRob3I+PGF1dGhvcj5KaW4sIFJ1aTwvYXV0aG9yPjxhdXRo
b3I+THUsIFpoaS1NZW5nPC9hdXRob3I+PGF1dGhvcj5QaXJhdHZpc3V0aCwgVGVlcmhhPC9hdXRo
b3I+PGF1dGhvcj5HZXJtYW5pZGlzLCBHZW9yZ2lvczwvYXV0aG9yPjxhdXRob3I+WXVyZGF5ZGlu
LCBDaWhhbjwvYXV0aG9yPjxhdXRob3I+RGlhZ28sIE1vaXNlczwvYXV0aG9yPjxhdXRob3I+R3Vy
ZWwsIFNlbGltPC9hdXRob3I+PGF1dGhvcj5MYWksIE1pbmctWWFuZzwvYXV0aG9yPjxhdXRob3I+
QnV0dG9uLCBQZXRlcjwvYXV0aG9yPjxhdXRob3I+UGx1Y2ssIE5pZ2VsPC9hdXRob3I+PC9hdXRo
b3JzPjwvY29udHJpYnV0b3JzPjx0aXRsZXM+PHRpdGxlPlBlZ2ludGVyZmVyb24gQWxmYS0yYSBB
bG9uZSwgTGFtaXZ1ZGluZSBBbG9uZSwgYW5kIHRoZSBUd28gaW4gQ29tYmluYXRpb24gaW4gUGF0
aWVudHMgd2l0aCBIQmVBZy1OZWdhdGl2ZSBDaHJvbmljIEhlcGF0aXRpcyBCPC90aXRsZT48c2Vj
b25kYXJ5LXRpdGxlPk4gRW5nbCBKIE1lZDwvc2Vjb25kYXJ5LXRpdGxlPjwvdGl0bGVzPjxwZXJp
b2RpY2FsPjxmdWxsLXRpdGxlPk4gRW5nbCBKIE1lZDwvZnVsbC10aXRsZT48L3BlcmlvZGljYWw+
PHBhZ2VzPjEyMDYtMTIxNzwvcGFnZXM+PHZvbHVtZT4zNTE8L3ZvbHVtZT48bnVtYmVyPjEyPC9u
dW1iZXI+PGRhdGVzPjx5ZWFyPjIwMDQ8L3llYXI+PC9kYXRlcz48YWNjZXNzaW9uLW51bT4xNTM3
MTU3ODwvYWNjZXNzaW9uLW51bT48dXJscz48cmVsYXRlZC11cmxzPjx1cmw+aHR0cHM6Ly93d3cu
bmVqbS5vcmcvZG9pL2Z1bGwvMTAuMTA1Ni9ORUpNb2EwNDA0MzE8L3VybD48L3JlbGF0ZWQtdXJs
cz48L3VybHM+PGVsZWN0cm9uaWMtcmVzb3VyY2UtbnVtPjEwLjEwNTYvTkVKTW9hMDQwNDMxPC9l
bGVjdHJvbmljLXJlc291cmNlLW51bT48L3JlY29yZD48L0NpdGU+PC9FbmROb3RlPgB=
</w:fldData>
        </w:fldChar>
      </w:r>
      <w:r w:rsidR="00C948F6">
        <w:rPr>
          <w:rFonts w:ascii="Times New Roman" w:hAnsi="Times New Roman" w:cs="Times New Roman"/>
        </w:rPr>
        <w:instrText xml:space="preserve"> ADDIN EN.CITE.DATA </w:instrText>
      </w:r>
      <w:r w:rsidR="00C948F6">
        <w:rPr>
          <w:rFonts w:ascii="Times New Roman" w:hAnsi="Times New Roman" w:cs="Times New Roman"/>
        </w:rPr>
      </w:r>
      <w:r w:rsidR="00C948F6">
        <w:rPr>
          <w:rFonts w:ascii="Times New Roman" w:hAnsi="Times New Roman" w:cs="Times New Roman"/>
        </w:rPr>
        <w:fldChar w:fldCharType="end"/>
      </w:r>
      <w:r w:rsidRPr="001C7F25">
        <w:rPr>
          <w:rFonts w:ascii="Times New Roman" w:hAnsi="Times New Roman" w:cs="Times New Roman"/>
        </w:rPr>
        <w:fldChar w:fldCharType="separate"/>
      </w:r>
      <w:r w:rsidR="00C948F6">
        <w:rPr>
          <w:rFonts w:ascii="Times New Roman" w:hAnsi="Times New Roman" w:cs="Times New Roman"/>
          <w:noProof/>
        </w:rPr>
        <w:t>[7, 8]</w:t>
      </w:r>
      <w:r w:rsidRPr="001C7F25">
        <w:rPr>
          <w:rFonts w:ascii="Times New Roman" w:hAnsi="Times New Roman" w:cs="Times New Roman"/>
        </w:rPr>
        <w:fldChar w:fldCharType="end"/>
      </w:r>
      <w:r w:rsidRPr="001C7F25">
        <w:rPr>
          <w:rFonts w:ascii="Times New Roman" w:hAnsi="Times New Roman" w:cs="Times New Roman"/>
        </w:rPr>
        <w:t xml:space="preserve"> Furthermore, 2.8% of individuals with HBeAg negative disease achieved HBsAg seroconversion during one year of treatment with PegIFNα.</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ExcludeYear="1"&gt;&lt;Author&gt;Marcellin&lt;/Author&gt;&lt;Year&gt;2004&lt;/Year&gt;&lt;RecNum&gt;22&lt;/RecNum&gt;&lt;DisplayText&gt;[8]&lt;/DisplayText&gt;&lt;record&gt;&lt;rec-number&gt;22&lt;/rec-number&gt;&lt;foreign-keys&gt;&lt;key app="EN" db-id="tp0rz5a2v2s0v3edrfmpd2pftv2rfwre59az" timestamp="1536336507"&gt;22&lt;/key&gt;&lt;/foreign-keys&gt;&lt;ref-type name="Journal Article"&gt;17&lt;/ref-type&gt;&lt;contributors&gt;&lt;authors&gt;&lt;author&gt;Marcellin, Patrick&lt;/author&gt;&lt;author&gt;Lau, George K.K.&lt;/author&gt;&lt;author&gt;Bonino, Ferruccio&lt;/author&gt;&lt;author&gt;Farci, Patrizia&lt;/author&gt;&lt;author&gt;Hadziyannis, Stephanos&lt;/author&gt;&lt;author&gt;Jin, Rui&lt;/author&gt;&lt;author&gt;Lu, Zhi-Meng&lt;/author&gt;&lt;author&gt;Piratvisuth, Teerha&lt;/author&gt;&lt;author&gt;Germanidis, Georgios&lt;/author&gt;&lt;author&gt;Yurdaydin, Cihan&lt;/author&gt;&lt;author&gt;Diago, Moises&lt;/author&gt;&lt;author&gt;Gurel, Selim&lt;/author&gt;&lt;author&gt;Lai, Ming-Yang&lt;/author&gt;&lt;author&gt;Button, Peter&lt;/author&gt;&lt;author&gt;Pluck, Nigel&lt;/author&gt;&lt;/authors&gt;&lt;/contributors&gt;&lt;titles&gt;&lt;title&gt;Peginterferon Alfa-2a Alone, Lamivudine Alone, and the Two in Combination in Patients with HBeAg-Negative Chronic Hepatitis B&lt;/title&gt;&lt;secondary-title&gt;N Engl J Med&lt;/secondary-title&gt;&lt;/titles&gt;&lt;periodical&gt;&lt;full-title&gt;N Engl J Med&lt;/full-title&gt;&lt;/periodical&gt;&lt;pages&gt;1206-1217&lt;/pages&gt;&lt;volume&gt;351&lt;/volume&gt;&lt;number&gt;12&lt;/number&gt;&lt;dates&gt;&lt;year&gt;2004&lt;/year&gt;&lt;/dates&gt;&lt;accession-num&gt;15371578&lt;/accession-num&gt;&lt;urls&gt;&lt;related-urls&gt;&lt;url&gt;https://www.nejm.org/doi/full/10.1056/NEJMoa040431&lt;/url&gt;&lt;/related-urls&gt;&lt;/urls&gt;&lt;electronic-resource-num&gt;10.1056/NEJMoa040431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[8]</w:t>
      </w:r>
      <w:r w:rsidRPr="001C7F25">
        <w:rPr>
          <w:rFonts w:ascii="Times New Roman" w:hAnsi="Times New Roman" w:cs="Times New Roman"/>
        </w:rPr>
        <w:fldChar w:fldCharType="end"/>
      </w:r>
      <w:r w:rsidRPr="001C7F25">
        <w:rPr>
          <w:rFonts w:ascii="Times New Roman" w:hAnsi="Times New Roman" w:cs="Times New Roman"/>
        </w:rPr>
        <w:t xml:space="preserve"> </w:t>
      </w:r>
    </w:p>
    <w:p w14:paraId="4FE9DD66" w14:textId="1CF9B154" w:rsidR="00B260B1" w:rsidRPr="001C7F25" w:rsidRDefault="00B260B1" w:rsidP="00B260B1">
      <w:pPr>
        <w:spacing w:line="480" w:lineRule="auto"/>
        <w:rPr>
          <w:rFonts w:ascii="Times New Roman" w:hAnsi="Times New Roman" w:cs="Times New Roman"/>
        </w:rPr>
      </w:pPr>
      <w:r w:rsidRPr="001C7F25">
        <w:rPr>
          <w:rFonts w:ascii="Times New Roman" w:hAnsi="Times New Roman" w:cs="Times New Roman"/>
        </w:rPr>
        <w:t>All patients received TDF after one year of treatment with PegIFNα. For HBeAg negative patients, 1% received Emtricitabine alongside TDF.</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[6]</w:t>
      </w:r>
      <w:r w:rsidRPr="001C7F25">
        <w:rPr>
          <w:rFonts w:ascii="Times New Roman" w:hAnsi="Times New Roman" w:cs="Times New Roman"/>
        </w:rPr>
        <w:fldChar w:fldCharType="end"/>
      </w:r>
      <w:r w:rsidRPr="001C7F25">
        <w:rPr>
          <w:rFonts w:ascii="Times New Roman" w:hAnsi="Times New Roman" w:cs="Times New Roman"/>
        </w:rPr>
        <w:t xml:space="preserve"> Data from Marcellin </w:t>
      </w:r>
      <w:r w:rsidRPr="001C7F25">
        <w:rPr>
          <w:rFonts w:ascii="Times New Roman" w:hAnsi="Times New Roman" w:cs="Times New Roman"/>
          <w:i/>
          <w:iCs/>
        </w:rPr>
        <w:t>et al</w:t>
      </w:r>
      <w:r w:rsidRPr="001C7F25">
        <w:rPr>
          <w:rFonts w:ascii="Times New Roman" w:hAnsi="Times New Roman" w:cs="Times New Roman"/>
        </w:rPr>
        <w:t>. show long term virological control for HBeAg negative patients receiving TDF was 99% over five years, with 96% achieving virological response after 48 weeks.</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[6]</w:t>
      </w:r>
      <w:r w:rsidRPr="001C7F25">
        <w:rPr>
          <w:rFonts w:ascii="Times New Roman" w:hAnsi="Times New Roman" w:cs="Times New Roman"/>
        </w:rPr>
        <w:fldChar w:fldCharType="end"/>
      </w:r>
      <w:r w:rsidRPr="001C7F25">
        <w:rPr>
          <w:rFonts w:ascii="Times New Roman" w:hAnsi="Times New Roman" w:cs="Times New Roman"/>
        </w:rPr>
        <w:t xml:space="preserve"> We assumed an annual probability of 96% that individuals receiving TDF would achieve virological response (i.e. transitioning from ‘HBeAg active disease’ to ‘HBeAg inactive disease’). Individuals with HBeAg negative inactive disease, with or without cirrhosis, were assumed to remain on TDF after achieving virological control, as per treatment guidelines.</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ExcludeYear="1"&gt;&lt;Author&gt;National Institute for Health and Care Excellence&lt;/Author&gt;&lt;Year&gt;2017&lt;/Year&gt;&lt;RecNum&gt;29&lt;/RecNum&gt;&lt;DisplayText&gt;[3]&lt;/DisplayText&gt;&lt;record&gt;&lt;rec-number&gt;29&lt;/rec-number&gt;&lt;foreign-keys&gt;&lt;key app="EN" db-id="tp0rz5a2v2s0v3edrfmpd2pftv2rfwre59az" timestamp="1536340909"&gt;29&lt;/key&gt;&lt;/foreign-keys&gt;&lt;ref-type name="Report"&gt;27&lt;/ref-type&gt;&lt;contributors&gt;&lt;authors&gt;&lt;author&gt;National Institute for Health and Care Excellence,&lt;/author&gt;&lt;/authors&gt;&lt;/contributors&gt;&lt;titles&gt;&lt;title&gt;Hepatitis B (chronic): diagnosis and management (CG165)&lt;/title&gt;&lt;/titles&gt;&lt;dates&gt;&lt;year&gt;2017&lt;/year&gt;&lt;/dates&gt;&lt;urls&gt;&lt;related-urls&gt;&lt;url&gt;https://www.nice.org.uk/guidance/cg165&lt;/url&gt;&lt;/related-urls&gt;&lt;/urls&gt;&lt;/record&gt;&lt;/Cite&gt;&lt;/EndNote&gt;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[3]</w:t>
      </w:r>
      <w:r w:rsidRPr="001C7F25">
        <w:rPr>
          <w:rFonts w:ascii="Times New Roman" w:hAnsi="Times New Roman" w:cs="Times New Roman"/>
        </w:rPr>
        <w:fldChar w:fldCharType="end"/>
      </w:r>
      <w:r w:rsidRPr="001C7F25">
        <w:rPr>
          <w:rFonts w:ascii="Times New Roman" w:hAnsi="Times New Roman" w:cs="Times New Roman"/>
        </w:rPr>
        <w:t xml:space="preserve"> </w:t>
      </w:r>
    </w:p>
    <w:p w14:paraId="2E463472" w14:textId="1991A60D" w:rsidR="00A84C62" w:rsidRPr="001C7F25" w:rsidRDefault="00B260B1" w:rsidP="00B260B1">
      <w:pPr>
        <w:spacing w:line="480" w:lineRule="auto"/>
        <w:rPr>
          <w:rFonts w:ascii="Times New Roman" w:hAnsi="Times New Roman" w:cs="Times New Roman"/>
        </w:rPr>
      </w:pPr>
      <w:r w:rsidRPr="001C7F25">
        <w:rPr>
          <w:rFonts w:ascii="Times New Roman" w:hAnsi="Times New Roman" w:cs="Times New Roman"/>
        </w:rPr>
        <w:t>During five years of follow-up from Marcellin et al, one individual had HBsAg loss, but it was not confirmed whether this individual achieved HBsAg seroconversion.</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[6]</w:t>
      </w:r>
      <w:r w:rsidRPr="001C7F25">
        <w:rPr>
          <w:rFonts w:ascii="Times New Roman" w:hAnsi="Times New Roman" w:cs="Times New Roman"/>
        </w:rPr>
        <w:fldChar w:fldCharType="end"/>
      </w:r>
      <w:r w:rsidRPr="001C7F25">
        <w:rPr>
          <w:rFonts w:ascii="Times New Roman" w:hAnsi="Times New Roman" w:cs="Times New Roman"/>
        </w:rPr>
        <w:t xml:space="preserve"> A conservative approach was taken and patients receiving TDF were unable to transition to the HBsAg seroconversion state, nor were those not receiving treatment.</w:t>
      </w:r>
      <w:r w:rsidRPr="001C7F25">
        <w:rPr>
          <w:rFonts w:ascii="Times New Roman" w:hAnsi="Times New Roman" w:cs="Times New Roman"/>
        </w:rPr>
        <w:fldChar w:fldCharType="begin">
          <w:fldData xml:space="preserve">PEVuZE5vdGU+PENpdGUgRXhjbHVkZVllYXI9IjEiPjxBdXRob3I+TWFyY2VsbGluPC9BdXRob3I+
PFllYXI+MjAxMzwvWWVhcj48UmVjTnVtPjIxPC9SZWNOdW0+PERpc3BsYXlUZXh0Pls2LCA3XTwv
RGlzcGxheVRleHQ+PHJlY29yZD48cmVjLW51bWJlcj4yMTwvcmVjLW51bWJlcj48Zm9yZWlnbi1r
ZXlzPjxrZXkgYXBwPSJFTiIgZGItaWQ9InRwMHJ6NWEydjJzMHYzZWRyZm1wZDJwZnR2MnJmd3Jl
NTlheiIgdGltZXN0YW1wPSIxNTM2MzM2NDE4Ij4yMTwva2V5PjwvZm9yZWlnbi1rZXlzPjxyZWYt
dHlwZSBuYW1lPSJKb3VybmFsIEFydGljbGUiPjE3PC9yZWYtdHlwZT48Y29udHJpYnV0b3JzPjxh
dXRob3JzPjxhdXRob3I+TWFyY2VsbGluLCBQYXRyaWNrPC9hdXRob3I+PGF1dGhvcj5HYW5lLCBF
ZHdhcmQ8L2F1dGhvcj48YXV0aG9yPkJ1dGksIE1hcmlhPC9hdXRob3I+PGF1dGhvcj5BZmRoYWws
IE5lemFtPC9hdXRob3I+PGF1dGhvcj5TaWV2ZXJ0LCBXaWxsaWFtPC9hdXRob3I+PGF1dGhvcj5K
YWNvYnNvbiwgSXJhIE0uPC9hdXRob3I+PGF1dGhvcj5XYXNoaW5ndG9uLCBNYXJ5IEtheTwvYXV0
aG9yPjxhdXRob3I+R2VybWFuaWRpcywgR2VvcmdlPC9hdXRob3I+PGF1dGhvcj5GbGFoZXJ0eSwg
Sm9obiBGLjwvYXV0aG9yPjxhdXRob3I+U2NoYWxsLCBSYXVsIEFndWlsYXI8L2F1dGhvcj48YXV0
aG9yPkJvcm5zdGVpbiwgSmVmZnJleSBELjwvYXV0aG9yPjxhdXRob3I+S2l0cmlub3MsIEthdGhy
eW4gTS48L2F1dGhvcj48YXV0aG9yPlN1YnJhbWFuaWFuLCBHLiBNYW5pPC9hdXRob3I+PGF1dGhv
cj5NY0h1dGNoaXNvbiwgSm9obiBHLjwvYXV0aG9yPjxhdXRob3I+SGVhdGhjb3RlLCBFLiBKZW5u
eTwvYXV0aG9yPjwvYXV0aG9ycz48L2NvbnRyaWJ1dG9ycz48dGl0bGVzPjx0aXRsZT5SZWdyZXNz
aW9uIG9mIGNpcnJob3NpcyBkdXJpbmcgdHJlYXRtZW50IHdpdGggdGVub2ZvdmlyIGRpc29wcm94
aWwgZnVtYXJhdGUgZm9yIGNocm9uaWMgaGVwYXRpdGlzIEI6IGEgNS15ZWFyIG9wZW4tbGFiZWwg
Zm9sbG93LXVwIHN0dWR5PC90aXRsZT48c2Vjb25kYXJ5LXRpdGxlPkxhbmNldDwvc2Vjb25kYXJ5
LXRpdGxlPjwvdGl0bGVzPjxwZXJpb2RpY2FsPjxmdWxsLXRpdGxlPkxhbmNldDwvZnVsbC10aXRs
ZT48L3BlcmlvZGljYWw+PHBhZ2VzPjQ2OC00NzU8L3BhZ2VzPjx2b2x1bWU+MzgxPC92b2x1bWU+
PG51bWJlcj45ODY1PC9udW1iZXI+PGRhdGVzPjx5ZWFyPjIwMTM8L3llYXI+PHB1Yi1kYXRlcz48
ZGF0ZT4yMDEzLzAyLzA5LzwvZGF0ZT48L3B1Yi1kYXRlcz48L2RhdGVzPjxpc2JuPjAxNDAtNjcz
NjwvaXNibj48dXJscz48cmVsYXRlZC11cmxzPjx1cmw+aHR0cDovL3d3dy5zY2llbmNlZGlyZWN0
LmNvbS9zY2llbmNlL2FydGljbGUvcGlpL1MwMTQwNjczNjEyNjE0MjUxPC91cmw+PC9yZWxhdGVk
LXVybHM+PC91cmxzPjxlbGVjdHJvbmljLXJlc291cmNlLW51bT5odHRwczovL2RvaS5vcmcvMTAu
MTAxNi9TMDE0MC02NzM2KDEyKTYxNDI1LTE8L2VsZWN0cm9uaWMtcmVzb3VyY2UtbnVtPjwvcmVj
b3JkPjwvQ2l0ZT48Q2l0ZSBFeGNsdWRlWWVhcj0iMSI+PEF1dGhvcj5FdXJvcGVhbiBBc3NvY2lh
dGlvbiBmb3IgdGhlIFN0dWR5IG9mIHRoZSBMaXZlcjwvQXV0aG9yPjxZZWFyPjIwMTc8L1llYXI+
PFJlY051bT4yMzwvUmVjTnVtPjxyZWNvcmQ+PHJlYy1udW1iZXI+MjM8L3JlYy1udW1iZXI+PGZv
cmVpZ24ta2V5cz48a2V5IGFwcD0iRU4iIGRiLWlkPSJ0cDByejVhMnYyczB2M2VkcmZtcGQycGZ0
djJyZndyZTU5YXoiIHRpbWVzdGFtcD0iMTUzNjMzNjY1NSI+MjM8L2tleT48L2ZvcmVpZ24ta2V5
cz48cmVmLXR5cGUgbmFtZT0iSm91cm5hbCBBcnRpY2xlIj4xNzwvcmVmLXR5cGU+PGNvbnRyaWJ1
dG9ycz48YXV0aG9ycz48YXV0aG9yPkV1cm9wZWFuIEFzc29jaWF0aW9uIGZvciB0aGUgU3R1ZHkg
b2YgdGhlIExpdmVyLDwvYXV0aG9yPjwvYXV0aG9ycz48L2NvbnRyaWJ1dG9ycz48dGl0bGVzPjx0
aXRsZT5FQVNMIDIwMTcgQ2xpbmljYWwgUHJhY3RpY2UgR3VpZGVsaW5lcyBvbiB0aGUgbWFuYWdl
bWVudCBvZiBoZXBhdGl0aXMgQiB2aXJ1cyBpbmZlY3Rpb248L3RpdGxlPjxzZWNvbmRhcnktdGl0
bGU+SiBIZXBhdG9sPC9zZWNvbmRhcnktdGl0bGU+PC90aXRsZXM+PHBlcmlvZGljYWw+PGZ1bGwt
dGl0bGU+SiBIZXBhdG9sPC9mdWxsLXRpdGxlPjwvcGVyaW9kaWNhbD48cGFnZXM+MzcwLTM5ODwv
cGFnZXM+PHZvbHVtZT42Nzwvdm9sdW1lPjxkYXRlcz48eWVhcj4yMDE3PC95ZWFyPjwvZGF0ZXM+
PHVybHM+PC91cmxzPjwvcmVjb3JkPjwvQ2l0ZT48L0VuZE5vdGU+AG==
</w:fldData>
        </w:fldChar>
      </w:r>
      <w:r w:rsidR="00C948F6">
        <w:rPr>
          <w:rFonts w:ascii="Times New Roman" w:hAnsi="Times New Roman" w:cs="Times New Roman"/>
        </w:rPr>
        <w:instrText xml:space="preserve"> ADDIN EN.CITE </w:instrText>
      </w:r>
      <w:r w:rsidR="00C948F6">
        <w:rPr>
          <w:rFonts w:ascii="Times New Roman" w:hAnsi="Times New Roman" w:cs="Times New Roman"/>
        </w:rPr>
        <w:fldChar w:fldCharType="begin">
          <w:fldData xml:space="preserve">PEVuZE5vdGU+PENpdGUgRXhjbHVkZVllYXI9IjEiPjxBdXRob3I+TWFyY2VsbGluPC9BdXRob3I+
PFllYXI+MjAxMzwvWWVhcj48UmVjTnVtPjIxPC9SZWNOdW0+PERpc3BsYXlUZXh0Pls2LCA3XTwv
RGlzcGxheVRleHQ+PHJlY29yZD48cmVjLW51bWJlcj4yMTwvcmVjLW51bWJlcj48Zm9yZWlnbi1r
ZXlzPjxrZXkgYXBwPSJFTiIgZGItaWQ9InRwMHJ6NWEydjJzMHYzZWRyZm1wZDJwZnR2MnJmd3Jl
NTlheiIgdGltZXN0YW1wPSIxNTM2MzM2NDE4Ij4yMTwva2V5PjwvZm9yZWlnbi1rZXlzPjxyZWYt
dHlwZSBuYW1lPSJKb3VybmFsIEFydGljbGUiPjE3PC9yZWYtdHlwZT48Y29udHJpYnV0b3JzPjxh
dXRob3JzPjxhdXRob3I+TWFyY2VsbGluLCBQYXRyaWNrPC9hdXRob3I+PGF1dGhvcj5HYW5lLCBF
ZHdhcmQ8L2F1dGhvcj48YXV0aG9yPkJ1dGksIE1hcmlhPC9hdXRob3I+PGF1dGhvcj5BZmRoYWws
IE5lemFtPC9hdXRob3I+PGF1dGhvcj5TaWV2ZXJ0LCBXaWxsaWFtPC9hdXRob3I+PGF1dGhvcj5K
YWNvYnNvbiwgSXJhIE0uPC9hdXRob3I+PGF1dGhvcj5XYXNoaW5ndG9uLCBNYXJ5IEtheTwvYXV0
aG9yPjxhdXRob3I+R2VybWFuaWRpcywgR2VvcmdlPC9hdXRob3I+PGF1dGhvcj5GbGFoZXJ0eSwg
Sm9obiBGLjwvYXV0aG9yPjxhdXRob3I+U2NoYWxsLCBSYXVsIEFndWlsYXI8L2F1dGhvcj48YXV0
aG9yPkJvcm5zdGVpbiwgSmVmZnJleSBELjwvYXV0aG9yPjxhdXRob3I+S2l0cmlub3MsIEthdGhy
eW4gTS48L2F1dGhvcj48YXV0aG9yPlN1YnJhbWFuaWFuLCBHLiBNYW5pPC9hdXRob3I+PGF1dGhv
cj5NY0h1dGNoaXNvbiwgSm9obiBHLjwvYXV0aG9yPjxhdXRob3I+SGVhdGhjb3RlLCBFLiBKZW5u
eTwvYXV0aG9yPjwvYXV0aG9ycz48L2NvbnRyaWJ1dG9ycz48dGl0bGVzPjx0aXRsZT5SZWdyZXNz
aW9uIG9mIGNpcnJob3NpcyBkdXJpbmcgdHJlYXRtZW50IHdpdGggdGVub2ZvdmlyIGRpc29wcm94
aWwgZnVtYXJhdGUgZm9yIGNocm9uaWMgaGVwYXRpdGlzIEI6IGEgNS15ZWFyIG9wZW4tbGFiZWwg
Zm9sbG93LXVwIHN0dWR5PC90aXRsZT48c2Vjb25kYXJ5LXRpdGxlPkxhbmNldDwvc2Vjb25kYXJ5
LXRpdGxlPjwvdGl0bGVzPjxwZXJpb2RpY2FsPjxmdWxsLXRpdGxlPkxhbmNldDwvZnVsbC10aXRs
ZT48L3BlcmlvZGljYWw+PHBhZ2VzPjQ2OC00NzU8L3BhZ2VzPjx2b2x1bWU+MzgxPC92b2x1bWU+
PG51bWJlcj45ODY1PC9udW1iZXI+PGRhdGVzPjx5ZWFyPjIwMTM8L3llYXI+PHB1Yi1kYXRlcz48
ZGF0ZT4yMDEzLzAyLzA5LzwvZGF0ZT48L3B1Yi1kYXRlcz48L2RhdGVzPjxpc2JuPjAxNDAtNjcz
NjwvaXNibj48dXJscz48cmVsYXRlZC11cmxzPjx1cmw+aHR0cDovL3d3dy5zY2llbmNlZGlyZWN0
LmNvbS9zY2llbmNlL2FydGljbGUvcGlpL1MwMTQwNjczNjEyNjE0MjUxPC91cmw+PC9yZWxhdGVk
LXVybHM+PC91cmxzPjxlbGVjdHJvbmljLXJlc291cmNlLW51bT5odHRwczovL2RvaS5vcmcvMTAu
MTAxNi9TMDE0MC02NzM2KDEyKTYxNDI1LTE8L2VsZWN0cm9uaWMtcmVzb3VyY2UtbnVtPjwvcmVj
b3JkPjwvQ2l0ZT48Q2l0ZSBFeGNsdWRlWWVhcj0iMSI+PEF1dGhvcj5FdXJvcGVhbiBBc3NvY2lh
dGlvbiBmb3IgdGhlIFN0dWR5IG9mIHRoZSBMaXZlcjwvQXV0aG9yPjxZZWFyPjIwMTc8L1llYXI+
PFJlY051bT4yMzwvUmVjTnVtPjxyZWNvcmQ+PHJlYy1udW1iZXI+MjM8L3JlYy1udW1iZXI+PGZv
cmVpZ24ta2V5cz48a2V5IGFwcD0iRU4iIGRiLWlkPSJ0cDByejVhMnYyczB2M2VkcmZtcGQycGZ0
djJyZndyZTU5YXoiIHRpbWVzdGFtcD0iMTUzNjMzNjY1NSI+MjM8L2tleT48L2ZvcmVpZ24ta2V5
cz48cmVmLXR5cGUgbmFtZT0iSm91cm5hbCBBcnRpY2xlIj4xNzwvcmVmLXR5cGU+PGNvbnRyaWJ1
dG9ycz48YXV0aG9ycz48YXV0aG9yPkV1cm9wZWFuIEFzc29jaWF0aW9uIGZvciB0aGUgU3R1ZHkg
b2YgdGhlIExpdmVyLDwvYXV0aG9yPjwvYXV0aG9ycz48L2NvbnRyaWJ1dG9ycz48dGl0bGVzPjx0
aXRsZT5FQVNMIDIwMTcgQ2xpbmljYWwgUHJhY3RpY2UgR3VpZGVsaW5lcyBvbiB0aGUgbWFuYWdl
bWVudCBvZiBoZXBhdGl0aXMgQiB2aXJ1cyBpbmZlY3Rpb248L3RpdGxlPjxzZWNvbmRhcnktdGl0
bGU+SiBIZXBhdG9sPC9zZWNvbmRhcnktdGl0bGU+PC90aXRsZXM+PHBlcmlvZGljYWw+PGZ1bGwt
dGl0bGU+SiBIZXBhdG9sPC9mdWxsLXRpdGxlPjwvcGVyaW9kaWNhbD48cGFnZXM+MzcwLTM5ODwv
cGFnZXM+PHZvbHVtZT42Nzwvdm9sdW1lPjxkYXRlcz48eWVhcj4yMDE3PC95ZWFyPjwvZGF0ZXM+
PHVybHM+PC91cmxzPjwvcmVjb3JkPjwvQ2l0ZT48L0VuZE5vdGU+AG==
</w:fldData>
        </w:fldChar>
      </w:r>
      <w:r w:rsidR="00C948F6">
        <w:rPr>
          <w:rFonts w:ascii="Times New Roman" w:hAnsi="Times New Roman" w:cs="Times New Roman"/>
        </w:rPr>
        <w:instrText xml:space="preserve"> ADDIN EN.CITE.DATA </w:instrText>
      </w:r>
      <w:r w:rsidR="00C948F6">
        <w:rPr>
          <w:rFonts w:ascii="Times New Roman" w:hAnsi="Times New Roman" w:cs="Times New Roman"/>
        </w:rPr>
      </w:r>
      <w:r w:rsidR="00C948F6">
        <w:rPr>
          <w:rFonts w:ascii="Times New Roman" w:hAnsi="Times New Roman" w:cs="Times New Roman"/>
        </w:rPr>
        <w:fldChar w:fldCharType="end"/>
      </w:r>
      <w:r w:rsidRPr="001C7F25">
        <w:rPr>
          <w:rFonts w:ascii="Times New Roman" w:hAnsi="Times New Roman" w:cs="Times New Roman"/>
        </w:rPr>
        <w:fldChar w:fldCharType="separate"/>
      </w:r>
      <w:r w:rsidR="00C948F6">
        <w:rPr>
          <w:rFonts w:ascii="Times New Roman" w:hAnsi="Times New Roman" w:cs="Times New Roman"/>
          <w:noProof/>
        </w:rPr>
        <w:t>[6, 7]</w:t>
      </w:r>
      <w:r w:rsidRPr="001C7F25">
        <w:rPr>
          <w:rFonts w:ascii="Times New Roman" w:hAnsi="Times New Roman" w:cs="Times New Roman"/>
        </w:rPr>
        <w:fldChar w:fldCharType="end"/>
      </w:r>
      <w:r w:rsidRPr="001C7F25">
        <w:rPr>
          <w:rFonts w:ascii="Times New Roman" w:hAnsi="Times New Roman" w:cs="Times New Roman"/>
        </w:rPr>
        <w:t xml:space="preserve">  Similarly to HBeAg positive individuals, it was assumed that </w:t>
      </w:r>
      <w:r w:rsidR="0046676F" w:rsidRPr="001C7F25">
        <w:rPr>
          <w:rFonts w:ascii="Times New Roman" w:hAnsi="Times New Roman" w:cs="Times New Roman"/>
        </w:rPr>
        <w:t>those</w:t>
      </w:r>
      <w:r w:rsidRPr="001C7F25">
        <w:rPr>
          <w:rFonts w:ascii="Times New Roman" w:hAnsi="Times New Roman" w:cs="Times New Roman"/>
        </w:rPr>
        <w:t xml:space="preserve"> on treatment</w:t>
      </w:r>
      <w:r w:rsidR="0046676F" w:rsidRPr="001C7F25">
        <w:rPr>
          <w:rFonts w:ascii="Times New Roman" w:hAnsi="Times New Roman" w:cs="Times New Roman"/>
        </w:rPr>
        <w:t xml:space="preserve"> had </w:t>
      </w:r>
      <w:r w:rsidRPr="001C7F25">
        <w:rPr>
          <w:rFonts w:ascii="Times New Roman" w:hAnsi="Times New Roman" w:cs="Times New Roman"/>
        </w:rPr>
        <w:t xml:space="preserve">the </w:t>
      </w:r>
      <w:r w:rsidR="0046676F" w:rsidRPr="001C7F25">
        <w:rPr>
          <w:rFonts w:ascii="Times New Roman" w:hAnsi="Times New Roman" w:cs="Times New Roman"/>
        </w:rPr>
        <w:t xml:space="preserve">same </w:t>
      </w:r>
      <w:r w:rsidRPr="001C7F25">
        <w:rPr>
          <w:rFonts w:ascii="Times New Roman" w:hAnsi="Times New Roman" w:cs="Times New Roman"/>
        </w:rPr>
        <w:t xml:space="preserve">risk of disease progression </w:t>
      </w:r>
      <w:r w:rsidR="0046676F" w:rsidRPr="001C7F25">
        <w:rPr>
          <w:rFonts w:ascii="Times New Roman" w:hAnsi="Times New Roman" w:cs="Times New Roman"/>
        </w:rPr>
        <w:t xml:space="preserve">as </w:t>
      </w:r>
      <w:r w:rsidRPr="001C7F25">
        <w:rPr>
          <w:rFonts w:ascii="Times New Roman" w:hAnsi="Times New Roman" w:cs="Times New Roman"/>
        </w:rPr>
        <w:t>those with inactive disease</w:t>
      </w:r>
      <w:r w:rsidR="0046676F" w:rsidRPr="001C7F25">
        <w:rPr>
          <w:rFonts w:ascii="Times New Roman" w:hAnsi="Times New Roman" w:cs="Times New Roman"/>
        </w:rPr>
        <w:t>.</w:t>
      </w:r>
      <w:r w:rsidRPr="001C7F25">
        <w:rPr>
          <w:rFonts w:ascii="Times New Roman" w:hAnsi="Times New Roman" w:cs="Times New Roman"/>
        </w:rPr>
        <w:t xml:space="preserve"> Data </w:t>
      </w:r>
      <w:r w:rsidRPr="001C7F25">
        <w:rPr>
          <w:rFonts w:ascii="Times New Roman" w:hAnsi="Times New Roman" w:cs="Times New Roman"/>
        </w:rPr>
        <w:lastRenderedPageBreak/>
        <w:t>suggests that both HBeAg positive and negative patients receiving long-term TDF experience regression of fibrosis scores</w:t>
      </w:r>
      <w:r w:rsidR="0046676F" w:rsidRPr="001C7F25">
        <w:rPr>
          <w:rFonts w:ascii="Times New Roman" w:hAnsi="Times New Roman" w:cs="Times New Roman"/>
        </w:rPr>
        <w:t>, including those with cirrhosis</w:t>
      </w:r>
      <w:r w:rsidRPr="001C7F25">
        <w:rPr>
          <w:rFonts w:ascii="Times New Roman" w:hAnsi="Times New Roman" w:cs="Times New Roman"/>
        </w:rPr>
        <w:t>.</w:t>
      </w:r>
      <w:r w:rsidRPr="001C7F25">
        <w:rPr>
          <w:rFonts w:ascii="Times New Roman" w:hAnsi="Times New Roman" w:cs="Times New Roman"/>
        </w:rPr>
        <w:fldChar w:fldCharType="begin"/>
      </w:r>
      <w:r w:rsidR="00C948F6">
        <w:rPr>
          <w:rFonts w:ascii="Times New Roman" w:hAnsi="Times New Roman" w:cs="Times New Roman"/>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rPr>
        <w:fldChar w:fldCharType="separate"/>
      </w:r>
      <w:r w:rsidR="00C948F6">
        <w:rPr>
          <w:rFonts w:ascii="Times New Roman" w:hAnsi="Times New Roman" w:cs="Times New Roman"/>
          <w:noProof/>
        </w:rPr>
        <w:t>[6]</w:t>
      </w:r>
      <w:r w:rsidRPr="001C7F25">
        <w:rPr>
          <w:rFonts w:ascii="Times New Roman" w:hAnsi="Times New Roman" w:cs="Times New Roman"/>
        </w:rPr>
        <w:fldChar w:fldCharType="end"/>
      </w:r>
      <w:r w:rsidRPr="001C7F25">
        <w:rPr>
          <w:rFonts w:ascii="Times New Roman" w:hAnsi="Times New Roman" w:cs="Times New Roman"/>
        </w:rPr>
        <w:t xml:space="preserve"> </w:t>
      </w:r>
      <w:r w:rsidR="0046676F" w:rsidRPr="001C7F25">
        <w:rPr>
          <w:rFonts w:ascii="Times New Roman" w:hAnsi="Times New Roman" w:cs="Times New Roman"/>
        </w:rPr>
        <w:t>However,</w:t>
      </w:r>
      <w:r w:rsidRPr="001C7F25">
        <w:rPr>
          <w:rFonts w:ascii="Times New Roman" w:hAnsi="Times New Roman" w:cs="Times New Roman"/>
        </w:rPr>
        <w:t xml:space="preserve"> a conservative approach was taken, </w:t>
      </w:r>
      <w:r w:rsidR="0046676F" w:rsidRPr="001C7F25">
        <w:rPr>
          <w:rFonts w:ascii="Times New Roman" w:hAnsi="Times New Roman" w:cs="Times New Roman"/>
        </w:rPr>
        <w:t xml:space="preserve">and </w:t>
      </w:r>
      <w:r w:rsidRPr="001C7F25">
        <w:rPr>
          <w:rFonts w:ascii="Times New Roman" w:hAnsi="Times New Roman" w:cs="Times New Roman"/>
        </w:rPr>
        <w:t xml:space="preserve">the model did not allow for regression of cirrhosis to non-cirrhotic. </w:t>
      </w:r>
    </w:p>
    <w:p w14:paraId="5B5DBD02" w14:textId="77777777" w:rsidR="00A84C62" w:rsidRPr="001C7F25" w:rsidRDefault="00A84C62" w:rsidP="00B260B1">
      <w:pPr>
        <w:spacing w:line="480" w:lineRule="auto"/>
        <w:rPr>
          <w:rFonts w:ascii="Times New Roman" w:hAnsi="Times New Roman" w:cs="Times New Roman"/>
        </w:rPr>
      </w:pPr>
    </w:p>
    <w:p w14:paraId="59DF654C" w14:textId="59A6CE09" w:rsidR="00B260B1" w:rsidRPr="001C7F25" w:rsidRDefault="00230EC9" w:rsidP="00B260B1">
      <w:pPr>
        <w:spacing w:line="480" w:lineRule="auto"/>
        <w:rPr>
          <w:rFonts w:ascii="Times New Roman" w:hAnsi="Times New Roman" w:cs="Times New Roman"/>
        </w:rPr>
      </w:pPr>
      <w:r w:rsidRPr="001C7F25">
        <w:rPr>
          <w:rFonts w:ascii="Times New Roman" w:hAnsi="Times New Roman" w:cs="Times New Roman"/>
        </w:rPr>
        <w:fldChar w:fldCharType="begin"/>
      </w:r>
      <w:r w:rsidRPr="001C7F25">
        <w:rPr>
          <w:rFonts w:ascii="Times New Roman" w:hAnsi="Times New Roman" w:cs="Times New Roman"/>
        </w:rPr>
        <w:instrText xml:space="preserve"> ADDIN EN.SECTION.REFLIST </w:instrText>
      </w:r>
      <w:r w:rsidR="004043D5">
        <w:rPr>
          <w:rFonts w:ascii="Times New Roman" w:hAnsi="Times New Roman" w:cs="Times New Roman"/>
        </w:rPr>
        <w:fldChar w:fldCharType="separate"/>
      </w:r>
      <w:r w:rsidRPr="001C7F25">
        <w:rPr>
          <w:rFonts w:ascii="Times New Roman" w:hAnsi="Times New Roman" w:cs="Times New Roman"/>
        </w:rPr>
        <w:fldChar w:fldCharType="end"/>
      </w:r>
    </w:p>
    <w:p w14:paraId="5C4D2787" w14:textId="1F9C345D" w:rsidR="00B260B1" w:rsidRPr="001C7F25" w:rsidRDefault="00B260B1">
      <w:pPr>
        <w:rPr>
          <w:rFonts w:ascii="Times New Roman" w:hAnsi="Times New Roman" w:cs="Times New Roman"/>
        </w:rPr>
        <w:sectPr w:rsidR="00B260B1" w:rsidRPr="001C7F25" w:rsidSect="00746C36">
          <w:footerReference w:type="default" r:id="rId8"/>
          <w:pgSz w:w="11906" w:h="16838"/>
          <w:pgMar w:top="1440" w:right="1440" w:bottom="1440" w:left="1440" w:header="708" w:footer="708" w:gutter="0"/>
          <w:cols w:space="708"/>
          <w:docGrid w:linePitch="360"/>
        </w:sectPr>
      </w:pPr>
    </w:p>
    <w:p w14:paraId="4E6A5737" w14:textId="0B53603D" w:rsidR="00FB05EE" w:rsidRPr="001C7F25" w:rsidRDefault="008D15ED" w:rsidP="00FB05EE">
      <w:pPr>
        <w:pStyle w:val="Caption"/>
        <w:keepNext/>
        <w:rPr>
          <w:rFonts w:ascii="Times New Roman" w:hAnsi="Times New Roman" w:cs="Times New Roman"/>
        </w:rPr>
      </w:pPr>
      <w:r w:rsidRPr="001C7F25">
        <w:rPr>
          <w:rFonts w:ascii="Times New Roman" w:hAnsi="Times New Roman" w:cs="Times New Roman"/>
        </w:rPr>
        <w:lastRenderedPageBreak/>
        <w:t>Appendix</w:t>
      </w:r>
      <w:r w:rsidR="00EE489B" w:rsidRPr="001C7F25">
        <w:rPr>
          <w:rFonts w:ascii="Times New Roman" w:hAnsi="Times New Roman" w:cs="Times New Roman"/>
        </w:rPr>
        <w:t xml:space="preserve"> </w:t>
      </w:r>
      <w:r w:rsidR="00FB05EE" w:rsidRPr="001C7F25">
        <w:rPr>
          <w:rFonts w:ascii="Times New Roman" w:hAnsi="Times New Roman" w:cs="Times New Roman"/>
        </w:rPr>
        <w:t xml:space="preserve">Figure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Figure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1</w:t>
      </w:r>
      <w:r w:rsidR="00230EC9" w:rsidRPr="001C7F25">
        <w:rPr>
          <w:rFonts w:ascii="Times New Roman" w:hAnsi="Times New Roman" w:cs="Times New Roman"/>
          <w:noProof/>
        </w:rPr>
        <w:fldChar w:fldCharType="end"/>
      </w:r>
      <w:r w:rsidR="00FB05EE" w:rsidRPr="001C7F25">
        <w:rPr>
          <w:rFonts w:ascii="Times New Roman" w:hAnsi="Times New Roman" w:cs="Times New Roman"/>
        </w:rPr>
        <w:t xml:space="preserve">: HBV Markov Model Structure </w:t>
      </w:r>
    </w:p>
    <w:p w14:paraId="16F258B0" w14:textId="24579E16" w:rsidR="00FB05EE" w:rsidRPr="001C7F25" w:rsidRDefault="00A46272" w:rsidP="00FB05EE">
      <w:pPr>
        <w:keepNext/>
        <w:rPr>
          <w:rFonts w:ascii="Times New Roman" w:hAnsi="Times New Roman" w:cs="Times New Roman"/>
        </w:rPr>
      </w:pPr>
      <w:r w:rsidRPr="001C7F25">
        <w:rPr>
          <w:rFonts w:ascii="Times New Roman" w:hAnsi="Times New Roman" w:cs="Times New Roman"/>
          <w:noProof/>
          <w:lang w:eastAsia="en-GB"/>
        </w:rPr>
        <w:drawing>
          <wp:inline distT="0" distB="0" distL="0" distR="0" wp14:anchorId="505887C9" wp14:editId="2D88802B">
            <wp:extent cx="7021002" cy="4329902"/>
            <wp:effectExtent l="0" t="0" r="889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9"/>
                    <a:stretch>
                      <a:fillRect/>
                    </a:stretch>
                  </pic:blipFill>
                  <pic:spPr>
                    <a:xfrm>
                      <a:off x="0" y="0"/>
                      <a:ext cx="7044056" cy="4344120"/>
                    </a:xfrm>
                    <a:prstGeom prst="rect">
                      <a:avLst/>
                    </a:prstGeom>
                  </pic:spPr>
                </pic:pic>
              </a:graphicData>
            </a:graphic>
          </wp:inline>
        </w:drawing>
      </w:r>
    </w:p>
    <w:p w14:paraId="6A4107F7" w14:textId="77777777" w:rsidR="00FB05EE" w:rsidRPr="001C7F25" w:rsidRDefault="00FB05EE" w:rsidP="00B63869">
      <w:pPr>
        <w:spacing w:after="60"/>
        <w:rPr>
          <w:rFonts w:ascii="Times New Roman" w:hAnsi="Times New Roman" w:cs="Times New Roman"/>
          <w:sz w:val="18"/>
          <w:szCs w:val="18"/>
        </w:rPr>
      </w:pPr>
      <w:r w:rsidRPr="001C7F25">
        <w:rPr>
          <w:rFonts w:ascii="Times New Roman" w:hAnsi="Times New Roman" w:cs="Times New Roman"/>
          <w:sz w:val="18"/>
          <w:szCs w:val="18"/>
        </w:rPr>
        <w:t>*Active health states include the following states: ‘undiagnosed’, ‘on treatment (year 1)’, ‘on treatment (&gt;1 year)’, ‘diagnosed, not engaged in care’</w:t>
      </w:r>
    </w:p>
    <w:p w14:paraId="5BDB7921" w14:textId="77777777" w:rsidR="00FB05EE" w:rsidRPr="001C7F25" w:rsidRDefault="00FB05EE" w:rsidP="00B63869">
      <w:pPr>
        <w:spacing w:after="60"/>
        <w:rPr>
          <w:rFonts w:ascii="Times New Roman" w:hAnsi="Times New Roman" w:cs="Times New Roman"/>
          <w:sz w:val="18"/>
          <w:szCs w:val="18"/>
        </w:rPr>
      </w:pPr>
      <w:r w:rsidRPr="001C7F25">
        <w:rPr>
          <w:rFonts w:ascii="Times New Roman" w:hAnsi="Times New Roman" w:cs="Times New Roman"/>
          <w:sz w:val="18"/>
          <w:szCs w:val="18"/>
        </w:rPr>
        <w:t>^Seroconverted/inactive/HBsAg seroconverted health states include the following states: ‘undiagnosed’, ‘diagnosed, engaged in care’ ‘diagnosed, not engaged in care’</w:t>
      </w:r>
    </w:p>
    <w:p w14:paraId="0DC2BE22" w14:textId="77777777" w:rsidR="00FB05EE" w:rsidRPr="001C7F25" w:rsidRDefault="00FB05EE" w:rsidP="00B63869">
      <w:pPr>
        <w:spacing w:after="60"/>
        <w:rPr>
          <w:rFonts w:ascii="Times New Roman" w:hAnsi="Times New Roman" w:cs="Times New Roman"/>
          <w:sz w:val="18"/>
          <w:szCs w:val="18"/>
        </w:rPr>
      </w:pPr>
      <w:r w:rsidRPr="001C7F25">
        <w:rPr>
          <w:rFonts w:ascii="Times New Roman" w:hAnsi="Times New Roman" w:cs="Times New Roman"/>
          <w:sz w:val="18"/>
          <w:szCs w:val="18"/>
        </w:rPr>
        <w:t>#Transition to death possible from all other health states as background (general population) mortality. Disease progression to death also occurs from active disease health states (without treatment), DC, HCC and Liver transplant health states.</w:t>
      </w:r>
    </w:p>
    <w:p w14:paraId="78CF59C8" w14:textId="03C916CE" w:rsidR="00FB05EE" w:rsidRPr="001C7F25" w:rsidRDefault="00FB05EE" w:rsidP="00B63869">
      <w:pPr>
        <w:spacing w:after="60"/>
        <w:rPr>
          <w:rFonts w:ascii="Times New Roman" w:hAnsi="Times New Roman" w:cs="Times New Roman"/>
          <w:sz w:val="18"/>
          <w:szCs w:val="18"/>
        </w:rPr>
      </w:pPr>
      <w:r w:rsidRPr="001C7F25">
        <w:rPr>
          <w:rFonts w:ascii="Times New Roman" w:hAnsi="Times New Roman" w:cs="Times New Roman"/>
          <w:sz w:val="18"/>
          <w:szCs w:val="18"/>
        </w:rPr>
        <w:t xml:space="preserve">†Transitions to HCC possible from all health states, except from liver transplant and dead states. </w:t>
      </w:r>
    </w:p>
    <w:p w14:paraId="2ED43CD9" w14:textId="77777777" w:rsidR="00FB05EE" w:rsidRPr="001C7F25" w:rsidRDefault="00FB05EE">
      <w:pPr>
        <w:rPr>
          <w:rFonts w:ascii="Times New Roman" w:hAnsi="Times New Roman" w:cs="Times New Roman"/>
        </w:rPr>
        <w:sectPr w:rsidR="00FB05EE" w:rsidRPr="001C7F25" w:rsidSect="00FB05EE">
          <w:pgSz w:w="16838" w:h="11906" w:orient="landscape"/>
          <w:pgMar w:top="1440" w:right="1440" w:bottom="1440" w:left="1440" w:header="708" w:footer="708" w:gutter="0"/>
          <w:cols w:space="708"/>
          <w:docGrid w:linePitch="360"/>
        </w:sectPr>
      </w:pPr>
    </w:p>
    <w:p w14:paraId="65BCC049" w14:textId="097F407F" w:rsidR="00F13F73" w:rsidRPr="001C7F25" w:rsidRDefault="008D15ED" w:rsidP="00F13F73">
      <w:pPr>
        <w:pStyle w:val="Caption"/>
        <w:keepNext/>
        <w:rPr>
          <w:rFonts w:ascii="Times New Roman" w:hAnsi="Times New Roman" w:cs="Times New Roman"/>
        </w:rPr>
      </w:pPr>
      <w:r w:rsidRPr="001C7F25">
        <w:rPr>
          <w:rFonts w:ascii="Times New Roman" w:hAnsi="Times New Roman" w:cs="Times New Roman"/>
        </w:rPr>
        <w:lastRenderedPageBreak/>
        <w:t xml:space="preserve">Appendix </w:t>
      </w:r>
      <w:r w:rsidR="00F13F73" w:rsidRPr="001C7F25">
        <w:rPr>
          <w:rFonts w:ascii="Times New Roman" w:hAnsi="Times New Roman" w:cs="Times New Roman"/>
        </w:rPr>
        <w:t xml:space="preserve">Figure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Figure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2</w:t>
      </w:r>
      <w:r w:rsidR="00230EC9" w:rsidRPr="001C7F25">
        <w:rPr>
          <w:rFonts w:ascii="Times New Roman" w:hAnsi="Times New Roman" w:cs="Times New Roman"/>
          <w:noProof/>
        </w:rPr>
        <w:fldChar w:fldCharType="end"/>
      </w:r>
      <w:r w:rsidR="00F13F73" w:rsidRPr="001C7F25">
        <w:rPr>
          <w:rFonts w:ascii="Times New Roman" w:hAnsi="Times New Roman" w:cs="Times New Roman"/>
        </w:rPr>
        <w:t>: HCV Markov model structure</w:t>
      </w:r>
    </w:p>
    <w:p w14:paraId="11E9B73F" w14:textId="77777777" w:rsidR="00F13F73" w:rsidRPr="001C7F25" w:rsidRDefault="00F13F73">
      <w:pPr>
        <w:rPr>
          <w:rFonts w:ascii="Times New Roman" w:hAnsi="Times New Roman" w:cs="Times New Roman"/>
        </w:rPr>
      </w:pPr>
      <w:r w:rsidRPr="001C7F25">
        <w:rPr>
          <w:rFonts w:ascii="Times New Roman" w:hAnsi="Times New Roman" w:cs="Times New Roman"/>
          <w:noProof/>
          <w:lang w:eastAsia="en-GB"/>
        </w:rPr>
        <w:drawing>
          <wp:inline distT="0" distB="0" distL="0" distR="0" wp14:anchorId="66554757" wp14:editId="05CF0571">
            <wp:extent cx="3039340" cy="4657725"/>
            <wp:effectExtent l="0" t="0" r="889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rotWithShape="1">
                    <a:blip r:embed="rId10"/>
                    <a:srcRect t="474"/>
                    <a:stretch/>
                  </pic:blipFill>
                  <pic:spPr bwMode="auto">
                    <a:xfrm>
                      <a:off x="0" y="0"/>
                      <a:ext cx="3048830" cy="4672268"/>
                    </a:xfrm>
                    <a:prstGeom prst="rect">
                      <a:avLst/>
                    </a:prstGeom>
                    <a:ln>
                      <a:noFill/>
                    </a:ln>
                    <a:extLst>
                      <a:ext uri="{53640926-AAD7-44D8-BBD7-CCE9431645EC}">
                        <a14:shadowObscured xmlns:a14="http://schemas.microsoft.com/office/drawing/2010/main"/>
                      </a:ext>
                    </a:extLst>
                  </pic:spPr>
                </pic:pic>
              </a:graphicData>
            </a:graphic>
          </wp:inline>
        </w:drawing>
      </w:r>
    </w:p>
    <w:p w14:paraId="3F616D33" w14:textId="77777777" w:rsidR="00F13F73" w:rsidRPr="001C7F25" w:rsidRDefault="00F13F73" w:rsidP="008F78FC">
      <w:pPr>
        <w:spacing w:after="60"/>
        <w:rPr>
          <w:rFonts w:ascii="Times New Roman" w:hAnsi="Times New Roman" w:cs="Times New Roman"/>
          <w:sz w:val="18"/>
          <w:szCs w:val="18"/>
        </w:rPr>
      </w:pPr>
      <w:r w:rsidRPr="001C7F25">
        <w:rPr>
          <w:rFonts w:ascii="Times New Roman" w:hAnsi="Times New Roman" w:cs="Times New Roman"/>
          <w:sz w:val="18"/>
          <w:szCs w:val="18"/>
        </w:rPr>
        <w:t xml:space="preserve">†Uninfected state contains the following health states: untested (RNA negative), untested (RNA positive) and tested. </w:t>
      </w:r>
    </w:p>
    <w:p w14:paraId="17A71233" w14:textId="77777777" w:rsidR="00F13F73" w:rsidRPr="001C7F25" w:rsidRDefault="00F13F73" w:rsidP="008F78FC">
      <w:pPr>
        <w:spacing w:after="60"/>
        <w:rPr>
          <w:rFonts w:ascii="Times New Roman" w:hAnsi="Times New Roman" w:cs="Times New Roman"/>
          <w:sz w:val="18"/>
          <w:szCs w:val="18"/>
        </w:rPr>
      </w:pPr>
      <w:r w:rsidRPr="001C7F25">
        <w:rPr>
          <w:rFonts w:ascii="Times New Roman" w:hAnsi="Times New Roman" w:cs="Times New Roman"/>
          <w:sz w:val="18"/>
          <w:szCs w:val="18"/>
        </w:rPr>
        <w:t>‡Mild, moderate and compensated cirrhosis health states contain the following states: undiagnosed, on treatment, SVR (as shown above), non-SVR, and not engaged in care</w:t>
      </w:r>
    </w:p>
    <w:p w14:paraId="737B9038" w14:textId="7F71EBBD" w:rsidR="00F13F73" w:rsidRPr="001C7F25" w:rsidRDefault="00F13F73" w:rsidP="008F78FC">
      <w:pPr>
        <w:spacing w:after="60"/>
        <w:rPr>
          <w:rFonts w:ascii="Times New Roman" w:hAnsi="Times New Roman" w:cs="Times New Roman"/>
          <w:i/>
          <w:iCs/>
          <w:color w:val="44546A" w:themeColor="text2"/>
          <w:sz w:val="18"/>
          <w:szCs w:val="18"/>
        </w:rPr>
      </w:pPr>
      <w:r w:rsidRPr="001C7F25">
        <w:rPr>
          <w:rFonts w:ascii="Times New Roman" w:hAnsi="Times New Roman" w:cs="Times New Roman"/>
          <w:sz w:val="18"/>
          <w:szCs w:val="18"/>
        </w:rPr>
        <w:t>* Transitions possible from all health states to dead, arrows show disease related mortality only.</w:t>
      </w:r>
      <w:r w:rsidRPr="001C7F25">
        <w:rPr>
          <w:rFonts w:ascii="Times New Roman" w:hAnsi="Times New Roman" w:cs="Times New Roman"/>
        </w:rPr>
        <w:t xml:space="preserve"> </w:t>
      </w:r>
      <w:r w:rsidRPr="001C7F25">
        <w:rPr>
          <w:rFonts w:ascii="Times New Roman" w:hAnsi="Times New Roman" w:cs="Times New Roman"/>
        </w:rPr>
        <w:br w:type="page"/>
      </w:r>
    </w:p>
    <w:p w14:paraId="21B7455E" w14:textId="6C16F1E7" w:rsidR="00B95663" w:rsidRPr="001C7F25" w:rsidRDefault="008D15ED" w:rsidP="00B95663">
      <w:pPr>
        <w:pStyle w:val="Caption"/>
        <w:keepNext/>
        <w:rPr>
          <w:rFonts w:ascii="Times New Roman" w:hAnsi="Times New Roman" w:cs="Times New Roman"/>
        </w:rPr>
      </w:pPr>
      <w:bookmarkStart w:id="0" w:name="_Ref92376106"/>
      <w:r w:rsidRPr="001C7F25">
        <w:rPr>
          <w:rFonts w:ascii="Times New Roman" w:hAnsi="Times New Roman" w:cs="Times New Roman"/>
        </w:rPr>
        <w:lastRenderedPageBreak/>
        <w:t xml:space="preserve">Appendix </w:t>
      </w:r>
      <w:r w:rsidR="00B95663"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1</w:t>
      </w:r>
      <w:r w:rsidR="00230EC9" w:rsidRPr="001C7F25">
        <w:rPr>
          <w:rFonts w:ascii="Times New Roman" w:hAnsi="Times New Roman" w:cs="Times New Roman"/>
          <w:noProof/>
        </w:rPr>
        <w:fldChar w:fldCharType="end"/>
      </w:r>
      <w:bookmarkEnd w:id="0"/>
      <w:r w:rsidR="00B95663" w:rsidRPr="001C7F25">
        <w:rPr>
          <w:rFonts w:ascii="Times New Roman" w:hAnsi="Times New Roman" w:cs="Times New Roman"/>
        </w:rPr>
        <w:t>: Other Model Probabilities</w:t>
      </w:r>
    </w:p>
    <w:tbl>
      <w:tblPr>
        <w:tblStyle w:val="TableGrid"/>
        <w:tblW w:w="9265" w:type="dxa"/>
        <w:tblLook w:val="04A0" w:firstRow="1" w:lastRow="0" w:firstColumn="1" w:lastColumn="0" w:noHBand="0" w:noVBand="1"/>
      </w:tblPr>
      <w:tblGrid>
        <w:gridCol w:w="3804"/>
        <w:gridCol w:w="1279"/>
        <w:gridCol w:w="3126"/>
        <w:gridCol w:w="1056"/>
      </w:tblGrid>
      <w:tr w:rsidR="00B95663" w:rsidRPr="001C7F25" w14:paraId="634E2F8F" w14:textId="77777777" w:rsidTr="00FD14C2">
        <w:trPr>
          <w:trHeight w:val="306"/>
        </w:trPr>
        <w:tc>
          <w:tcPr>
            <w:tcW w:w="3804" w:type="dxa"/>
            <w:shd w:val="clear" w:color="auto" w:fill="auto"/>
          </w:tcPr>
          <w:p w14:paraId="0EECDDED" w14:textId="77777777" w:rsidR="00B95663" w:rsidRPr="001C7F25" w:rsidRDefault="00B95663" w:rsidP="00FD14C2">
            <w:pPr>
              <w:spacing w:line="360" w:lineRule="auto"/>
              <w:rPr>
                <w:rFonts w:ascii="Times New Roman" w:hAnsi="Times New Roman" w:cs="Times New Roman"/>
                <w:b/>
                <w:bCs/>
                <w:sz w:val="18"/>
                <w:szCs w:val="18"/>
              </w:rPr>
            </w:pPr>
            <w:r w:rsidRPr="001C7F25">
              <w:rPr>
                <w:rFonts w:ascii="Times New Roman" w:hAnsi="Times New Roman" w:cs="Times New Roman"/>
                <w:b/>
                <w:bCs/>
                <w:sz w:val="18"/>
                <w:szCs w:val="18"/>
              </w:rPr>
              <w:t xml:space="preserve">Base case probabilities </w:t>
            </w:r>
          </w:p>
        </w:tc>
        <w:tc>
          <w:tcPr>
            <w:tcW w:w="1279" w:type="dxa"/>
            <w:shd w:val="clear" w:color="auto" w:fill="auto"/>
          </w:tcPr>
          <w:p w14:paraId="300A781C" w14:textId="77777777" w:rsidR="00B95663" w:rsidRPr="001C7F25" w:rsidRDefault="00B95663" w:rsidP="00FD14C2">
            <w:pPr>
              <w:spacing w:line="360" w:lineRule="auto"/>
              <w:rPr>
                <w:rFonts w:ascii="Times New Roman" w:hAnsi="Times New Roman" w:cs="Times New Roman"/>
                <w:b/>
                <w:bCs/>
                <w:sz w:val="18"/>
                <w:szCs w:val="18"/>
              </w:rPr>
            </w:pPr>
            <w:r w:rsidRPr="001C7F25">
              <w:rPr>
                <w:rFonts w:ascii="Times New Roman" w:hAnsi="Times New Roman" w:cs="Times New Roman"/>
                <w:b/>
                <w:bCs/>
                <w:sz w:val="18"/>
                <w:szCs w:val="18"/>
              </w:rPr>
              <w:t>Mean Value</w:t>
            </w:r>
          </w:p>
        </w:tc>
        <w:tc>
          <w:tcPr>
            <w:tcW w:w="3126" w:type="dxa"/>
            <w:shd w:val="clear" w:color="auto" w:fill="auto"/>
          </w:tcPr>
          <w:p w14:paraId="1CAE87B1" w14:textId="77777777" w:rsidR="00B95663" w:rsidRPr="001C7F25" w:rsidRDefault="00B95663" w:rsidP="00FD14C2">
            <w:pPr>
              <w:spacing w:line="360" w:lineRule="auto"/>
              <w:rPr>
                <w:rFonts w:ascii="Times New Roman" w:hAnsi="Times New Roman" w:cs="Times New Roman"/>
                <w:b/>
                <w:bCs/>
                <w:sz w:val="18"/>
                <w:szCs w:val="18"/>
              </w:rPr>
            </w:pPr>
            <w:r w:rsidRPr="001C7F25">
              <w:rPr>
                <w:rFonts w:ascii="Times New Roman" w:hAnsi="Times New Roman" w:cs="Times New Roman"/>
                <w:b/>
                <w:bCs/>
                <w:sz w:val="18"/>
                <w:szCs w:val="18"/>
              </w:rPr>
              <w:t>Distribution</w:t>
            </w:r>
          </w:p>
        </w:tc>
        <w:tc>
          <w:tcPr>
            <w:tcW w:w="1056" w:type="dxa"/>
            <w:shd w:val="clear" w:color="auto" w:fill="auto"/>
          </w:tcPr>
          <w:p w14:paraId="6E9849A5" w14:textId="77777777" w:rsidR="00B95663" w:rsidRPr="001C7F25" w:rsidRDefault="00B95663" w:rsidP="00FD14C2">
            <w:pPr>
              <w:spacing w:line="360" w:lineRule="auto"/>
              <w:rPr>
                <w:rFonts w:ascii="Times New Roman" w:hAnsi="Times New Roman" w:cs="Times New Roman"/>
                <w:b/>
                <w:bCs/>
                <w:sz w:val="18"/>
                <w:szCs w:val="18"/>
              </w:rPr>
            </w:pPr>
            <w:r w:rsidRPr="001C7F25">
              <w:rPr>
                <w:rFonts w:ascii="Times New Roman" w:hAnsi="Times New Roman" w:cs="Times New Roman"/>
                <w:b/>
                <w:bCs/>
                <w:sz w:val="18"/>
                <w:szCs w:val="18"/>
              </w:rPr>
              <w:t>Source</w:t>
            </w:r>
          </w:p>
        </w:tc>
      </w:tr>
      <w:tr w:rsidR="00B95663" w:rsidRPr="001C7F25" w14:paraId="46DC1116" w14:textId="77777777" w:rsidTr="00FD14C2">
        <w:trPr>
          <w:trHeight w:val="306"/>
        </w:trPr>
        <w:tc>
          <w:tcPr>
            <w:tcW w:w="3804" w:type="dxa"/>
            <w:shd w:val="clear" w:color="auto" w:fill="D9D9D9" w:themeFill="background1" w:themeFillShade="D9"/>
          </w:tcPr>
          <w:p w14:paraId="49835B16" w14:textId="77777777" w:rsidR="00B95663" w:rsidRPr="001C7F25" w:rsidRDefault="00B95663" w:rsidP="00FD14C2">
            <w:pPr>
              <w:spacing w:line="360" w:lineRule="auto"/>
              <w:rPr>
                <w:rFonts w:ascii="Times New Roman" w:hAnsi="Times New Roman" w:cs="Times New Roman"/>
                <w:b/>
                <w:bCs/>
                <w:sz w:val="18"/>
                <w:szCs w:val="18"/>
              </w:rPr>
            </w:pPr>
            <w:r w:rsidRPr="001C7F25">
              <w:rPr>
                <w:rFonts w:ascii="Times New Roman" w:hAnsi="Times New Roman" w:cs="Times New Roman"/>
                <w:b/>
                <w:bCs/>
                <w:sz w:val="18"/>
                <w:szCs w:val="18"/>
              </w:rPr>
              <w:t>HBV Parameters</w:t>
            </w:r>
          </w:p>
        </w:tc>
        <w:tc>
          <w:tcPr>
            <w:tcW w:w="1279" w:type="dxa"/>
            <w:shd w:val="clear" w:color="auto" w:fill="D9D9D9" w:themeFill="background1" w:themeFillShade="D9"/>
          </w:tcPr>
          <w:p w14:paraId="4F4A4889" w14:textId="77777777" w:rsidR="00B95663" w:rsidRPr="001C7F25" w:rsidRDefault="00B95663" w:rsidP="00FD14C2">
            <w:pPr>
              <w:spacing w:line="360" w:lineRule="auto"/>
              <w:rPr>
                <w:rFonts w:ascii="Times New Roman" w:hAnsi="Times New Roman" w:cs="Times New Roman"/>
                <w:b/>
                <w:bCs/>
                <w:sz w:val="18"/>
                <w:szCs w:val="18"/>
              </w:rPr>
            </w:pPr>
          </w:p>
        </w:tc>
        <w:tc>
          <w:tcPr>
            <w:tcW w:w="3126" w:type="dxa"/>
            <w:shd w:val="clear" w:color="auto" w:fill="D9D9D9" w:themeFill="background1" w:themeFillShade="D9"/>
          </w:tcPr>
          <w:p w14:paraId="6FCD9F09" w14:textId="77777777" w:rsidR="00B95663" w:rsidRPr="001C7F25" w:rsidRDefault="00B95663" w:rsidP="00FD14C2">
            <w:pPr>
              <w:spacing w:line="360" w:lineRule="auto"/>
              <w:rPr>
                <w:rFonts w:ascii="Times New Roman" w:hAnsi="Times New Roman" w:cs="Times New Roman"/>
                <w:b/>
                <w:bCs/>
                <w:sz w:val="18"/>
                <w:szCs w:val="18"/>
              </w:rPr>
            </w:pPr>
          </w:p>
        </w:tc>
        <w:tc>
          <w:tcPr>
            <w:tcW w:w="1056" w:type="dxa"/>
            <w:shd w:val="clear" w:color="auto" w:fill="D9D9D9" w:themeFill="background1" w:themeFillShade="D9"/>
          </w:tcPr>
          <w:p w14:paraId="3E5B125B" w14:textId="77777777" w:rsidR="00B95663" w:rsidRPr="001C7F25" w:rsidRDefault="00B95663" w:rsidP="00FD14C2">
            <w:pPr>
              <w:spacing w:line="360" w:lineRule="auto"/>
              <w:rPr>
                <w:rFonts w:ascii="Times New Roman" w:hAnsi="Times New Roman" w:cs="Times New Roman"/>
                <w:b/>
                <w:bCs/>
                <w:sz w:val="18"/>
                <w:szCs w:val="18"/>
              </w:rPr>
            </w:pPr>
          </w:p>
        </w:tc>
      </w:tr>
      <w:tr w:rsidR="00B95663" w:rsidRPr="001C7F25" w14:paraId="18C6CB37" w14:textId="77777777" w:rsidTr="00FD14C2">
        <w:trPr>
          <w:trHeight w:val="306"/>
        </w:trPr>
        <w:tc>
          <w:tcPr>
            <w:tcW w:w="3804" w:type="dxa"/>
          </w:tcPr>
          <w:p w14:paraId="038865A4"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Background testing probability (annual)</w:t>
            </w:r>
          </w:p>
        </w:tc>
        <w:tc>
          <w:tcPr>
            <w:tcW w:w="1279" w:type="dxa"/>
          </w:tcPr>
          <w:p w14:paraId="22B00698"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2.50%</w:t>
            </w:r>
          </w:p>
        </w:tc>
        <w:tc>
          <w:tcPr>
            <w:tcW w:w="3126" w:type="dxa"/>
          </w:tcPr>
          <w:p w14:paraId="55F9A9AB"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Beta (α=449446, β=17495668)</w:t>
            </w:r>
          </w:p>
        </w:tc>
        <w:tc>
          <w:tcPr>
            <w:tcW w:w="1056" w:type="dxa"/>
          </w:tcPr>
          <w:p w14:paraId="65EEE4A7" w14:textId="23652C72"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ExcludeAuth="1" ExcludeYear="1"&gt;&lt;Author&gt;Public Health England&lt;/Author&gt;&lt;Year&gt;2021&lt;/Year&gt;&lt;RecNum&gt;69&lt;/RecNum&gt;&lt;DisplayText&gt;[9, 10]&lt;/DisplayText&gt;&lt;record&gt;&lt;rec-number&gt;69&lt;/rec-number&gt;&lt;foreign-keys&gt;&lt;key app="EN" db-id="tp0rz5a2v2s0v3edrfmpd2pftv2rfwre59az" timestamp="1551458754"&gt;69&lt;/key&gt;&lt;/foreign-keys&gt;&lt;ref-type name="Report"&gt;27&lt;/ref-type&gt;&lt;contributors&gt;&lt;authors&gt;&lt;author&gt;Public Health England,&lt;/author&gt;&lt;/authors&gt;&lt;/contributors&gt;&lt;titles&gt;&lt;title&gt;Annual report from the sentinel surveillance of blood borne virus testing in England 2019&lt;/title&gt;&lt;secondary-title&gt;Health Protection Report&lt;/secondary-title&gt;&lt;/titles&gt;&lt;volume&gt;15&lt;/volume&gt;&lt;number&gt;2&lt;/number&gt;&lt;dates&gt;&lt;year&gt;2021&lt;/year&gt;&lt;/dates&gt;&lt;urls&gt;&lt;related-urls&gt;&lt;url&gt;https://assets.publishing.service.gov.uk/government/uploads/system/uploads/attachment_data/file/954334/hpr0221_sentBBV_main-report_v2.pdf&lt;/url&gt;&lt;/related-urls&gt;&lt;/urls&gt;&lt;access-date&gt;12/04/2021&lt;/access-date&gt;&lt;/record&gt;&lt;/Cite&gt;&lt;Cite ExcludeAuth="1" ExcludeYear="1"&gt;&lt;Author&gt;Office for National Statistics&lt;/Author&gt;&lt;Year&gt;2020&lt;/Year&gt;&lt;RecNum&gt;113&lt;/RecNum&gt;&lt;record&gt;&lt;rec-number&gt;113&lt;/rec-number&gt;&lt;foreign-keys&gt;&lt;key app="EN" db-id="tp0rz5a2v2s0v3edrfmpd2pftv2rfwre59az" timestamp="1630512523"&gt;113&lt;/key&gt;&lt;/foreign-keys&gt;&lt;ref-type name="Report"&gt;27&lt;/ref-type&gt;&lt;contributors&gt;&lt;authors&gt;&lt;author&gt;Office for National Statistics,&lt;/author&gt;&lt;/authors&gt;&lt;/contributors&gt;&lt;titles&gt;&lt;title&gt;England Population Estimates, mid-2019&lt;/title&gt;&lt;/titles&gt;&lt;dates&gt;&lt;year&gt;2020&lt;/year&gt;&lt;/dates&gt;&lt;urls&gt;&lt;related-urls&gt;&lt;url&gt;https://www.ons.gov.uk/peoplepopulationandcommunity/populationandmigration/populationestimates/datasets/populationestimatesforukenglandandwalesscotlandandnorthernireland&lt;/url&gt;&lt;/related-urls&gt;&lt;/urls&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[9, 10]</w:t>
            </w:r>
            <w:r w:rsidRPr="001C7F25">
              <w:rPr>
                <w:rFonts w:ascii="Times New Roman" w:hAnsi="Times New Roman" w:cs="Times New Roman"/>
                <w:sz w:val="18"/>
                <w:szCs w:val="18"/>
              </w:rPr>
              <w:fldChar w:fldCharType="end"/>
            </w:r>
          </w:p>
        </w:tc>
      </w:tr>
      <w:tr w:rsidR="00F36F07" w:rsidRPr="001C7F25" w14:paraId="1E1F55A6" w14:textId="77777777" w:rsidTr="00FD14C2">
        <w:trPr>
          <w:trHeight w:val="306"/>
        </w:trPr>
        <w:tc>
          <w:tcPr>
            <w:tcW w:w="3804" w:type="dxa"/>
          </w:tcPr>
          <w:p w14:paraId="73AB51AE" w14:textId="44F37CB2" w:rsidR="00F36F07" w:rsidRPr="001C7F25" w:rsidRDefault="00F36F07"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Background test positivity</w:t>
            </w:r>
          </w:p>
        </w:tc>
        <w:tc>
          <w:tcPr>
            <w:tcW w:w="1279" w:type="dxa"/>
          </w:tcPr>
          <w:p w14:paraId="0E6973D4" w14:textId="0C3AAF75" w:rsidR="00F36F07" w:rsidRPr="001C7F25" w:rsidRDefault="00F36F07"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0.98%</w:t>
            </w:r>
          </w:p>
        </w:tc>
        <w:tc>
          <w:tcPr>
            <w:tcW w:w="3126" w:type="dxa"/>
          </w:tcPr>
          <w:p w14:paraId="7E8D49FA" w14:textId="35471B47" w:rsidR="00F36F07" w:rsidRPr="001C7F25" w:rsidRDefault="00F36F07"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Beta (α=4399, β=44</w:t>
            </w:r>
            <w:r w:rsidR="00132284" w:rsidRPr="001C7F25">
              <w:rPr>
                <w:rFonts w:ascii="Times New Roman" w:hAnsi="Times New Roman" w:cs="Times New Roman"/>
                <w:sz w:val="18"/>
                <w:szCs w:val="18"/>
              </w:rPr>
              <w:t>5047</w:t>
            </w:r>
            <w:r w:rsidRPr="001C7F25">
              <w:rPr>
                <w:rFonts w:ascii="Times New Roman" w:hAnsi="Times New Roman" w:cs="Times New Roman"/>
                <w:sz w:val="18"/>
                <w:szCs w:val="18"/>
              </w:rPr>
              <w:t>)</w:t>
            </w:r>
          </w:p>
        </w:tc>
        <w:tc>
          <w:tcPr>
            <w:tcW w:w="1056" w:type="dxa"/>
          </w:tcPr>
          <w:p w14:paraId="0D5C0458" w14:textId="738F73F9" w:rsidR="00F36F07" w:rsidRPr="001C7F25" w:rsidRDefault="006D080C"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ExcludeYear="1"&gt;&lt;Author&gt;Public Health England&lt;/Author&gt;&lt;Year&gt;2021&lt;/Year&gt;&lt;RecNum&gt;69&lt;/RecNum&gt;&lt;DisplayText&gt;[9]&lt;/DisplayText&gt;&lt;record&gt;&lt;rec-number&gt;69&lt;/rec-number&gt;&lt;foreign-keys&gt;&lt;key app="EN" db-id="tp0rz5a2v2s0v3edrfmpd2pftv2rfwre59az" timestamp="1551458754"&gt;69&lt;/key&gt;&lt;/foreign-keys&gt;&lt;ref-type name="Report"&gt;27&lt;/ref-type&gt;&lt;contributors&gt;&lt;authors&gt;&lt;author&gt;Public Health England,&lt;/author&gt;&lt;/authors&gt;&lt;/contributors&gt;&lt;titles&gt;&lt;title&gt;Annual report from the sentinel surveillance of blood borne virus testing in England 2019&lt;/title&gt;&lt;secondary-title&gt;Health Protection Report&lt;/secondary-title&gt;&lt;/titles&gt;&lt;volume&gt;15&lt;/volume&gt;&lt;number&gt;2&lt;/number&gt;&lt;dates&gt;&lt;year&gt;2021&lt;/year&gt;&lt;/dates&gt;&lt;urls&gt;&lt;related-urls&gt;&lt;url&gt;https://assets.publishing.service.gov.uk/government/uploads/system/uploads/attachment_data/file/954334/hpr0221_sentBBV_main-report_v2.pdf&lt;/url&gt;&lt;/related-urls&gt;&lt;/urls&gt;&lt;access-date&gt;12/04/2021&lt;/access-date&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[9]</w:t>
            </w:r>
            <w:r w:rsidRPr="001C7F25">
              <w:rPr>
                <w:rFonts w:ascii="Times New Roman" w:hAnsi="Times New Roman" w:cs="Times New Roman"/>
                <w:sz w:val="18"/>
                <w:szCs w:val="18"/>
              </w:rPr>
              <w:fldChar w:fldCharType="end"/>
            </w:r>
          </w:p>
        </w:tc>
      </w:tr>
      <w:tr w:rsidR="00B95663" w:rsidRPr="001C7F25" w14:paraId="1D45BA03" w14:textId="77777777" w:rsidTr="00FD14C2">
        <w:trPr>
          <w:trHeight w:val="306"/>
        </w:trPr>
        <w:tc>
          <w:tcPr>
            <w:tcW w:w="3804" w:type="dxa"/>
          </w:tcPr>
          <w:p w14:paraId="1D6EA9B7"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Annual loss to follow up from treatment</w:t>
            </w:r>
          </w:p>
        </w:tc>
        <w:tc>
          <w:tcPr>
            <w:tcW w:w="1279" w:type="dxa"/>
          </w:tcPr>
          <w:p w14:paraId="397195D1"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3.3%</w:t>
            </w:r>
          </w:p>
        </w:tc>
        <w:tc>
          <w:tcPr>
            <w:tcW w:w="3126" w:type="dxa"/>
          </w:tcPr>
          <w:p w14:paraId="558D3F94"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Uniform (1.7%, 5%)</w:t>
            </w:r>
          </w:p>
        </w:tc>
        <w:tc>
          <w:tcPr>
            <w:tcW w:w="1056" w:type="dxa"/>
          </w:tcPr>
          <w:p w14:paraId="26CCE3A3" w14:textId="1095D831"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ExcludeYear="1"&gt;&lt;Author&gt;Marcellin&lt;/Author&gt;&lt;Year&gt;2014&lt;/Year&gt;&lt;RecNum&gt;65&lt;/RecNum&gt;&lt;DisplayText&gt;[2]&lt;/DisplayText&gt;&lt;record&gt;&lt;rec-number&gt;65&lt;/rec-number&gt;&lt;foreign-keys&gt;&lt;key app="EN" db-id="tp0rz5a2v2s0v3edrfmpd2pftv2rfwre59az" timestamp="1551112569"&gt;65&lt;/key&gt;&lt;/foreign-keys&gt;&lt;ref-type name="Journal Article"&gt;17&lt;/ref-type&gt;&lt;contributors&gt;&lt;authors&gt;&lt;author&gt;Marcellin, P&lt;/author&gt;&lt;author&gt;Gane, E&lt;/author&gt;&lt;author&gt;Flisiak, R&lt;/author&gt;&lt;author&gt;Trinh, H&lt;/author&gt;&lt;author&gt;Petersen, J&lt;/author&gt;&lt;author&gt;Gurel, S&lt;/author&gt;&lt;author&gt;Kaita, K&lt;/author&gt;&lt;author&gt;Kotzev, I&lt;/author&gt;&lt;author&gt;Tsai, N&lt;/author&gt;&lt;author&gt;Schall, RA&lt;/author&gt;&lt;author&gt;Flaherty, JF&lt;/author&gt;&lt;author&gt;Gaggar, A&lt;/author&gt;&lt;author&gt;Kitrinos, KM&lt;/author&gt;&lt;author&gt;Subramanian, GM&lt;/author&gt;&lt;author&gt;McHutchison, JG&lt;/author&gt;&lt;author&gt;George, J&lt;/author&gt;&lt;author&gt;Janssen, H&lt;/author&gt;&lt;author&gt;Buti, M. &lt;/author&gt;&lt;/authors&gt;&lt;/contributors&gt;&lt;titles&gt;&lt;title&gt;Long-Term Treatment with Tenofovir Disoproxil Fumarate for Chronic Hepatitis B Infection Is Safe and Well Tolerated and Associated with Durable Virologic Response with No Detectable Resistance: 8 Year Results from Two Phase 3 Trials &lt;/title&gt;&lt;secondary-title&gt;65th Annual Meeting of the American Association for the Study of Liver Diseases&lt;/secondary-title&gt;&lt;/titles&gt;&lt;periodical&gt;&lt;full-title&gt;65th Annual Meeting of the American Association for the Study of Liver Diseases&lt;/full-title&gt;&lt;/periodical&gt;&lt;dates&gt;&lt;year&gt;2014&lt;/year&gt;&lt;/dates&gt;&lt;urls&gt;&lt;related-urls&gt;&lt;url&gt;&lt;style face="underline" font="default" size="100%"&gt;http://www.natap.org/2014/AASLD/AASLD_144.htm&lt;/style&gt;&lt;/url&gt;&lt;/related-urls&gt;&lt;/urls&gt;&lt;/record&gt;&lt;/Cite&gt;&lt;/EndNote&gt;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w:t>
            </w:r>
            <w:r w:rsidRPr="001C7F25">
              <w:rPr>
                <w:rFonts w:ascii="Times New Roman" w:hAnsi="Times New Roman" w:cs="Times New Roman"/>
                <w:sz w:val="18"/>
                <w:szCs w:val="18"/>
              </w:rPr>
              <w:fldChar w:fldCharType="end"/>
            </w:r>
          </w:p>
        </w:tc>
      </w:tr>
      <w:tr w:rsidR="00B95663" w:rsidRPr="001C7F25" w14:paraId="24711305" w14:textId="77777777" w:rsidTr="00FD14C2">
        <w:trPr>
          <w:trHeight w:val="377"/>
        </w:trPr>
        <w:tc>
          <w:tcPr>
            <w:tcW w:w="3804" w:type="dxa"/>
            <w:shd w:val="clear" w:color="auto" w:fill="D9D9D9" w:themeFill="background1" w:themeFillShade="D9"/>
          </w:tcPr>
          <w:p w14:paraId="16FDB7BF" w14:textId="77777777" w:rsidR="00B95663" w:rsidRPr="001C7F25" w:rsidRDefault="00B95663" w:rsidP="00FD14C2">
            <w:pPr>
              <w:spacing w:line="360" w:lineRule="auto"/>
              <w:rPr>
                <w:rFonts w:ascii="Times New Roman" w:hAnsi="Times New Roman" w:cs="Times New Roman"/>
                <w:b/>
                <w:bCs/>
              </w:rPr>
            </w:pPr>
            <w:r w:rsidRPr="001C7F25">
              <w:rPr>
                <w:rFonts w:ascii="Times New Roman" w:hAnsi="Times New Roman" w:cs="Times New Roman"/>
                <w:b/>
                <w:bCs/>
                <w:sz w:val="18"/>
                <w:szCs w:val="18"/>
              </w:rPr>
              <w:t>HCV Parameters</w:t>
            </w:r>
          </w:p>
        </w:tc>
        <w:tc>
          <w:tcPr>
            <w:tcW w:w="1279" w:type="dxa"/>
            <w:shd w:val="clear" w:color="auto" w:fill="D9D9D9" w:themeFill="background1" w:themeFillShade="D9"/>
          </w:tcPr>
          <w:p w14:paraId="1E7EC5C6" w14:textId="77777777" w:rsidR="00B95663" w:rsidRPr="001C7F25" w:rsidRDefault="00B95663" w:rsidP="00FD14C2">
            <w:pPr>
              <w:spacing w:line="360" w:lineRule="auto"/>
              <w:rPr>
                <w:rFonts w:ascii="Times New Roman" w:hAnsi="Times New Roman" w:cs="Times New Roman"/>
                <w:b/>
                <w:bCs/>
              </w:rPr>
            </w:pPr>
          </w:p>
        </w:tc>
        <w:tc>
          <w:tcPr>
            <w:tcW w:w="3126" w:type="dxa"/>
            <w:shd w:val="clear" w:color="auto" w:fill="D9D9D9" w:themeFill="background1" w:themeFillShade="D9"/>
          </w:tcPr>
          <w:p w14:paraId="0075F6EE" w14:textId="77777777" w:rsidR="00B95663" w:rsidRPr="001C7F25" w:rsidRDefault="00B95663" w:rsidP="00FD14C2">
            <w:pPr>
              <w:spacing w:line="360" w:lineRule="auto"/>
              <w:rPr>
                <w:rFonts w:ascii="Times New Roman" w:hAnsi="Times New Roman" w:cs="Times New Roman"/>
                <w:b/>
                <w:bCs/>
              </w:rPr>
            </w:pPr>
          </w:p>
        </w:tc>
        <w:tc>
          <w:tcPr>
            <w:tcW w:w="1056" w:type="dxa"/>
            <w:shd w:val="clear" w:color="auto" w:fill="D9D9D9" w:themeFill="background1" w:themeFillShade="D9"/>
          </w:tcPr>
          <w:p w14:paraId="488EAC34" w14:textId="77777777" w:rsidR="00B95663" w:rsidRPr="001C7F25" w:rsidRDefault="00B95663" w:rsidP="00FD14C2">
            <w:pPr>
              <w:spacing w:line="360" w:lineRule="auto"/>
              <w:rPr>
                <w:rFonts w:ascii="Times New Roman" w:hAnsi="Times New Roman" w:cs="Times New Roman"/>
                <w:b/>
                <w:bCs/>
              </w:rPr>
            </w:pPr>
          </w:p>
        </w:tc>
      </w:tr>
      <w:tr w:rsidR="00B95663" w:rsidRPr="001C7F25" w14:paraId="1D4179B5" w14:textId="77777777" w:rsidTr="00FD14C2">
        <w:trPr>
          <w:trHeight w:val="377"/>
        </w:trPr>
        <w:tc>
          <w:tcPr>
            <w:tcW w:w="3804" w:type="dxa"/>
          </w:tcPr>
          <w:p w14:paraId="20F37ABD" w14:textId="77777777" w:rsidR="00B95663" w:rsidRPr="001C7F25" w:rsidRDefault="00B95663" w:rsidP="00FD14C2">
            <w:pPr>
              <w:spacing w:line="360" w:lineRule="auto"/>
              <w:rPr>
                <w:rFonts w:ascii="Times New Roman" w:hAnsi="Times New Roman" w:cs="Times New Roman"/>
              </w:rPr>
            </w:pPr>
            <w:r w:rsidRPr="001C7F25">
              <w:rPr>
                <w:rFonts w:ascii="Times New Roman" w:hAnsi="Times New Roman" w:cs="Times New Roman"/>
                <w:sz w:val="18"/>
                <w:szCs w:val="18"/>
              </w:rPr>
              <w:t>Background testing probability (annual)</w:t>
            </w:r>
          </w:p>
        </w:tc>
        <w:tc>
          <w:tcPr>
            <w:tcW w:w="1279" w:type="dxa"/>
          </w:tcPr>
          <w:p w14:paraId="37B868EC"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2.08%</w:t>
            </w:r>
          </w:p>
        </w:tc>
        <w:tc>
          <w:tcPr>
            <w:tcW w:w="3126" w:type="dxa"/>
          </w:tcPr>
          <w:p w14:paraId="389DEB6B" w14:textId="77777777"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Beta (α=372559, β=17572555)</w:t>
            </w:r>
          </w:p>
        </w:tc>
        <w:tc>
          <w:tcPr>
            <w:tcW w:w="1056" w:type="dxa"/>
          </w:tcPr>
          <w:p w14:paraId="1D5D3EDE" w14:textId="62A44798"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ExcludeAuth="1" ExcludeYear="1"&gt;&lt;Author&gt;Public Health England&lt;/Author&gt;&lt;Year&gt;2021&lt;/Year&gt;&lt;RecNum&gt;69&lt;/RecNum&gt;&lt;DisplayText&gt;[9, 10]&lt;/DisplayText&gt;&lt;record&gt;&lt;rec-number&gt;69&lt;/rec-number&gt;&lt;foreign-keys&gt;&lt;key app="EN" db-id="tp0rz5a2v2s0v3edrfmpd2pftv2rfwre59az" timestamp="1551458754"&gt;69&lt;/key&gt;&lt;/foreign-keys&gt;&lt;ref-type name="Report"&gt;27&lt;/ref-type&gt;&lt;contributors&gt;&lt;authors&gt;&lt;author&gt;Public Health England,&lt;/author&gt;&lt;/authors&gt;&lt;/contributors&gt;&lt;titles&gt;&lt;title&gt;Annual report from the sentinel surveillance of blood borne virus testing in England 2019&lt;/title&gt;&lt;secondary-title&gt;Health Protection Report&lt;/secondary-title&gt;&lt;/titles&gt;&lt;volume&gt;15&lt;/volume&gt;&lt;number&gt;2&lt;/number&gt;&lt;dates&gt;&lt;year&gt;2021&lt;/year&gt;&lt;/dates&gt;&lt;urls&gt;&lt;related-urls&gt;&lt;url&gt;https://assets.publishing.service.gov.uk/government/uploads/system/uploads/attachment_data/file/954334/hpr0221_sentBBV_main-report_v2.pdf&lt;/url&gt;&lt;/related-urls&gt;&lt;/urls&gt;&lt;access-date&gt;12/04/2021&lt;/access-date&gt;&lt;/record&gt;&lt;/Cite&gt;&lt;Cite ExcludeAuth="1" ExcludeYear="1"&gt;&lt;Author&gt;Office for National Statistics&lt;/Author&gt;&lt;Year&gt;2020&lt;/Year&gt;&lt;RecNum&gt;113&lt;/RecNum&gt;&lt;record&gt;&lt;rec-number&gt;113&lt;/rec-number&gt;&lt;foreign-keys&gt;&lt;key app="EN" db-id="tp0rz5a2v2s0v3edrfmpd2pftv2rfwre59az" timestamp="1630512523"&gt;113&lt;/key&gt;&lt;/foreign-keys&gt;&lt;ref-type name="Report"&gt;27&lt;/ref-type&gt;&lt;contributors&gt;&lt;authors&gt;&lt;author&gt;Office for National Statistics,&lt;/author&gt;&lt;/authors&gt;&lt;/contributors&gt;&lt;titles&gt;&lt;title&gt;England Population Estimates, mid-2019&lt;/title&gt;&lt;/titles&gt;&lt;dates&gt;&lt;year&gt;2020&lt;/year&gt;&lt;/dates&gt;&lt;urls&gt;&lt;related-urls&gt;&lt;url&gt;https://www.ons.gov.uk/peoplepopulationandcommunity/populationandmigration/populationestimates/datasets/populationestimatesforukenglandandwalesscotlandandnorthernireland&lt;/url&gt;&lt;/related-urls&gt;&lt;/urls&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[9, 10]</w:t>
            </w:r>
            <w:r w:rsidRPr="001C7F25">
              <w:rPr>
                <w:rFonts w:ascii="Times New Roman" w:hAnsi="Times New Roman" w:cs="Times New Roman"/>
                <w:sz w:val="18"/>
                <w:szCs w:val="18"/>
              </w:rPr>
              <w:fldChar w:fldCharType="end"/>
            </w:r>
          </w:p>
        </w:tc>
      </w:tr>
      <w:tr w:rsidR="00B95663" w:rsidRPr="001C7F25" w14:paraId="125B80CE" w14:textId="77777777" w:rsidTr="00FD14C2">
        <w:trPr>
          <w:trHeight w:val="377"/>
        </w:trPr>
        <w:tc>
          <w:tcPr>
            <w:tcW w:w="3804" w:type="dxa"/>
          </w:tcPr>
          <w:p w14:paraId="73E6CAED"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Background testing probability (annual) – PWID</w:t>
            </w:r>
          </w:p>
        </w:tc>
        <w:tc>
          <w:tcPr>
            <w:tcW w:w="1279" w:type="dxa"/>
          </w:tcPr>
          <w:p w14:paraId="7803CC72"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26.8%</w:t>
            </w:r>
          </w:p>
        </w:tc>
        <w:tc>
          <w:tcPr>
            <w:tcW w:w="3126" w:type="dxa"/>
          </w:tcPr>
          <w:p w14:paraId="44C73669" w14:textId="7FCFF3C4"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Beta (α=1452, β=1674)</w:t>
            </w:r>
            <w:r w:rsidR="00101854" w:rsidRPr="001C7F25">
              <w:rPr>
                <w:rFonts w:ascii="Times New Roman" w:hAnsi="Times New Roman" w:cs="Times New Roman"/>
                <w:sz w:val="18"/>
                <w:vertAlign w:val="superscript"/>
              </w:rPr>
              <w:t>†</w:t>
            </w:r>
          </w:p>
        </w:tc>
        <w:tc>
          <w:tcPr>
            <w:tcW w:w="1056" w:type="dxa"/>
          </w:tcPr>
          <w:p w14:paraId="297F43DF" w14:textId="645E2873"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ExcludeAuth="1" ExcludeYear="1"&gt;&lt;Author&gt;Public Health England&lt;/Author&gt;&lt;Year&gt;2020&lt;/Year&gt;&lt;RecNum&gt;93&lt;/RecNum&gt;&lt;DisplayText&gt;[11]&lt;/DisplayText&gt;&lt;record&gt;&lt;rec-number&gt;93&lt;/rec-number&gt;&lt;foreign-keys&gt;&lt;key app="EN" db-id="tp0rz5a2v2s0v3edrfmpd2pftv2rfwre59az" timestamp="1605105359"&gt;93&lt;/key&gt;&lt;/foreign-keys&gt;&lt;ref-type name="Report"&gt;27&lt;/ref-type&gt;&lt;contributors&gt;&lt;authors&gt;&lt;author&gt;Public Health England,&lt;/author&gt;&lt;/authors&gt;&lt;/contributors&gt;&lt;titles&gt;&lt;title&gt;Unlinked Anonymous Monitoring (UAM) Survey of HIV and viral hepatitis among PWID: 2020 report&lt;/title&gt;&lt;/titles&gt;&lt;volume&gt;14&lt;/volume&gt;&lt;number&gt;18&lt;/number&gt;&lt;dates&gt;&lt;year&gt;2020&lt;/year&gt;&lt;/dates&gt;&lt;pub-location&gt;London&lt;/pub-location&gt;&lt;publisher&gt;Public Health England&lt;/publisher&gt;&lt;urls&gt;&lt;related-urls&gt;&lt;url&gt;https://www.gov.uk/government/publications/people-who-inject-drugs-hiv-and-viral-hepatitis-monitoring&lt;/url&gt;&lt;/related-urls&gt;&lt;/urls&gt;&lt;access-date&gt;11 November 2020&lt;/access-date&gt;&lt;/record&gt;&lt;/Cite&gt;&lt;/EndNote&gt;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[11]</w:t>
            </w:r>
            <w:r w:rsidRPr="001C7F25">
              <w:rPr>
                <w:rFonts w:ascii="Times New Roman" w:hAnsi="Times New Roman" w:cs="Times New Roman"/>
                <w:sz w:val="18"/>
                <w:szCs w:val="18"/>
              </w:rPr>
              <w:fldChar w:fldCharType="end"/>
            </w:r>
          </w:p>
        </w:tc>
      </w:tr>
      <w:tr w:rsidR="00B95663" w:rsidRPr="001C7F25" w14:paraId="5296FC99" w14:textId="77777777" w:rsidTr="00FD14C2">
        <w:trPr>
          <w:trHeight w:val="624"/>
        </w:trPr>
        <w:tc>
          <w:tcPr>
            <w:tcW w:w="3804" w:type="dxa"/>
          </w:tcPr>
          <w:p w14:paraId="5B691A8D"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Standard mortality ratio for IDU (whilst currently injecting)</w:t>
            </w:r>
          </w:p>
        </w:tc>
        <w:tc>
          <w:tcPr>
            <w:tcW w:w="1279" w:type="dxa"/>
          </w:tcPr>
          <w:p w14:paraId="6A2C8A82"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7.8</w:t>
            </w:r>
          </w:p>
        </w:tc>
        <w:tc>
          <w:tcPr>
            <w:tcW w:w="3126" w:type="dxa"/>
          </w:tcPr>
          <w:p w14:paraId="49CA7DA9"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Normal (95% CI = 5.4-10.8)</w:t>
            </w:r>
          </w:p>
        </w:tc>
        <w:tc>
          <w:tcPr>
            <w:tcW w:w="1056" w:type="dxa"/>
          </w:tcPr>
          <w:p w14:paraId="78438D77" w14:textId="222A82E9"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ExcludeYear="1"&gt;&lt;Author&gt;Hickman&lt;/Author&gt;&lt;Year&gt;2009&lt;/Year&gt;&lt;RecNum&gt;28&lt;/RecNum&gt;&lt;DisplayText&gt;[12]&lt;/DisplayText&gt;&lt;record&gt;&lt;rec-number&gt;28&lt;/rec-number&gt;&lt;foreign-keys&gt;&lt;key app="EN" db-id="tp0rz5a2v2s0v3edrfmpd2pftv2rfwre59az" timestamp="1536340235"&gt;28&lt;/key&gt;&lt;/foreign-keys&gt;&lt;ref-type name="Journal Article"&gt;17&lt;/ref-type&gt;&lt;contributors&gt;&lt;authors&gt;&lt;author&gt;Hickman, Mathew&lt;/author&gt;&lt;author&gt;Hope, Vivian&lt;/author&gt;&lt;author&gt;Coleman, Barbara&lt;/author&gt;&lt;author&gt;Parry, John&lt;/author&gt;&lt;author&gt;Telfer, Maggie&lt;/author&gt;&lt;author&gt;Twigger, John&lt;/author&gt;&lt;author&gt;Irish, Charles&lt;/author&gt;&lt;author&gt;Macleod, John&lt;/author&gt;&lt;author&gt;Annett, Hugh&lt;/author&gt;&lt;/authors&gt;&lt;/contributors&gt;&lt;titles&gt;&lt;title&gt;Assessing IDU prevalence and health consequences (HCV, overdose and drug-related mortality) in a primary care trust: implications for public health action&lt;/title&gt;&lt;secondary-title&gt;J Public Health (Oxf)&lt;/secondary-title&gt;&lt;/titles&gt;&lt;periodical&gt;&lt;full-title&gt;J Public Health (Oxf)&lt;/full-title&gt;&lt;/periodical&gt;&lt;pages&gt;374-382&lt;/pages&gt;&lt;volume&gt;31&lt;/volume&gt;&lt;number&gt;3&lt;/number&gt;&lt;dates&gt;&lt;year&gt;2009&lt;/year&gt;&lt;/dates&gt;&lt;isbn&gt;1741-3842&lt;/isbn&gt;&lt;urls&gt;&lt;related-urls&gt;&lt;url&gt;http://dx.doi.org/10.1093/pubmed/fdp067&lt;/url&gt;&lt;/related-urls&gt;&lt;/urls&gt;&lt;electronic-resource-num&gt;10.1093/pubmed/fdp067&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[12]</w:t>
            </w:r>
            <w:r w:rsidRPr="001C7F25">
              <w:rPr>
                <w:rFonts w:ascii="Times New Roman" w:hAnsi="Times New Roman" w:cs="Times New Roman"/>
                <w:sz w:val="18"/>
                <w:szCs w:val="18"/>
              </w:rPr>
              <w:fldChar w:fldCharType="end"/>
            </w:r>
          </w:p>
        </w:tc>
      </w:tr>
      <w:tr w:rsidR="00B95663" w:rsidRPr="001C7F25" w14:paraId="77CE798D" w14:textId="77777777" w:rsidTr="00FD14C2">
        <w:trPr>
          <w:trHeight w:val="377"/>
        </w:trPr>
        <w:tc>
          <w:tcPr>
            <w:tcW w:w="3804" w:type="dxa"/>
          </w:tcPr>
          <w:p w14:paraId="056568DB"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Duration of injecting (years)</w:t>
            </w:r>
          </w:p>
        </w:tc>
        <w:tc>
          <w:tcPr>
            <w:tcW w:w="1279" w:type="dxa"/>
          </w:tcPr>
          <w:p w14:paraId="1E7442EC"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11</w:t>
            </w:r>
          </w:p>
        </w:tc>
        <w:tc>
          <w:tcPr>
            <w:tcW w:w="3126" w:type="dxa"/>
          </w:tcPr>
          <w:p w14:paraId="6D381566"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Uniform (6, 16)</w:t>
            </w:r>
          </w:p>
        </w:tc>
        <w:tc>
          <w:tcPr>
            <w:tcW w:w="1056" w:type="dxa"/>
          </w:tcPr>
          <w:p w14:paraId="1B99D6B4" w14:textId="119BA0DF"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ExcludeYear="1"&gt;&lt;Author&gt;Sweeting&lt;/Author&gt;&lt;Year&gt;2008&lt;/Year&gt;&lt;RecNum&gt;27&lt;/RecNum&gt;&lt;DisplayText&gt;[13]&lt;/DisplayText&gt;&lt;record&gt;&lt;rec-number&gt;27&lt;/rec-number&gt;&lt;foreign-keys&gt;&lt;key app="EN" db-id="tp0rz5a2v2s0v3edrfmpd2pftv2rfwre59az" timestamp="1536340145"&gt;27&lt;/key&gt;&lt;/foreign-keys&gt;&lt;ref-type name="Journal Article"&gt;17&lt;/ref-type&gt;&lt;contributors&gt;&lt;authors&gt;&lt;author&gt;Sweeting, M. J.&lt;/author&gt;&lt;author&gt;De Angelis, D.&lt;/author&gt;&lt;author&gt;Ades, A. E.&lt;/author&gt;&lt;author&gt;Hickman, M.&lt;/author&gt;&lt;/authors&gt;&lt;/contributors&gt;&lt;titles&gt;&lt;title&gt;Estimating the prevalence of ex-injecting drug use in the population&lt;/title&gt;&lt;secondary-title&gt;Stat Methods Med Res&lt;/secondary-title&gt;&lt;/titles&gt;&lt;periodical&gt;&lt;full-title&gt;Stat Methods Med Res&lt;/full-title&gt;&lt;/periodical&gt;&lt;pages&gt;381-395&lt;/pages&gt;&lt;volume&gt;18&lt;/volume&gt;&lt;number&gt;4&lt;/number&gt;&lt;dates&gt;&lt;year&gt;2008&lt;/year&gt;&lt;pub-dates&gt;&lt;date&gt;2009/08/01&lt;/date&gt;&lt;/pub-dates&gt;&lt;/dates&gt;&lt;publisher&gt;SAGE Publications Ltd STM&lt;/publisher&gt;&lt;isbn&gt;0962-2802&lt;/isbn&gt;&lt;urls&gt;&lt;related-urls&gt;&lt;url&gt;https://doi.org/10.1177/0962280208094704&lt;/url&gt;&lt;/related-urls&gt;&lt;/urls&gt;&lt;electronic-resource-num&gt;10.1177/0962280208094704&lt;/electronic-resource-num&gt;&lt;access-date&gt;07/09/2018&lt;/access-date&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[13]</w:t>
            </w:r>
            <w:r w:rsidRPr="001C7F25">
              <w:rPr>
                <w:rFonts w:ascii="Times New Roman" w:hAnsi="Times New Roman" w:cs="Times New Roman"/>
                <w:sz w:val="18"/>
                <w:szCs w:val="18"/>
              </w:rPr>
              <w:fldChar w:fldCharType="end"/>
            </w:r>
          </w:p>
        </w:tc>
      </w:tr>
      <w:tr w:rsidR="00B95663" w:rsidRPr="001C7F25" w14:paraId="53B7C6AC" w14:textId="77777777" w:rsidTr="00FD14C2">
        <w:trPr>
          <w:trHeight w:val="377"/>
        </w:trPr>
        <w:tc>
          <w:tcPr>
            <w:tcW w:w="3804" w:type="dxa"/>
          </w:tcPr>
          <w:p w14:paraId="4719FEF9"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Annual probability of reinfection amongst PWIDs</w:t>
            </w:r>
          </w:p>
        </w:tc>
        <w:tc>
          <w:tcPr>
            <w:tcW w:w="1279" w:type="dxa"/>
          </w:tcPr>
          <w:p w14:paraId="4B576DE6" w14:textId="77777777"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19.34%</w:t>
            </w:r>
          </w:p>
        </w:tc>
        <w:tc>
          <w:tcPr>
            <w:tcW w:w="3126" w:type="dxa"/>
          </w:tcPr>
          <w:p w14:paraId="741FE96B" w14:textId="147E20E9" w:rsidR="00B95663" w:rsidRPr="001C7F25" w:rsidDel="00A44E46"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t>Beta (a = 15, b = 62)</w:t>
            </w:r>
            <w:r w:rsidR="00101854" w:rsidRPr="001C7F25">
              <w:rPr>
                <w:rFonts w:ascii="Times New Roman" w:hAnsi="Times New Roman" w:cs="Times New Roman"/>
                <w:sz w:val="18"/>
                <w:vertAlign w:val="superscript"/>
              </w:rPr>
              <w:t>‡</w:t>
            </w:r>
          </w:p>
        </w:tc>
        <w:tc>
          <w:tcPr>
            <w:tcW w:w="1056" w:type="dxa"/>
          </w:tcPr>
          <w:p w14:paraId="074A980C" w14:textId="31CF9681" w:rsidR="00B95663" w:rsidRPr="001C7F25" w:rsidRDefault="00B95663" w:rsidP="00FD14C2">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ExcludeYear="1"&gt;&lt;Author&gt;Schulkind&lt;/Author&gt;&lt;Year&gt;2019&lt;/Year&gt;&lt;RecNum&gt;85&lt;/RecNum&gt;&lt;DisplayText&gt;[14]&lt;/DisplayText&gt;&lt;record&gt;&lt;rec-number&gt;85&lt;/rec-number&gt;&lt;foreign-keys&gt;&lt;key app="EN" db-id="tp0rz5a2v2s0v3edrfmpd2pftv2rfwre59az" timestamp="1559566978"&gt;85&lt;/key&gt;&lt;/foreign-keys&gt;&lt;ref-type name="Journal Article"&gt;17&lt;/ref-type&gt;&lt;contributors&gt;&lt;authors&gt;&lt;author&gt;Schulkind, Jasmine&lt;/author&gt;&lt;author&gt;Stephens, Brian&lt;/author&gt;&lt;author&gt;Ahmad, Farsana&lt;/author&gt;&lt;author&gt;Johnston, Linda&lt;/author&gt;&lt;author&gt;Hutchinson, Sharon&lt;/author&gt;&lt;author&gt;Thain, Donna&lt;/author&gt;&lt;author&gt;Ward, Zoe&lt;/author&gt;&lt;author&gt;Vickerman, Peter&lt;/author&gt;&lt;author&gt;Hickman, Matt&lt;/author&gt;&lt;author&gt;Dillon, John F.&lt;/author&gt;&lt;/authors&gt;&lt;/contributors&gt;&lt;titles&gt;&lt;title&gt;High response and re-infection rates among people who inject drugs treated for hepatitis C in a community needle and syringe programme&lt;/title&gt;&lt;secondary-title&gt;J Viral Hepat&lt;/secondary-title&gt;&lt;/titles&gt;&lt;periodical&gt;&lt;full-title&gt;J Viral Hepat&lt;/full-title&gt;&lt;/periodical&gt;&lt;pages&gt;519-528&lt;/pages&gt;&lt;volume&gt;26&lt;/volume&gt;&lt;number&gt;5&lt;/number&gt;&lt;dates&gt;&lt;year&gt;2019&lt;/year&gt;&lt;/dates&gt;&lt;isbn&gt;1352-0504&lt;/isbn&gt;&lt;urls&gt;&lt;related-urls&gt;&lt;url&gt;https://onlinelibrary.wiley.com/doi/abs/10.1111/jvh.13035&lt;/url&gt;&lt;/related-urls&gt;&lt;/urls&gt;&lt;electronic-resource-num&gt;10.1111/jvh.13035&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[14]</w:t>
            </w:r>
            <w:r w:rsidRPr="001C7F25">
              <w:rPr>
                <w:rFonts w:ascii="Times New Roman" w:hAnsi="Times New Roman" w:cs="Times New Roman"/>
                <w:sz w:val="18"/>
                <w:szCs w:val="18"/>
              </w:rPr>
              <w:fldChar w:fldCharType="end"/>
            </w:r>
          </w:p>
        </w:tc>
      </w:tr>
    </w:tbl>
    <w:p w14:paraId="4C4D84CF" w14:textId="6600A2AB" w:rsidR="00B95663" w:rsidRPr="001C7F25" w:rsidRDefault="00101854" w:rsidP="00B95663">
      <w:pPr>
        <w:pStyle w:val="NoSpacing"/>
        <w:spacing w:line="360" w:lineRule="auto"/>
        <w:rPr>
          <w:rFonts w:ascii="Times New Roman" w:hAnsi="Times New Roman" w:cs="Times New Roman"/>
          <w:i/>
          <w:sz w:val="18"/>
        </w:rPr>
      </w:pPr>
      <w:r w:rsidRPr="001C7F25">
        <w:rPr>
          <w:rFonts w:ascii="Times New Roman" w:hAnsi="Times New Roman" w:cs="Times New Roman"/>
          <w:sz w:val="18"/>
          <w:vertAlign w:val="superscript"/>
        </w:rPr>
        <w:t>†</w:t>
      </w:r>
      <w:r w:rsidR="00B95663" w:rsidRPr="001C7F25">
        <w:rPr>
          <w:rFonts w:ascii="Times New Roman" w:hAnsi="Times New Roman" w:cs="Times New Roman"/>
          <w:sz w:val="18"/>
        </w:rPr>
        <w:t xml:space="preserve">Distribution refers to two-year probability of testing, which is converted to an annual probability of testing using the following formula: </w:t>
      </w:r>
      <w:r w:rsidR="00B95663" w:rsidRPr="001C7F25">
        <w:rPr>
          <w:rFonts w:ascii="Times New Roman" w:hAnsi="Times New Roman" w:cs="Times New Roman"/>
          <w:i/>
          <w:sz w:val="18"/>
        </w:rPr>
        <w:t>1-exp(log(1-probability)/2)</w:t>
      </w:r>
    </w:p>
    <w:p w14:paraId="54ECC83F" w14:textId="715916C8" w:rsidR="00B95663" w:rsidRPr="001C7F25" w:rsidRDefault="00101854" w:rsidP="00B95663">
      <w:pPr>
        <w:pStyle w:val="NoSpacing"/>
        <w:spacing w:line="360" w:lineRule="auto"/>
        <w:rPr>
          <w:rFonts w:ascii="Times New Roman" w:hAnsi="Times New Roman" w:cs="Times New Roman"/>
          <w:i/>
          <w:sz w:val="18"/>
        </w:rPr>
      </w:pPr>
      <w:r w:rsidRPr="001C7F25">
        <w:rPr>
          <w:rFonts w:ascii="Times New Roman" w:hAnsi="Times New Roman" w:cs="Times New Roman"/>
          <w:sz w:val="18"/>
          <w:vertAlign w:val="superscript"/>
        </w:rPr>
        <w:t>‡</w:t>
      </w:r>
      <w:r w:rsidR="00B95663" w:rsidRPr="001C7F25">
        <w:rPr>
          <w:rFonts w:ascii="Times New Roman" w:hAnsi="Times New Roman" w:cs="Times New Roman"/>
          <w:sz w:val="18"/>
        </w:rPr>
        <w:t xml:space="preserve">Distribution refers to re-infection probability, whilst accounting for person years of follow-up amongst the cohort. The probability of reinfection was calculated using the following formula: </w:t>
      </w:r>
      <w:r w:rsidR="00B95663" w:rsidRPr="001C7F25">
        <w:rPr>
          <w:rFonts w:ascii="Times New Roman" w:hAnsi="Times New Roman" w:cs="Times New Roman"/>
          <w:i/>
          <w:sz w:val="18"/>
        </w:rPr>
        <w:t>1-exp(-(0.1934/(69.79/77)))</w:t>
      </w:r>
    </w:p>
    <w:p w14:paraId="1ACB0AEE" w14:textId="4A819102" w:rsidR="00095F50" w:rsidRPr="001C7F25" w:rsidRDefault="00095F50">
      <w:pPr>
        <w:rPr>
          <w:rFonts w:ascii="Times New Roman" w:hAnsi="Times New Roman" w:cs="Times New Roman"/>
        </w:rPr>
      </w:pPr>
      <w:r w:rsidRPr="001C7F25">
        <w:rPr>
          <w:rFonts w:ascii="Times New Roman" w:hAnsi="Times New Roman" w:cs="Times New Roman"/>
        </w:rPr>
        <w:br w:type="page"/>
      </w:r>
    </w:p>
    <w:p w14:paraId="2FEEE106" w14:textId="1141108A" w:rsidR="00FB05EE" w:rsidRPr="001C7F25" w:rsidRDefault="00FB05EE" w:rsidP="00FB05EE">
      <w:pPr>
        <w:pStyle w:val="Caption"/>
        <w:keepNext/>
        <w:rPr>
          <w:rFonts w:ascii="Times New Roman" w:hAnsi="Times New Roman" w:cs="Times New Roman"/>
        </w:rPr>
      </w:pPr>
    </w:p>
    <w:p w14:paraId="6A26B359" w14:textId="47AB0A5B" w:rsidR="00636C76" w:rsidRPr="001C7F25" w:rsidRDefault="008D15ED" w:rsidP="00636C76">
      <w:pPr>
        <w:pStyle w:val="Caption"/>
        <w:keepNext/>
        <w:rPr>
          <w:rFonts w:ascii="Times New Roman" w:hAnsi="Times New Roman" w:cs="Times New Roman"/>
        </w:rPr>
      </w:pPr>
      <w:r w:rsidRPr="001C7F25">
        <w:rPr>
          <w:rFonts w:ascii="Times New Roman" w:hAnsi="Times New Roman" w:cs="Times New Roman"/>
        </w:rPr>
        <w:t xml:space="preserve">Appendix </w:t>
      </w:r>
      <w:r w:rsidR="00636C76"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2</w:t>
      </w:r>
      <w:r w:rsidR="00230EC9" w:rsidRPr="001C7F25">
        <w:rPr>
          <w:rFonts w:ascii="Times New Roman" w:hAnsi="Times New Roman" w:cs="Times New Roman"/>
          <w:noProof/>
        </w:rPr>
        <w:fldChar w:fldCharType="end"/>
      </w:r>
      <w:r w:rsidR="00636C76" w:rsidRPr="001C7F25">
        <w:rPr>
          <w:rFonts w:ascii="Times New Roman" w:hAnsi="Times New Roman" w:cs="Times New Roman"/>
        </w:rPr>
        <w:t xml:space="preserve">: Base case HBV transition probabilities for individuals entering the model with </w:t>
      </w:r>
      <w:r w:rsidR="00930C15" w:rsidRPr="001C7F25">
        <w:rPr>
          <w:rFonts w:ascii="Times New Roman" w:hAnsi="Times New Roman" w:cs="Times New Roman"/>
        </w:rPr>
        <w:t xml:space="preserve">chronic HBV </w:t>
      </w:r>
      <w:r w:rsidR="00636C76" w:rsidRPr="001C7F25">
        <w:rPr>
          <w:rFonts w:ascii="Times New Roman" w:hAnsi="Times New Roman" w:cs="Times New Roman"/>
        </w:rPr>
        <w:t>and HBeAg positive disease</w:t>
      </w:r>
    </w:p>
    <w:tbl>
      <w:tblPr>
        <w:tblStyle w:val="TableGrid"/>
        <w:tblW w:w="138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56"/>
        <w:gridCol w:w="1417"/>
        <w:gridCol w:w="1134"/>
        <w:gridCol w:w="1276"/>
        <w:gridCol w:w="992"/>
        <w:gridCol w:w="1276"/>
        <w:gridCol w:w="850"/>
        <w:gridCol w:w="851"/>
        <w:gridCol w:w="972"/>
        <w:gridCol w:w="891"/>
        <w:gridCol w:w="891"/>
      </w:tblGrid>
      <w:tr w:rsidR="00FB05EE" w:rsidRPr="001C7F25" w14:paraId="6A50FCEF" w14:textId="77777777" w:rsidTr="00FB05EE">
        <w:trPr>
          <w:trHeight w:val="436"/>
        </w:trPr>
        <w:tc>
          <w:tcPr>
            <w:tcW w:w="3256" w:type="dxa"/>
            <w:tcBorders>
              <w:top w:val="single" w:sz="4" w:space="0" w:color="auto"/>
              <w:left w:val="single" w:sz="4" w:space="0" w:color="auto"/>
              <w:bottom w:val="single" w:sz="4" w:space="0" w:color="auto"/>
              <w:right w:val="single" w:sz="4" w:space="0" w:color="auto"/>
            </w:tcBorders>
            <w:hideMark/>
          </w:tcPr>
          <w:p w14:paraId="338E19DE"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To:</w:t>
            </w:r>
            <w:r w:rsidRPr="001C7F25">
              <w:rPr>
                <w:rFonts w:ascii="Times New Roman" w:hAnsi="Times New Roman" w:cs="Times New Roman"/>
                <w:sz w:val="18"/>
                <w:szCs w:val="18"/>
              </w:rPr>
              <w:br/>
              <w:t>From:</w:t>
            </w:r>
          </w:p>
        </w:tc>
        <w:tc>
          <w:tcPr>
            <w:tcW w:w="1417" w:type="dxa"/>
            <w:tcBorders>
              <w:top w:val="single" w:sz="4" w:space="0" w:color="auto"/>
              <w:left w:val="single" w:sz="4" w:space="0" w:color="auto"/>
              <w:bottom w:val="single" w:sz="4" w:space="0" w:color="auto"/>
              <w:right w:val="single" w:sz="4" w:space="0" w:color="auto"/>
            </w:tcBorders>
            <w:hideMark/>
          </w:tcPr>
          <w:p w14:paraId="6D83220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HBsAg seroconverted</w:t>
            </w:r>
          </w:p>
        </w:tc>
        <w:tc>
          <w:tcPr>
            <w:tcW w:w="1134" w:type="dxa"/>
            <w:tcBorders>
              <w:top w:val="single" w:sz="4" w:space="0" w:color="auto"/>
              <w:left w:val="single" w:sz="4" w:space="0" w:color="auto"/>
              <w:bottom w:val="single" w:sz="4" w:space="0" w:color="auto"/>
              <w:right w:val="single" w:sz="4" w:space="0" w:color="auto"/>
            </w:tcBorders>
            <w:hideMark/>
          </w:tcPr>
          <w:p w14:paraId="5ABD523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HBeAg+ active disease</w:t>
            </w:r>
          </w:p>
        </w:tc>
        <w:tc>
          <w:tcPr>
            <w:tcW w:w="1276" w:type="dxa"/>
            <w:tcBorders>
              <w:top w:val="single" w:sz="4" w:space="0" w:color="auto"/>
              <w:left w:val="single" w:sz="4" w:space="0" w:color="auto"/>
              <w:bottom w:val="single" w:sz="4" w:space="0" w:color="auto"/>
              <w:right w:val="single" w:sz="4" w:space="0" w:color="auto"/>
            </w:tcBorders>
            <w:hideMark/>
          </w:tcPr>
          <w:p w14:paraId="2C07E292" w14:textId="7F5BC282"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HBeAg+ seroconverted</w:t>
            </w:r>
          </w:p>
        </w:tc>
        <w:tc>
          <w:tcPr>
            <w:tcW w:w="992" w:type="dxa"/>
            <w:tcBorders>
              <w:top w:val="single" w:sz="4" w:space="0" w:color="auto"/>
              <w:left w:val="single" w:sz="4" w:space="0" w:color="auto"/>
              <w:bottom w:val="single" w:sz="4" w:space="0" w:color="auto"/>
              <w:right w:val="single" w:sz="4" w:space="0" w:color="auto"/>
            </w:tcBorders>
            <w:hideMark/>
          </w:tcPr>
          <w:p w14:paraId="458BC5A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HBeAg+ CC active</w:t>
            </w:r>
          </w:p>
        </w:tc>
        <w:tc>
          <w:tcPr>
            <w:tcW w:w="1276" w:type="dxa"/>
            <w:tcBorders>
              <w:top w:val="single" w:sz="4" w:space="0" w:color="auto"/>
              <w:left w:val="single" w:sz="4" w:space="0" w:color="auto"/>
              <w:bottom w:val="single" w:sz="4" w:space="0" w:color="auto"/>
              <w:right w:val="single" w:sz="4" w:space="0" w:color="auto"/>
            </w:tcBorders>
            <w:hideMark/>
          </w:tcPr>
          <w:p w14:paraId="1E2B07A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HBeAg+ CC seroconverted</w:t>
            </w:r>
          </w:p>
        </w:tc>
        <w:tc>
          <w:tcPr>
            <w:tcW w:w="850" w:type="dxa"/>
            <w:tcBorders>
              <w:top w:val="single" w:sz="4" w:space="0" w:color="auto"/>
              <w:left w:val="single" w:sz="4" w:space="0" w:color="auto"/>
              <w:bottom w:val="single" w:sz="4" w:space="0" w:color="auto"/>
              <w:right w:val="single" w:sz="4" w:space="0" w:color="auto"/>
            </w:tcBorders>
            <w:hideMark/>
          </w:tcPr>
          <w:p w14:paraId="73D1D6B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DC</w:t>
            </w:r>
          </w:p>
        </w:tc>
        <w:tc>
          <w:tcPr>
            <w:tcW w:w="851" w:type="dxa"/>
            <w:tcBorders>
              <w:top w:val="single" w:sz="4" w:space="0" w:color="auto"/>
              <w:left w:val="single" w:sz="4" w:space="0" w:color="auto"/>
              <w:bottom w:val="single" w:sz="4" w:space="0" w:color="auto"/>
              <w:right w:val="single" w:sz="4" w:space="0" w:color="auto"/>
            </w:tcBorders>
            <w:hideMark/>
          </w:tcPr>
          <w:p w14:paraId="542792D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HCC</w:t>
            </w:r>
          </w:p>
        </w:tc>
        <w:tc>
          <w:tcPr>
            <w:tcW w:w="972" w:type="dxa"/>
            <w:tcBorders>
              <w:top w:val="single" w:sz="4" w:space="0" w:color="auto"/>
              <w:left w:val="single" w:sz="4" w:space="0" w:color="auto"/>
              <w:bottom w:val="single" w:sz="4" w:space="0" w:color="auto"/>
              <w:right w:val="single" w:sz="4" w:space="0" w:color="auto"/>
            </w:tcBorders>
            <w:hideMark/>
          </w:tcPr>
          <w:p w14:paraId="0D38D99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LT </w:t>
            </w:r>
          </w:p>
          <w:p w14:paraId="58FF172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(first year)</w:t>
            </w:r>
          </w:p>
        </w:tc>
        <w:tc>
          <w:tcPr>
            <w:tcW w:w="891" w:type="dxa"/>
            <w:tcBorders>
              <w:top w:val="single" w:sz="4" w:space="0" w:color="auto"/>
              <w:left w:val="single" w:sz="4" w:space="0" w:color="auto"/>
              <w:bottom w:val="single" w:sz="4" w:space="0" w:color="auto"/>
              <w:right w:val="single" w:sz="4" w:space="0" w:color="auto"/>
            </w:tcBorders>
            <w:hideMark/>
          </w:tcPr>
          <w:p w14:paraId="4D28ACC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LT </w:t>
            </w:r>
          </w:p>
          <w:p w14:paraId="2C7843A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(≥1 year)</w:t>
            </w:r>
          </w:p>
        </w:tc>
        <w:tc>
          <w:tcPr>
            <w:tcW w:w="891" w:type="dxa"/>
            <w:tcBorders>
              <w:top w:val="single" w:sz="4" w:space="0" w:color="auto"/>
              <w:left w:val="single" w:sz="4" w:space="0" w:color="auto"/>
              <w:bottom w:val="single" w:sz="4" w:space="0" w:color="auto"/>
              <w:right w:val="single" w:sz="4" w:space="0" w:color="auto"/>
            </w:tcBorders>
            <w:hideMark/>
          </w:tcPr>
          <w:p w14:paraId="1CC91C5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Dead</w:t>
            </w:r>
          </w:p>
        </w:tc>
      </w:tr>
      <w:tr w:rsidR="00FB05EE" w:rsidRPr="001C7F25" w14:paraId="3D688560" w14:textId="77777777" w:rsidTr="00FB05EE">
        <w:trPr>
          <w:trHeight w:val="300"/>
        </w:trPr>
        <w:tc>
          <w:tcPr>
            <w:tcW w:w="3256" w:type="dxa"/>
            <w:tcBorders>
              <w:top w:val="single" w:sz="4" w:space="0" w:color="auto"/>
              <w:left w:val="single" w:sz="4" w:space="0" w:color="auto"/>
              <w:right w:val="single" w:sz="4" w:space="0" w:color="auto"/>
            </w:tcBorders>
            <w:noWrap/>
            <w:hideMark/>
          </w:tcPr>
          <w:p w14:paraId="40045A08"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HBsAg seroconverted</w:t>
            </w:r>
          </w:p>
        </w:tc>
        <w:tc>
          <w:tcPr>
            <w:tcW w:w="1417" w:type="dxa"/>
            <w:tcBorders>
              <w:top w:val="single" w:sz="4" w:space="0" w:color="auto"/>
              <w:left w:val="single" w:sz="4" w:space="0" w:color="auto"/>
              <w:right w:val="single" w:sz="4" w:space="0" w:color="auto"/>
            </w:tcBorders>
            <w:noWrap/>
            <w:hideMark/>
          </w:tcPr>
          <w:p w14:paraId="01FEAC6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top w:val="single" w:sz="4" w:space="0" w:color="auto"/>
              <w:left w:val="single" w:sz="4" w:space="0" w:color="auto"/>
              <w:right w:val="single" w:sz="4" w:space="0" w:color="auto"/>
            </w:tcBorders>
            <w:noWrap/>
            <w:hideMark/>
          </w:tcPr>
          <w:p w14:paraId="222836B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top w:val="single" w:sz="4" w:space="0" w:color="auto"/>
              <w:left w:val="single" w:sz="4" w:space="0" w:color="auto"/>
              <w:right w:val="single" w:sz="4" w:space="0" w:color="auto"/>
            </w:tcBorders>
            <w:noWrap/>
            <w:hideMark/>
          </w:tcPr>
          <w:p w14:paraId="7BC8FCA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top w:val="single" w:sz="4" w:space="0" w:color="auto"/>
              <w:left w:val="single" w:sz="4" w:space="0" w:color="auto"/>
              <w:right w:val="single" w:sz="4" w:space="0" w:color="auto"/>
            </w:tcBorders>
            <w:noWrap/>
            <w:hideMark/>
          </w:tcPr>
          <w:p w14:paraId="689082A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top w:val="single" w:sz="4" w:space="0" w:color="auto"/>
              <w:left w:val="single" w:sz="4" w:space="0" w:color="auto"/>
              <w:right w:val="single" w:sz="4" w:space="0" w:color="auto"/>
            </w:tcBorders>
            <w:noWrap/>
            <w:hideMark/>
          </w:tcPr>
          <w:p w14:paraId="0AF13CA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top w:val="single" w:sz="4" w:space="0" w:color="auto"/>
              <w:left w:val="single" w:sz="4" w:space="0" w:color="auto"/>
              <w:right w:val="single" w:sz="4" w:space="0" w:color="auto"/>
            </w:tcBorders>
            <w:noWrap/>
            <w:hideMark/>
          </w:tcPr>
          <w:p w14:paraId="63B183E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top w:val="single" w:sz="4" w:space="0" w:color="auto"/>
              <w:left w:val="single" w:sz="4" w:space="0" w:color="auto"/>
              <w:right w:val="single" w:sz="4" w:space="0" w:color="auto"/>
            </w:tcBorders>
            <w:noWrap/>
            <w:hideMark/>
          </w:tcPr>
          <w:p w14:paraId="2C1EF517" w14:textId="581DDA9C"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0.000</w:t>
            </w:r>
            <w:r w:rsidR="0091785A" w:rsidRPr="001C7F25">
              <w:rPr>
                <w:rFonts w:ascii="Times New Roman" w:hAnsi="Times New Roman" w:cs="Times New Roman"/>
                <w:sz w:val="18"/>
                <w:szCs w:val="18"/>
              </w:rPr>
              <w:t>05</w:t>
            </w:r>
            <w:r w:rsidRPr="001C7F25">
              <w:rPr>
                <w:rFonts w:ascii="Times New Roman" w:hAnsi="Times New Roman" w:cs="Times New Roman"/>
                <w:sz w:val="18"/>
                <w:szCs w:val="18"/>
              </w:rPr>
              <w:t xml:space="preserve"> </w:t>
            </w:r>
          </w:p>
        </w:tc>
        <w:tc>
          <w:tcPr>
            <w:tcW w:w="972" w:type="dxa"/>
            <w:tcBorders>
              <w:top w:val="single" w:sz="4" w:space="0" w:color="auto"/>
              <w:left w:val="single" w:sz="4" w:space="0" w:color="auto"/>
              <w:right w:val="single" w:sz="4" w:space="0" w:color="auto"/>
            </w:tcBorders>
            <w:noWrap/>
            <w:hideMark/>
          </w:tcPr>
          <w:p w14:paraId="3AAD2C9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top w:val="single" w:sz="4" w:space="0" w:color="auto"/>
              <w:left w:val="single" w:sz="4" w:space="0" w:color="auto"/>
              <w:right w:val="single" w:sz="4" w:space="0" w:color="auto"/>
            </w:tcBorders>
            <w:noWrap/>
            <w:hideMark/>
          </w:tcPr>
          <w:p w14:paraId="2094E11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top w:val="single" w:sz="4" w:space="0" w:color="auto"/>
              <w:left w:val="single" w:sz="4" w:space="0" w:color="auto"/>
              <w:right w:val="single" w:sz="4" w:space="0" w:color="auto"/>
            </w:tcBorders>
            <w:noWrap/>
            <w:hideMark/>
          </w:tcPr>
          <w:p w14:paraId="0A8C24B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0C240AAD" w14:textId="77777777" w:rsidTr="00FB05EE">
        <w:trPr>
          <w:trHeight w:val="300"/>
        </w:trPr>
        <w:tc>
          <w:tcPr>
            <w:tcW w:w="3256" w:type="dxa"/>
            <w:tcBorders>
              <w:left w:val="single" w:sz="4" w:space="0" w:color="auto"/>
              <w:right w:val="single" w:sz="4" w:space="0" w:color="auto"/>
            </w:tcBorders>
            <w:noWrap/>
            <w:hideMark/>
          </w:tcPr>
          <w:p w14:paraId="6DD17D01"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seroconverted</w:t>
            </w:r>
          </w:p>
        </w:tc>
        <w:tc>
          <w:tcPr>
            <w:tcW w:w="1417" w:type="dxa"/>
            <w:tcBorders>
              <w:left w:val="single" w:sz="4" w:space="0" w:color="auto"/>
              <w:right w:val="single" w:sz="4" w:space="0" w:color="auto"/>
            </w:tcBorders>
            <w:noWrap/>
            <w:hideMark/>
          </w:tcPr>
          <w:p w14:paraId="18B573F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 </w:t>
            </w:r>
          </w:p>
        </w:tc>
        <w:tc>
          <w:tcPr>
            <w:tcW w:w="1134" w:type="dxa"/>
            <w:tcBorders>
              <w:left w:val="single" w:sz="4" w:space="0" w:color="auto"/>
              <w:right w:val="single" w:sz="4" w:space="0" w:color="auto"/>
            </w:tcBorders>
            <w:noWrap/>
            <w:hideMark/>
          </w:tcPr>
          <w:p w14:paraId="042FAF0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0.03 </w:t>
            </w:r>
          </w:p>
        </w:tc>
        <w:tc>
          <w:tcPr>
            <w:tcW w:w="1276" w:type="dxa"/>
            <w:tcBorders>
              <w:left w:val="single" w:sz="4" w:space="0" w:color="auto"/>
              <w:right w:val="single" w:sz="4" w:space="0" w:color="auto"/>
            </w:tcBorders>
            <w:noWrap/>
            <w:hideMark/>
          </w:tcPr>
          <w:p w14:paraId="3459FAD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7AF870B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1276" w:type="dxa"/>
            <w:tcBorders>
              <w:left w:val="single" w:sz="4" w:space="0" w:color="auto"/>
              <w:right w:val="single" w:sz="4" w:space="0" w:color="auto"/>
            </w:tcBorders>
            <w:noWrap/>
            <w:hideMark/>
          </w:tcPr>
          <w:p w14:paraId="2808937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6C0F040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171AE77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0.001 </w:t>
            </w:r>
          </w:p>
        </w:tc>
        <w:tc>
          <w:tcPr>
            <w:tcW w:w="972" w:type="dxa"/>
            <w:tcBorders>
              <w:left w:val="single" w:sz="4" w:space="0" w:color="auto"/>
              <w:right w:val="single" w:sz="4" w:space="0" w:color="auto"/>
            </w:tcBorders>
            <w:noWrap/>
            <w:hideMark/>
          </w:tcPr>
          <w:p w14:paraId="7E2EDFE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67507DA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15F2514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7832CC4A" w14:textId="77777777" w:rsidTr="00FB05EE">
        <w:trPr>
          <w:trHeight w:val="300"/>
        </w:trPr>
        <w:tc>
          <w:tcPr>
            <w:tcW w:w="3256" w:type="dxa"/>
            <w:tcBorders>
              <w:left w:val="single" w:sz="4" w:space="0" w:color="auto"/>
              <w:right w:val="single" w:sz="4" w:space="0" w:color="auto"/>
            </w:tcBorders>
            <w:noWrap/>
            <w:hideMark/>
          </w:tcPr>
          <w:p w14:paraId="5DBA3D14"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active disease no treatment</w:t>
            </w:r>
          </w:p>
        </w:tc>
        <w:tc>
          <w:tcPr>
            <w:tcW w:w="1417" w:type="dxa"/>
            <w:tcBorders>
              <w:left w:val="single" w:sz="4" w:space="0" w:color="auto"/>
              <w:right w:val="single" w:sz="4" w:space="0" w:color="auto"/>
            </w:tcBorders>
            <w:noWrap/>
            <w:hideMark/>
          </w:tcPr>
          <w:p w14:paraId="4CC604E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0.0175 </w:t>
            </w:r>
          </w:p>
        </w:tc>
        <w:tc>
          <w:tcPr>
            <w:tcW w:w="1134" w:type="dxa"/>
            <w:tcBorders>
              <w:left w:val="single" w:sz="4" w:space="0" w:color="auto"/>
              <w:right w:val="single" w:sz="4" w:space="0" w:color="auto"/>
            </w:tcBorders>
            <w:noWrap/>
            <w:hideMark/>
          </w:tcPr>
          <w:p w14:paraId="63B5F2B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562C710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 </w:t>
            </w:r>
          </w:p>
        </w:tc>
        <w:tc>
          <w:tcPr>
            <w:tcW w:w="992" w:type="dxa"/>
            <w:tcBorders>
              <w:left w:val="single" w:sz="4" w:space="0" w:color="auto"/>
              <w:right w:val="single" w:sz="4" w:space="0" w:color="auto"/>
            </w:tcBorders>
            <w:noWrap/>
            <w:hideMark/>
          </w:tcPr>
          <w:p w14:paraId="01F8F5A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 </w:t>
            </w:r>
          </w:p>
        </w:tc>
        <w:tc>
          <w:tcPr>
            <w:tcW w:w="1276" w:type="dxa"/>
            <w:tcBorders>
              <w:left w:val="single" w:sz="4" w:space="0" w:color="auto"/>
              <w:right w:val="single" w:sz="4" w:space="0" w:color="auto"/>
            </w:tcBorders>
            <w:noWrap/>
            <w:hideMark/>
          </w:tcPr>
          <w:p w14:paraId="46F4046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1A59678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72E6099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0.005 </w:t>
            </w:r>
          </w:p>
        </w:tc>
        <w:tc>
          <w:tcPr>
            <w:tcW w:w="972" w:type="dxa"/>
            <w:tcBorders>
              <w:left w:val="single" w:sz="4" w:space="0" w:color="auto"/>
              <w:right w:val="single" w:sz="4" w:space="0" w:color="auto"/>
            </w:tcBorders>
            <w:noWrap/>
            <w:hideMark/>
          </w:tcPr>
          <w:p w14:paraId="7E0B251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C9A125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DBF1FC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0.0035 </w:t>
            </w:r>
          </w:p>
        </w:tc>
      </w:tr>
      <w:tr w:rsidR="00FB05EE" w:rsidRPr="001C7F25" w14:paraId="4F581C6A" w14:textId="77777777" w:rsidTr="00FB05EE">
        <w:trPr>
          <w:trHeight w:val="300"/>
        </w:trPr>
        <w:tc>
          <w:tcPr>
            <w:tcW w:w="3256" w:type="dxa"/>
            <w:tcBorders>
              <w:left w:val="single" w:sz="4" w:space="0" w:color="auto"/>
              <w:right w:val="single" w:sz="4" w:space="0" w:color="auto"/>
            </w:tcBorders>
            <w:noWrap/>
            <w:hideMark/>
          </w:tcPr>
          <w:p w14:paraId="4FD41929"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active disease, treatment with PegIFNα</w:t>
            </w:r>
          </w:p>
        </w:tc>
        <w:tc>
          <w:tcPr>
            <w:tcW w:w="1417" w:type="dxa"/>
            <w:tcBorders>
              <w:left w:val="single" w:sz="4" w:space="0" w:color="auto"/>
              <w:right w:val="single" w:sz="4" w:space="0" w:color="auto"/>
            </w:tcBorders>
            <w:noWrap/>
            <w:hideMark/>
          </w:tcPr>
          <w:p w14:paraId="16D6117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0.0295 </w:t>
            </w:r>
          </w:p>
        </w:tc>
        <w:tc>
          <w:tcPr>
            <w:tcW w:w="1134" w:type="dxa"/>
            <w:tcBorders>
              <w:left w:val="single" w:sz="4" w:space="0" w:color="auto"/>
              <w:right w:val="single" w:sz="4" w:space="0" w:color="auto"/>
            </w:tcBorders>
            <w:noWrap/>
            <w:hideMark/>
          </w:tcPr>
          <w:p w14:paraId="2D69A8D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497F6EC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0.32 </w:t>
            </w:r>
          </w:p>
        </w:tc>
        <w:tc>
          <w:tcPr>
            <w:tcW w:w="992" w:type="dxa"/>
            <w:tcBorders>
              <w:left w:val="single" w:sz="4" w:space="0" w:color="auto"/>
              <w:right w:val="single" w:sz="4" w:space="0" w:color="auto"/>
            </w:tcBorders>
            <w:noWrap/>
            <w:hideMark/>
          </w:tcPr>
          <w:p w14:paraId="38C9183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1276" w:type="dxa"/>
            <w:tcBorders>
              <w:left w:val="single" w:sz="4" w:space="0" w:color="auto"/>
              <w:right w:val="single" w:sz="4" w:space="0" w:color="auto"/>
            </w:tcBorders>
            <w:noWrap/>
            <w:hideMark/>
          </w:tcPr>
          <w:p w14:paraId="15B1D21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61D672D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7B0130F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0.0028 </w:t>
            </w:r>
          </w:p>
        </w:tc>
        <w:tc>
          <w:tcPr>
            <w:tcW w:w="972" w:type="dxa"/>
            <w:tcBorders>
              <w:left w:val="single" w:sz="4" w:space="0" w:color="auto"/>
              <w:right w:val="single" w:sz="4" w:space="0" w:color="auto"/>
            </w:tcBorders>
            <w:noWrap/>
            <w:hideMark/>
          </w:tcPr>
          <w:p w14:paraId="77C08C2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30CCDFE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3EB5610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4D033FF6" w14:textId="77777777" w:rsidTr="00FB05EE">
        <w:trPr>
          <w:trHeight w:val="300"/>
        </w:trPr>
        <w:tc>
          <w:tcPr>
            <w:tcW w:w="3256" w:type="dxa"/>
            <w:tcBorders>
              <w:left w:val="single" w:sz="4" w:space="0" w:color="auto"/>
              <w:right w:val="single" w:sz="4" w:space="0" w:color="auto"/>
            </w:tcBorders>
            <w:noWrap/>
            <w:hideMark/>
          </w:tcPr>
          <w:p w14:paraId="0246E44E"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active disease, treatment with tenofovir</w:t>
            </w:r>
          </w:p>
        </w:tc>
        <w:tc>
          <w:tcPr>
            <w:tcW w:w="1417" w:type="dxa"/>
            <w:tcBorders>
              <w:left w:val="single" w:sz="4" w:space="0" w:color="auto"/>
              <w:right w:val="single" w:sz="4" w:space="0" w:color="auto"/>
            </w:tcBorders>
            <w:noWrap/>
            <w:hideMark/>
          </w:tcPr>
          <w:p w14:paraId="74B136F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0.018 </w:t>
            </w:r>
          </w:p>
        </w:tc>
        <w:tc>
          <w:tcPr>
            <w:tcW w:w="1134" w:type="dxa"/>
            <w:tcBorders>
              <w:left w:val="single" w:sz="4" w:space="0" w:color="auto"/>
              <w:right w:val="single" w:sz="4" w:space="0" w:color="auto"/>
            </w:tcBorders>
            <w:noWrap/>
            <w:hideMark/>
          </w:tcPr>
          <w:p w14:paraId="4D9759A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4257796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0.0557 </w:t>
            </w:r>
          </w:p>
        </w:tc>
        <w:tc>
          <w:tcPr>
            <w:tcW w:w="992" w:type="dxa"/>
            <w:tcBorders>
              <w:left w:val="single" w:sz="4" w:space="0" w:color="auto"/>
              <w:right w:val="single" w:sz="4" w:space="0" w:color="auto"/>
            </w:tcBorders>
            <w:noWrap/>
            <w:hideMark/>
          </w:tcPr>
          <w:p w14:paraId="30D8D8B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1276" w:type="dxa"/>
            <w:tcBorders>
              <w:left w:val="single" w:sz="4" w:space="0" w:color="auto"/>
              <w:right w:val="single" w:sz="4" w:space="0" w:color="auto"/>
            </w:tcBorders>
            <w:noWrap/>
            <w:hideMark/>
          </w:tcPr>
          <w:p w14:paraId="09FF4AE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21E8AED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7688802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0.0028 </w:t>
            </w:r>
          </w:p>
        </w:tc>
        <w:tc>
          <w:tcPr>
            <w:tcW w:w="972" w:type="dxa"/>
            <w:tcBorders>
              <w:left w:val="single" w:sz="4" w:space="0" w:color="auto"/>
              <w:right w:val="single" w:sz="4" w:space="0" w:color="auto"/>
            </w:tcBorders>
            <w:noWrap/>
            <w:hideMark/>
          </w:tcPr>
          <w:p w14:paraId="6DA8BF9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7DCAEDE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6D14AB7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0EEBEFA7" w14:textId="77777777" w:rsidTr="00FB05EE">
        <w:trPr>
          <w:trHeight w:val="300"/>
        </w:trPr>
        <w:tc>
          <w:tcPr>
            <w:tcW w:w="3256" w:type="dxa"/>
            <w:tcBorders>
              <w:left w:val="single" w:sz="4" w:space="0" w:color="auto"/>
              <w:right w:val="single" w:sz="4" w:space="0" w:color="auto"/>
            </w:tcBorders>
            <w:noWrap/>
            <w:hideMark/>
          </w:tcPr>
          <w:p w14:paraId="10B995B7"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compensated cirrhosis (CC) HBeAg seroconverted</w:t>
            </w:r>
          </w:p>
        </w:tc>
        <w:tc>
          <w:tcPr>
            <w:tcW w:w="1417" w:type="dxa"/>
            <w:tcBorders>
              <w:left w:val="single" w:sz="4" w:space="0" w:color="auto"/>
              <w:right w:val="single" w:sz="4" w:space="0" w:color="auto"/>
            </w:tcBorders>
            <w:noWrap/>
            <w:hideMark/>
          </w:tcPr>
          <w:p w14:paraId="3AB13CB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 </w:t>
            </w:r>
          </w:p>
        </w:tc>
        <w:tc>
          <w:tcPr>
            <w:tcW w:w="1134" w:type="dxa"/>
            <w:tcBorders>
              <w:left w:val="single" w:sz="4" w:space="0" w:color="auto"/>
              <w:right w:val="single" w:sz="4" w:space="0" w:color="auto"/>
            </w:tcBorders>
            <w:noWrap/>
            <w:hideMark/>
          </w:tcPr>
          <w:p w14:paraId="3C71F00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7A12DA7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40540CD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0.03 </w:t>
            </w:r>
          </w:p>
        </w:tc>
        <w:tc>
          <w:tcPr>
            <w:tcW w:w="1276" w:type="dxa"/>
            <w:tcBorders>
              <w:left w:val="single" w:sz="4" w:space="0" w:color="auto"/>
              <w:right w:val="single" w:sz="4" w:space="0" w:color="auto"/>
            </w:tcBorders>
            <w:noWrap/>
            <w:hideMark/>
          </w:tcPr>
          <w:p w14:paraId="737CF5C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1BECFE0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851" w:type="dxa"/>
            <w:tcBorders>
              <w:left w:val="single" w:sz="4" w:space="0" w:color="auto"/>
              <w:right w:val="single" w:sz="4" w:space="0" w:color="auto"/>
            </w:tcBorders>
            <w:noWrap/>
            <w:hideMark/>
          </w:tcPr>
          <w:p w14:paraId="6DDA116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0.001 </w:t>
            </w:r>
          </w:p>
        </w:tc>
        <w:tc>
          <w:tcPr>
            <w:tcW w:w="972" w:type="dxa"/>
            <w:tcBorders>
              <w:left w:val="single" w:sz="4" w:space="0" w:color="auto"/>
              <w:right w:val="single" w:sz="4" w:space="0" w:color="auto"/>
            </w:tcBorders>
            <w:noWrap/>
            <w:hideMark/>
          </w:tcPr>
          <w:p w14:paraId="61DAABD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1CFED75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7797A04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0952524F" w14:textId="77777777" w:rsidTr="00FB05EE">
        <w:trPr>
          <w:trHeight w:val="300"/>
        </w:trPr>
        <w:tc>
          <w:tcPr>
            <w:tcW w:w="3256" w:type="dxa"/>
            <w:tcBorders>
              <w:left w:val="single" w:sz="4" w:space="0" w:color="auto"/>
              <w:right w:val="single" w:sz="4" w:space="0" w:color="auto"/>
            </w:tcBorders>
            <w:noWrap/>
            <w:hideMark/>
          </w:tcPr>
          <w:p w14:paraId="0C558DE5" w14:textId="5D22A998"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 xml:space="preserve">HBeAg+ CC active </w:t>
            </w:r>
            <w:r w:rsidR="005828B3" w:rsidRPr="001C7F25">
              <w:rPr>
                <w:rFonts w:ascii="Times New Roman" w:hAnsi="Times New Roman" w:cs="Times New Roman"/>
                <w:sz w:val="18"/>
                <w:szCs w:val="18"/>
              </w:rPr>
              <w:t>–</w:t>
            </w:r>
            <w:r w:rsidRPr="001C7F25">
              <w:rPr>
                <w:rFonts w:ascii="Times New Roman" w:hAnsi="Times New Roman" w:cs="Times New Roman"/>
                <w:sz w:val="18"/>
                <w:szCs w:val="18"/>
              </w:rPr>
              <w:t xml:space="preserve"> No treatment</w:t>
            </w:r>
          </w:p>
        </w:tc>
        <w:tc>
          <w:tcPr>
            <w:tcW w:w="1417" w:type="dxa"/>
            <w:tcBorders>
              <w:left w:val="single" w:sz="4" w:space="0" w:color="auto"/>
              <w:right w:val="single" w:sz="4" w:space="0" w:color="auto"/>
            </w:tcBorders>
            <w:noWrap/>
            <w:hideMark/>
          </w:tcPr>
          <w:p w14:paraId="493154D2" w14:textId="564DF800"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048FD2D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1C98075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0F5ED69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445B695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 </w:t>
            </w:r>
          </w:p>
        </w:tc>
        <w:tc>
          <w:tcPr>
            <w:tcW w:w="850" w:type="dxa"/>
            <w:tcBorders>
              <w:left w:val="single" w:sz="4" w:space="0" w:color="auto"/>
              <w:right w:val="single" w:sz="4" w:space="0" w:color="auto"/>
            </w:tcBorders>
            <w:noWrap/>
            <w:hideMark/>
          </w:tcPr>
          <w:p w14:paraId="01E4626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 </w:t>
            </w:r>
          </w:p>
        </w:tc>
        <w:tc>
          <w:tcPr>
            <w:tcW w:w="851" w:type="dxa"/>
            <w:tcBorders>
              <w:left w:val="single" w:sz="4" w:space="0" w:color="auto"/>
              <w:right w:val="single" w:sz="4" w:space="0" w:color="auto"/>
            </w:tcBorders>
            <w:noWrap/>
            <w:hideMark/>
          </w:tcPr>
          <w:p w14:paraId="319FEDA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0.025 </w:t>
            </w:r>
          </w:p>
        </w:tc>
        <w:tc>
          <w:tcPr>
            <w:tcW w:w="972" w:type="dxa"/>
            <w:tcBorders>
              <w:left w:val="single" w:sz="4" w:space="0" w:color="auto"/>
              <w:right w:val="single" w:sz="4" w:space="0" w:color="auto"/>
            </w:tcBorders>
            <w:noWrap/>
            <w:hideMark/>
          </w:tcPr>
          <w:p w14:paraId="5F6DBAA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F9F4B8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6D20405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0.051 </w:t>
            </w:r>
          </w:p>
        </w:tc>
      </w:tr>
      <w:tr w:rsidR="00FB05EE" w:rsidRPr="001C7F25" w14:paraId="43A13187" w14:textId="77777777" w:rsidTr="00FB05EE">
        <w:trPr>
          <w:trHeight w:val="300"/>
        </w:trPr>
        <w:tc>
          <w:tcPr>
            <w:tcW w:w="3256" w:type="dxa"/>
            <w:tcBorders>
              <w:left w:val="single" w:sz="4" w:space="0" w:color="auto"/>
              <w:right w:val="single" w:sz="4" w:space="0" w:color="auto"/>
            </w:tcBorders>
            <w:noWrap/>
            <w:hideMark/>
          </w:tcPr>
          <w:p w14:paraId="362C536D" w14:textId="21C56803"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 xml:space="preserve">HBeAg+ CC active </w:t>
            </w:r>
            <w:r w:rsidR="005828B3" w:rsidRPr="001C7F25">
              <w:rPr>
                <w:rFonts w:ascii="Times New Roman" w:hAnsi="Times New Roman" w:cs="Times New Roman"/>
                <w:sz w:val="18"/>
                <w:szCs w:val="18"/>
              </w:rPr>
              <w:t>–</w:t>
            </w:r>
            <w:r w:rsidRPr="001C7F25">
              <w:rPr>
                <w:rFonts w:ascii="Times New Roman" w:hAnsi="Times New Roman" w:cs="Times New Roman"/>
                <w:sz w:val="18"/>
                <w:szCs w:val="18"/>
              </w:rPr>
              <w:t xml:space="preserve"> Treatment response with PegIFNα</w:t>
            </w:r>
          </w:p>
        </w:tc>
        <w:tc>
          <w:tcPr>
            <w:tcW w:w="1417" w:type="dxa"/>
            <w:tcBorders>
              <w:left w:val="single" w:sz="4" w:space="0" w:color="auto"/>
              <w:right w:val="single" w:sz="4" w:space="0" w:color="auto"/>
            </w:tcBorders>
            <w:noWrap/>
            <w:hideMark/>
          </w:tcPr>
          <w:p w14:paraId="5D89555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0.0295 </w:t>
            </w:r>
          </w:p>
        </w:tc>
        <w:tc>
          <w:tcPr>
            <w:tcW w:w="1134" w:type="dxa"/>
            <w:tcBorders>
              <w:left w:val="single" w:sz="4" w:space="0" w:color="auto"/>
              <w:right w:val="single" w:sz="4" w:space="0" w:color="auto"/>
            </w:tcBorders>
            <w:noWrap/>
            <w:hideMark/>
          </w:tcPr>
          <w:p w14:paraId="789ABA4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62E9E67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423AB8E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61D4115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0.32 </w:t>
            </w:r>
          </w:p>
        </w:tc>
        <w:tc>
          <w:tcPr>
            <w:tcW w:w="850" w:type="dxa"/>
            <w:tcBorders>
              <w:left w:val="single" w:sz="4" w:space="0" w:color="auto"/>
              <w:right w:val="single" w:sz="4" w:space="0" w:color="auto"/>
            </w:tcBorders>
            <w:noWrap/>
            <w:hideMark/>
          </w:tcPr>
          <w:p w14:paraId="1FAA22E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851" w:type="dxa"/>
            <w:tcBorders>
              <w:left w:val="single" w:sz="4" w:space="0" w:color="auto"/>
              <w:right w:val="single" w:sz="4" w:space="0" w:color="auto"/>
            </w:tcBorders>
            <w:noWrap/>
            <w:hideMark/>
          </w:tcPr>
          <w:p w14:paraId="5D08D74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0.0065 </w:t>
            </w:r>
          </w:p>
        </w:tc>
        <w:tc>
          <w:tcPr>
            <w:tcW w:w="972" w:type="dxa"/>
            <w:tcBorders>
              <w:left w:val="single" w:sz="4" w:space="0" w:color="auto"/>
              <w:right w:val="single" w:sz="4" w:space="0" w:color="auto"/>
            </w:tcBorders>
            <w:noWrap/>
            <w:hideMark/>
          </w:tcPr>
          <w:p w14:paraId="3737617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62A3AFB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3C988E8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3CE09F55" w14:textId="77777777" w:rsidTr="00FB05EE">
        <w:trPr>
          <w:trHeight w:val="300"/>
        </w:trPr>
        <w:tc>
          <w:tcPr>
            <w:tcW w:w="3256" w:type="dxa"/>
            <w:tcBorders>
              <w:left w:val="single" w:sz="4" w:space="0" w:color="auto"/>
              <w:right w:val="single" w:sz="4" w:space="0" w:color="auto"/>
            </w:tcBorders>
            <w:noWrap/>
            <w:hideMark/>
          </w:tcPr>
          <w:p w14:paraId="19F5E961" w14:textId="18198EDB"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 xml:space="preserve">HBeAg+ CC active </w:t>
            </w:r>
            <w:r w:rsidR="005828B3" w:rsidRPr="001C7F25">
              <w:rPr>
                <w:rFonts w:ascii="Times New Roman" w:hAnsi="Times New Roman" w:cs="Times New Roman"/>
                <w:sz w:val="18"/>
                <w:szCs w:val="18"/>
              </w:rPr>
              <w:t>–</w:t>
            </w:r>
            <w:r w:rsidRPr="001C7F25">
              <w:rPr>
                <w:rFonts w:ascii="Times New Roman" w:hAnsi="Times New Roman" w:cs="Times New Roman"/>
                <w:sz w:val="18"/>
                <w:szCs w:val="18"/>
              </w:rPr>
              <w:t xml:space="preserve"> Treatment response with tenofovir</w:t>
            </w:r>
          </w:p>
        </w:tc>
        <w:tc>
          <w:tcPr>
            <w:tcW w:w="1417" w:type="dxa"/>
            <w:tcBorders>
              <w:left w:val="single" w:sz="4" w:space="0" w:color="auto"/>
              <w:right w:val="single" w:sz="4" w:space="0" w:color="auto"/>
            </w:tcBorders>
            <w:noWrap/>
            <w:hideMark/>
          </w:tcPr>
          <w:p w14:paraId="0A06DFD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0.018 </w:t>
            </w:r>
          </w:p>
        </w:tc>
        <w:tc>
          <w:tcPr>
            <w:tcW w:w="1134" w:type="dxa"/>
            <w:tcBorders>
              <w:left w:val="single" w:sz="4" w:space="0" w:color="auto"/>
              <w:right w:val="single" w:sz="4" w:space="0" w:color="auto"/>
            </w:tcBorders>
            <w:noWrap/>
            <w:hideMark/>
          </w:tcPr>
          <w:p w14:paraId="44C61E6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7F88894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3407C71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296E2DF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0.0557 </w:t>
            </w:r>
          </w:p>
        </w:tc>
        <w:tc>
          <w:tcPr>
            <w:tcW w:w="850" w:type="dxa"/>
            <w:tcBorders>
              <w:left w:val="single" w:sz="4" w:space="0" w:color="auto"/>
              <w:right w:val="single" w:sz="4" w:space="0" w:color="auto"/>
            </w:tcBorders>
            <w:noWrap/>
            <w:hideMark/>
          </w:tcPr>
          <w:p w14:paraId="02E5A6A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851" w:type="dxa"/>
            <w:tcBorders>
              <w:left w:val="single" w:sz="4" w:space="0" w:color="auto"/>
              <w:right w:val="single" w:sz="4" w:space="0" w:color="auto"/>
            </w:tcBorders>
            <w:noWrap/>
            <w:hideMark/>
          </w:tcPr>
          <w:p w14:paraId="3F36692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0.0065 </w:t>
            </w:r>
          </w:p>
        </w:tc>
        <w:tc>
          <w:tcPr>
            <w:tcW w:w="972" w:type="dxa"/>
            <w:tcBorders>
              <w:left w:val="single" w:sz="4" w:space="0" w:color="auto"/>
              <w:right w:val="single" w:sz="4" w:space="0" w:color="auto"/>
            </w:tcBorders>
            <w:noWrap/>
            <w:hideMark/>
          </w:tcPr>
          <w:p w14:paraId="256C978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51FE9DF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2FFDF65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6ECFC8B0" w14:textId="77777777" w:rsidTr="00FB05EE">
        <w:trPr>
          <w:trHeight w:val="300"/>
        </w:trPr>
        <w:tc>
          <w:tcPr>
            <w:tcW w:w="3256" w:type="dxa"/>
            <w:tcBorders>
              <w:left w:val="single" w:sz="4" w:space="0" w:color="auto"/>
              <w:right w:val="single" w:sz="4" w:space="0" w:color="auto"/>
            </w:tcBorders>
            <w:noWrap/>
            <w:hideMark/>
          </w:tcPr>
          <w:p w14:paraId="104D420B"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Decompensated cirrhosis (DC)</w:t>
            </w:r>
          </w:p>
        </w:tc>
        <w:tc>
          <w:tcPr>
            <w:tcW w:w="1417" w:type="dxa"/>
            <w:tcBorders>
              <w:left w:val="single" w:sz="4" w:space="0" w:color="auto"/>
              <w:right w:val="single" w:sz="4" w:space="0" w:color="auto"/>
            </w:tcBorders>
            <w:noWrap/>
            <w:hideMark/>
          </w:tcPr>
          <w:p w14:paraId="7EEB626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272A20E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163CBC3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330C9D3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05F6F7C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6E8D6A9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423FB52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0.025 </w:t>
            </w:r>
          </w:p>
        </w:tc>
        <w:tc>
          <w:tcPr>
            <w:tcW w:w="972" w:type="dxa"/>
            <w:tcBorders>
              <w:left w:val="single" w:sz="4" w:space="0" w:color="auto"/>
              <w:right w:val="single" w:sz="4" w:space="0" w:color="auto"/>
            </w:tcBorders>
            <w:noWrap/>
            <w:hideMark/>
          </w:tcPr>
          <w:p w14:paraId="21160C0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0.03 </w:t>
            </w:r>
          </w:p>
        </w:tc>
        <w:tc>
          <w:tcPr>
            <w:tcW w:w="891" w:type="dxa"/>
            <w:tcBorders>
              <w:left w:val="single" w:sz="4" w:space="0" w:color="auto"/>
              <w:right w:val="single" w:sz="4" w:space="0" w:color="auto"/>
            </w:tcBorders>
            <w:noWrap/>
            <w:hideMark/>
          </w:tcPr>
          <w:p w14:paraId="65D79D5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1BBAF82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0.39 </w:t>
            </w:r>
          </w:p>
        </w:tc>
      </w:tr>
      <w:tr w:rsidR="00FB05EE" w:rsidRPr="001C7F25" w14:paraId="5A172BDD" w14:textId="77777777" w:rsidTr="00FB05EE">
        <w:trPr>
          <w:trHeight w:val="300"/>
        </w:trPr>
        <w:tc>
          <w:tcPr>
            <w:tcW w:w="3256" w:type="dxa"/>
            <w:tcBorders>
              <w:left w:val="single" w:sz="4" w:space="0" w:color="auto"/>
              <w:right w:val="single" w:sz="4" w:space="0" w:color="auto"/>
            </w:tcBorders>
            <w:noWrap/>
            <w:hideMark/>
          </w:tcPr>
          <w:p w14:paraId="3452E8D2"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Hepatocellular carcinoma (HCC)</w:t>
            </w:r>
          </w:p>
        </w:tc>
        <w:tc>
          <w:tcPr>
            <w:tcW w:w="1417" w:type="dxa"/>
            <w:tcBorders>
              <w:left w:val="single" w:sz="4" w:space="0" w:color="auto"/>
              <w:right w:val="single" w:sz="4" w:space="0" w:color="auto"/>
            </w:tcBorders>
            <w:noWrap/>
            <w:hideMark/>
          </w:tcPr>
          <w:p w14:paraId="6BBA94E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6FEE7EB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2B7FF97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6791182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445766A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680AFFF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090BAAD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72" w:type="dxa"/>
            <w:tcBorders>
              <w:left w:val="single" w:sz="4" w:space="0" w:color="auto"/>
              <w:right w:val="single" w:sz="4" w:space="0" w:color="auto"/>
            </w:tcBorders>
            <w:noWrap/>
            <w:hideMark/>
          </w:tcPr>
          <w:p w14:paraId="1FA68FD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53E9F83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51E505A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0.56 </w:t>
            </w:r>
          </w:p>
        </w:tc>
      </w:tr>
      <w:tr w:rsidR="00FB05EE" w:rsidRPr="001C7F25" w14:paraId="658AA2C7" w14:textId="77777777" w:rsidTr="00FB05EE">
        <w:trPr>
          <w:trHeight w:val="300"/>
        </w:trPr>
        <w:tc>
          <w:tcPr>
            <w:tcW w:w="3256" w:type="dxa"/>
            <w:tcBorders>
              <w:left w:val="single" w:sz="4" w:space="0" w:color="auto"/>
              <w:right w:val="single" w:sz="4" w:space="0" w:color="auto"/>
            </w:tcBorders>
            <w:noWrap/>
            <w:hideMark/>
          </w:tcPr>
          <w:p w14:paraId="45FAA6B6"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Liver Transplant (LT, first year)</w:t>
            </w:r>
          </w:p>
        </w:tc>
        <w:tc>
          <w:tcPr>
            <w:tcW w:w="1417" w:type="dxa"/>
            <w:tcBorders>
              <w:left w:val="single" w:sz="4" w:space="0" w:color="auto"/>
              <w:right w:val="single" w:sz="4" w:space="0" w:color="auto"/>
            </w:tcBorders>
            <w:noWrap/>
            <w:hideMark/>
          </w:tcPr>
          <w:p w14:paraId="3BDA5D6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433DDE4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3784596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right w:val="single" w:sz="4" w:space="0" w:color="auto"/>
            </w:tcBorders>
            <w:noWrap/>
            <w:hideMark/>
          </w:tcPr>
          <w:p w14:paraId="6B668C9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582BBA2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2091EAA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18E3B2C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72" w:type="dxa"/>
            <w:tcBorders>
              <w:left w:val="single" w:sz="4" w:space="0" w:color="auto"/>
              <w:right w:val="single" w:sz="4" w:space="0" w:color="auto"/>
            </w:tcBorders>
            <w:noWrap/>
            <w:hideMark/>
          </w:tcPr>
          <w:p w14:paraId="724E594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42C3E29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6FD8A6F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0.21 </w:t>
            </w:r>
          </w:p>
        </w:tc>
      </w:tr>
      <w:tr w:rsidR="00FB05EE" w:rsidRPr="001C7F25" w14:paraId="5336AB2C" w14:textId="77777777" w:rsidTr="00FB05EE">
        <w:trPr>
          <w:trHeight w:val="300"/>
        </w:trPr>
        <w:tc>
          <w:tcPr>
            <w:tcW w:w="3256" w:type="dxa"/>
            <w:tcBorders>
              <w:left w:val="single" w:sz="4" w:space="0" w:color="auto"/>
              <w:bottom w:val="single" w:sz="4" w:space="0" w:color="auto"/>
              <w:right w:val="single" w:sz="4" w:space="0" w:color="auto"/>
            </w:tcBorders>
            <w:noWrap/>
            <w:hideMark/>
          </w:tcPr>
          <w:p w14:paraId="1293A41B"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LT (≥1 year post transplant)</w:t>
            </w:r>
          </w:p>
        </w:tc>
        <w:tc>
          <w:tcPr>
            <w:tcW w:w="1417" w:type="dxa"/>
            <w:tcBorders>
              <w:left w:val="single" w:sz="4" w:space="0" w:color="auto"/>
              <w:bottom w:val="single" w:sz="4" w:space="0" w:color="auto"/>
              <w:right w:val="single" w:sz="4" w:space="0" w:color="auto"/>
            </w:tcBorders>
            <w:noWrap/>
            <w:hideMark/>
          </w:tcPr>
          <w:p w14:paraId="450B644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bottom w:val="single" w:sz="4" w:space="0" w:color="auto"/>
              <w:right w:val="single" w:sz="4" w:space="0" w:color="auto"/>
            </w:tcBorders>
            <w:noWrap/>
            <w:hideMark/>
          </w:tcPr>
          <w:p w14:paraId="61136BD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bottom w:val="single" w:sz="4" w:space="0" w:color="auto"/>
              <w:right w:val="single" w:sz="4" w:space="0" w:color="auto"/>
            </w:tcBorders>
            <w:noWrap/>
            <w:hideMark/>
          </w:tcPr>
          <w:p w14:paraId="411CBB5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92" w:type="dxa"/>
            <w:tcBorders>
              <w:left w:val="single" w:sz="4" w:space="0" w:color="auto"/>
              <w:bottom w:val="single" w:sz="4" w:space="0" w:color="auto"/>
              <w:right w:val="single" w:sz="4" w:space="0" w:color="auto"/>
            </w:tcBorders>
            <w:noWrap/>
            <w:hideMark/>
          </w:tcPr>
          <w:p w14:paraId="064D020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bottom w:val="single" w:sz="4" w:space="0" w:color="auto"/>
              <w:right w:val="single" w:sz="4" w:space="0" w:color="auto"/>
            </w:tcBorders>
            <w:noWrap/>
            <w:hideMark/>
          </w:tcPr>
          <w:p w14:paraId="5354A50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bottom w:val="single" w:sz="4" w:space="0" w:color="auto"/>
              <w:right w:val="single" w:sz="4" w:space="0" w:color="auto"/>
            </w:tcBorders>
            <w:noWrap/>
            <w:hideMark/>
          </w:tcPr>
          <w:p w14:paraId="714CFF5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bottom w:val="single" w:sz="4" w:space="0" w:color="auto"/>
              <w:right w:val="single" w:sz="4" w:space="0" w:color="auto"/>
            </w:tcBorders>
            <w:noWrap/>
            <w:hideMark/>
          </w:tcPr>
          <w:p w14:paraId="31ECDD7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72" w:type="dxa"/>
            <w:tcBorders>
              <w:left w:val="single" w:sz="4" w:space="0" w:color="auto"/>
              <w:bottom w:val="single" w:sz="4" w:space="0" w:color="auto"/>
              <w:right w:val="single" w:sz="4" w:space="0" w:color="auto"/>
            </w:tcBorders>
            <w:noWrap/>
            <w:hideMark/>
          </w:tcPr>
          <w:p w14:paraId="66F7DEF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bottom w:val="single" w:sz="4" w:space="0" w:color="auto"/>
              <w:right w:val="single" w:sz="4" w:space="0" w:color="auto"/>
            </w:tcBorders>
            <w:noWrap/>
            <w:hideMark/>
          </w:tcPr>
          <w:p w14:paraId="4E30817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bottom w:val="single" w:sz="4" w:space="0" w:color="auto"/>
              <w:right w:val="single" w:sz="4" w:space="0" w:color="auto"/>
            </w:tcBorders>
            <w:noWrap/>
            <w:hideMark/>
          </w:tcPr>
          <w:p w14:paraId="35E2A73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0.057 </w:t>
            </w:r>
          </w:p>
        </w:tc>
      </w:tr>
    </w:tbl>
    <w:p w14:paraId="735192EB" w14:textId="77777777" w:rsidR="00FB05EE" w:rsidRPr="001C7F25" w:rsidRDefault="00FB05EE" w:rsidP="00FB05EE">
      <w:pPr>
        <w:pStyle w:val="NoSpacing"/>
        <w:rPr>
          <w:rFonts w:ascii="Times New Roman" w:hAnsi="Times New Roman" w:cs="Times New Roman"/>
          <w:sz w:val="18"/>
          <w:szCs w:val="18"/>
        </w:rPr>
      </w:pPr>
      <w:r w:rsidRPr="001C7F25">
        <w:rPr>
          <w:rFonts w:ascii="Times New Roman" w:hAnsi="Times New Roman" w:cs="Times New Roman"/>
          <w:sz w:val="18"/>
          <w:szCs w:val="18"/>
        </w:rPr>
        <w:t>#represents the remainder of all transition probabilities (i.e. 1-all other transitions)</w:t>
      </w:r>
    </w:p>
    <w:p w14:paraId="1B7E3CB5" w14:textId="20B8BA94" w:rsidR="00FB05EE" w:rsidRPr="001C7F25" w:rsidRDefault="00FB05EE" w:rsidP="00FB05EE">
      <w:pPr>
        <w:pStyle w:val="NoSpacing"/>
        <w:rPr>
          <w:rFonts w:ascii="Times New Roman" w:hAnsi="Times New Roman" w:cs="Times New Roman"/>
          <w:sz w:val="18"/>
          <w:szCs w:val="18"/>
        </w:rPr>
      </w:pPr>
      <w:r w:rsidRPr="001C7F25">
        <w:rPr>
          <w:rFonts w:ascii="Times New Roman" w:hAnsi="Times New Roman" w:cs="Times New Roman"/>
          <w:sz w:val="18"/>
          <w:szCs w:val="18"/>
        </w:rPr>
        <w:t xml:space="preserve">Transition probabilities are modelled probabilistically using a Dirichlet distribution, assuming a sample of size of 200, as performed in previous economic evaluations. </w:t>
      </w:r>
    </w:p>
    <w:p w14:paraId="42FB7D8C" w14:textId="311EE294" w:rsidR="00814C0E" w:rsidRPr="001C7F25" w:rsidRDefault="00814C0E" w:rsidP="00814C0E">
      <w:pPr>
        <w:pStyle w:val="NoSpacing"/>
        <w:rPr>
          <w:rFonts w:ascii="Times New Roman" w:hAnsi="Times New Roman" w:cs="Times New Roman"/>
          <w:sz w:val="18"/>
          <w:szCs w:val="18"/>
          <w:lang w:val="fr-FR"/>
        </w:rPr>
      </w:pPr>
      <w:r w:rsidRPr="001C7F25">
        <w:rPr>
          <w:rFonts w:ascii="Times New Roman" w:hAnsi="Times New Roman" w:cs="Times New Roman"/>
          <w:sz w:val="18"/>
          <w:szCs w:val="18"/>
          <w:lang w:val="fr-FR"/>
        </w:rPr>
        <w:t>Sources: Shepherd 2006,</w:t>
      </w:r>
      <w:r w:rsidRPr="001C7F25">
        <w:rPr>
          <w:rFonts w:ascii="Times New Roman" w:hAnsi="Times New Roman" w:cs="Times New Roman"/>
          <w:sz w:val="18"/>
          <w:szCs w:val="18"/>
        </w:rPr>
        <w:fldChar w:fldCharType="begin"/>
      </w:r>
      <w:r w:rsidR="00C948F6" w:rsidRPr="00C948F6">
        <w:rPr>
          <w:rFonts w:ascii="Times New Roman" w:hAnsi="Times New Roman" w:cs="Times New Roman"/>
          <w:sz w:val="18"/>
          <w:szCs w:val="18"/>
          <w:lang w:val="fr-FR"/>
        </w:rPr>
        <w:instrText xml:space="preserve"> ADDIN EN.CITE &lt;EndNote&gt;&lt;Cite ExcludeYear="1"&gt;&lt;Author&gt;Shepherd J&lt;/Author&gt;&lt;Year&gt;2006&lt;/Year&gt;&lt;RecNum&gt;26&lt;/RecNum&gt;&lt;DisplayText&gt;[1]&lt;/DisplayText&gt;&lt;record&gt;&lt;rec-number&gt;26&lt;/rec-number&gt;&lt;foreign-keys&gt;&lt;key app="EN" db-id="tp0rz5a2v2s0v3edrfmpd2pftv2rfwre59az" timestamp="1536338777"&gt;26&lt;/key&gt;&lt;/foreign-keys&gt;&lt;ref-type name="Journal Article"&gt;17&lt;/ref-type&gt;&lt;contributors&gt;&lt;authors&gt;&lt;author&gt;Shepherd J, &lt;/author&gt;&lt;author&gt;Jones J, &lt;/author&gt;&lt;author&gt;Takeda A, &lt;/author&gt;&lt;author&gt;Davidson P, &lt;/author&gt;&lt;author&gt;Price A&lt;/author&gt;&lt;/authors&gt;&lt;/contributors&gt;&lt;titles&gt;&lt;title&gt;Adefovir dipivoxil and pegylated interferon alfa-2a for the treatment of chronic hepatitis B: a systematic review and economic evaluation.&lt;/title&gt;&lt;secondary-title&gt;Health Technol Assess&lt;/secondary-title&gt;&lt;/titles&gt;&lt;periodical&gt;&lt;full-title&gt;Health Technol Assess&lt;/full-title&gt;&lt;/periodical&gt;&lt;volume&gt;10&lt;/volume&gt;&lt;number&gt;28&lt;/number&gt;&lt;dates&gt;&lt;year&gt;2006&lt;/year&gt;&lt;/dates&gt;&lt;urls&gt;&lt;/urls&gt;&lt;electronic-resource-num&gt;https://doi.org/10.3310/hta10280&lt;/electronic-resource-num&gt;&lt;/record&gt;&lt;/Cite&gt;&lt;/EndNote&gt;</w:instrText>
      </w:r>
      <w:r w:rsidRPr="001C7F25">
        <w:rPr>
          <w:rFonts w:ascii="Times New Roman" w:hAnsi="Times New Roman" w:cs="Times New Roman"/>
          <w:sz w:val="18"/>
          <w:szCs w:val="18"/>
        </w:rPr>
        <w:fldChar w:fldCharType="separate"/>
      </w:r>
      <w:r w:rsidR="00C948F6" w:rsidRPr="00C948F6">
        <w:rPr>
          <w:rFonts w:ascii="Times New Roman" w:hAnsi="Times New Roman" w:cs="Times New Roman"/>
          <w:noProof/>
          <w:sz w:val="18"/>
          <w:szCs w:val="18"/>
          <w:lang w:val="fr-FR"/>
        </w:rPr>
        <w:t>[1]</w:t>
      </w:r>
      <w:r w:rsidRPr="001C7F25">
        <w:rPr>
          <w:rFonts w:ascii="Times New Roman" w:hAnsi="Times New Roman" w:cs="Times New Roman"/>
          <w:sz w:val="18"/>
          <w:szCs w:val="18"/>
        </w:rPr>
        <w:fldChar w:fldCharType="end"/>
      </w:r>
      <w:r w:rsidRPr="001C7F25">
        <w:rPr>
          <w:rFonts w:ascii="Times New Roman" w:hAnsi="Times New Roman" w:cs="Times New Roman"/>
          <w:sz w:val="18"/>
          <w:szCs w:val="18"/>
          <w:lang w:val="fr-FR"/>
        </w:rPr>
        <w:t xml:space="preserve"> Lau 2005,</w:t>
      </w:r>
      <w:r w:rsidR="00735A5F" w:rsidRPr="001C7F25">
        <w:rPr>
          <w:rFonts w:ascii="Times New Roman" w:hAnsi="Times New Roman" w:cs="Times New Roman"/>
          <w:sz w:val="18"/>
          <w:szCs w:val="18"/>
          <w:lang w:val="fr-FR"/>
        </w:rPr>
        <w:fldChar w:fldCharType="begin"/>
      </w:r>
      <w:r w:rsidR="00C948F6">
        <w:rPr>
          <w:rFonts w:ascii="Times New Roman" w:hAnsi="Times New Roman" w:cs="Times New Roman"/>
          <w:sz w:val="18"/>
          <w:szCs w:val="18"/>
          <w:lang w:val="fr-FR"/>
        </w:rPr>
        <w:instrText xml:space="preserve"> ADDIN EN.CITE &lt;EndNote&gt;&lt;Cite ExcludeYear="1"&gt;&lt;Author&gt;Lau&lt;/Author&gt;&lt;Year&gt;2005&lt;/Year&gt;&lt;RecNum&gt;20&lt;/RecNum&gt;&lt;DisplayText&gt;[4]&lt;/DisplayText&gt;&lt;record&gt;&lt;rec-number&gt;20&lt;/rec-number&gt;&lt;foreign-keys&gt;&lt;key app="EN" db-id="tp0rz5a2v2s0v3edrfmpd2pftv2rfwre59az" timestamp="1536336374"&gt;20&lt;/key&gt;&lt;/foreign-keys&gt;&lt;ref-type name="Journal Article"&gt;17&lt;/ref-type&gt;&lt;contributors&gt;&lt;authors&gt;&lt;author&gt;Lau, George K.K.&lt;/author&gt;&lt;author&gt;Piratvisuth, Teerha&lt;/author&gt;&lt;author&gt;Luo, Kang Xian&lt;/author&gt;&lt;author&gt;Marcellin, Patrick&lt;/author&gt;&lt;author&gt;Thongsawat, Satawat&lt;/author&gt;&lt;author&gt;Cooksley, Graham&lt;/author&gt;&lt;author&gt;Gane, Edward&lt;/author&gt;&lt;author&gt;Fried, Michael W.&lt;/author&gt;&lt;author&gt;Chow, Wan Cheng&lt;/author&gt;&lt;author&gt;Paik, Seung Woon&lt;/author&gt;&lt;author&gt;Chang, Wen Yu&lt;/author&gt;&lt;author&gt;Berg, Thomas&lt;/author&gt;&lt;author&gt;Flisiak, Robert&lt;/author&gt;&lt;author&gt;McCloud, Philip&lt;/author&gt;&lt;author&gt;Pluck, Nigel&lt;/author&gt;&lt;/authors&gt;&lt;/contributors&gt;&lt;titles&gt;&lt;title&gt;Peginterferon Alfa-2a, Lamivudine, and the Combination for HBeAg-Positive Chronic Hepatitis B&lt;/title&gt;&lt;secondary-title&gt;N Engl J Med&lt;/secondary-title&gt;&lt;/titles&gt;&lt;periodical&gt;&lt;full-title&gt;N Engl J Med&lt;/full-title&gt;&lt;/periodical&gt;&lt;pages&gt;2682-2695&lt;/pages&gt;&lt;volume&gt;352&lt;/volume&gt;&lt;number&gt;26&lt;/number&gt;&lt;dates&gt;&lt;year&gt;2005&lt;/year&gt;&lt;/dates&gt;&lt;accession-num&gt;15987917&lt;/accession-num&gt;&lt;urls&gt;&lt;related-urls&gt;&lt;url&gt;https://www.nejm.org/doi/full/10.1056/NEJMoa043470&lt;/url&gt;&lt;/related-urls&gt;&lt;/urls&gt;&lt;electronic-resource-num&gt;10.1056/NEJMoa043470&lt;/electronic-resource-num&gt;&lt;/record&gt;&lt;/Cite&gt;&lt;/EndNote&gt;</w:instrText>
      </w:r>
      <w:r w:rsidR="00735A5F" w:rsidRPr="001C7F25">
        <w:rPr>
          <w:rFonts w:ascii="Times New Roman" w:hAnsi="Times New Roman" w:cs="Times New Roman"/>
          <w:sz w:val="18"/>
          <w:szCs w:val="18"/>
          <w:lang w:val="fr-FR"/>
        </w:rPr>
        <w:fldChar w:fldCharType="separate"/>
      </w:r>
      <w:r w:rsidR="00C948F6">
        <w:rPr>
          <w:rFonts w:ascii="Times New Roman" w:hAnsi="Times New Roman" w:cs="Times New Roman"/>
          <w:noProof/>
          <w:sz w:val="18"/>
          <w:szCs w:val="18"/>
          <w:lang w:val="fr-FR"/>
        </w:rPr>
        <w:t>[4]</w:t>
      </w:r>
      <w:r w:rsidR="00735A5F" w:rsidRPr="001C7F25">
        <w:rPr>
          <w:rFonts w:ascii="Times New Roman" w:hAnsi="Times New Roman" w:cs="Times New Roman"/>
          <w:sz w:val="18"/>
          <w:szCs w:val="18"/>
          <w:lang w:val="fr-FR"/>
        </w:rPr>
        <w:fldChar w:fldCharType="end"/>
      </w:r>
      <w:r w:rsidRPr="001C7F25">
        <w:rPr>
          <w:rFonts w:ascii="Times New Roman" w:hAnsi="Times New Roman" w:cs="Times New Roman"/>
          <w:sz w:val="18"/>
          <w:szCs w:val="18"/>
          <w:lang w:val="fr-FR"/>
        </w:rPr>
        <w:t xml:space="preserve"> Marcellin 2013,</w:t>
      </w:r>
      <w:r w:rsidRPr="001C7F25">
        <w:rPr>
          <w:rFonts w:ascii="Times New Roman" w:hAnsi="Times New Roman" w:cs="Times New Roman"/>
          <w:sz w:val="18"/>
          <w:szCs w:val="18"/>
        </w:rPr>
        <w:fldChar w:fldCharType="begin"/>
      </w:r>
      <w:r w:rsidR="00C948F6" w:rsidRPr="00C948F6">
        <w:rPr>
          <w:rFonts w:ascii="Times New Roman" w:hAnsi="Times New Roman" w:cs="Times New Roman"/>
          <w:sz w:val="18"/>
          <w:szCs w:val="18"/>
          <w:lang w:val="fr-FR"/>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Pr="001C7F25">
        <w:rPr>
          <w:rFonts w:ascii="Times New Roman" w:hAnsi="Times New Roman" w:cs="Times New Roman"/>
          <w:sz w:val="18"/>
          <w:szCs w:val="18"/>
        </w:rPr>
        <w:fldChar w:fldCharType="separate"/>
      </w:r>
      <w:r w:rsidR="00C948F6" w:rsidRPr="00C948F6">
        <w:rPr>
          <w:rFonts w:ascii="Times New Roman" w:hAnsi="Times New Roman" w:cs="Times New Roman"/>
          <w:noProof/>
          <w:sz w:val="18"/>
          <w:szCs w:val="18"/>
          <w:lang w:val="fr-FR"/>
        </w:rPr>
        <w:t>[6]</w:t>
      </w:r>
      <w:r w:rsidRPr="001C7F25">
        <w:rPr>
          <w:rFonts w:ascii="Times New Roman" w:hAnsi="Times New Roman" w:cs="Times New Roman"/>
          <w:sz w:val="18"/>
          <w:szCs w:val="18"/>
        </w:rPr>
        <w:fldChar w:fldCharType="end"/>
      </w:r>
      <w:r w:rsidRPr="001C7F25">
        <w:rPr>
          <w:rFonts w:ascii="Times New Roman" w:hAnsi="Times New Roman" w:cs="Times New Roman"/>
          <w:sz w:val="18"/>
          <w:szCs w:val="18"/>
          <w:lang w:val="fr-FR"/>
        </w:rPr>
        <w:t xml:space="preserve"> Kim 2015</w:t>
      </w:r>
      <w:r w:rsidRPr="001C7F25">
        <w:rPr>
          <w:rFonts w:ascii="Times New Roman" w:hAnsi="Times New Roman" w:cs="Times New Roman"/>
          <w:sz w:val="18"/>
          <w:szCs w:val="18"/>
        </w:rPr>
        <w:fldChar w:fldCharType="begin"/>
      </w:r>
      <w:r w:rsidR="00C948F6" w:rsidRPr="00C948F6">
        <w:rPr>
          <w:rFonts w:ascii="Times New Roman" w:hAnsi="Times New Roman" w:cs="Times New Roman"/>
          <w:sz w:val="18"/>
          <w:szCs w:val="18"/>
          <w:lang w:val="fr-FR"/>
        </w:rPr>
        <w:instrText xml:space="preserve"> ADDIN EN.CITE &lt;EndNote&gt;&lt;Cite ExcludeYear="1"&gt;&lt;Author&gt;Kim&lt;/Author&gt;&lt;Year&gt;2015&lt;/Year&gt;&lt;RecNum&gt;88&lt;/RecNum&gt;&lt;DisplayText&gt;[15]&lt;/DisplayText&gt;&lt;record&gt;&lt;rec-number&gt;88&lt;/rec-number&gt;&lt;foreign-keys&gt;&lt;key app="EN" db-id="tp0rz5a2v2s0v3edrfmpd2pftv2rfwre59az" timestamp="1562780652"&gt;88&lt;/key&gt;&lt;/foreign-keys&gt;&lt;ref-type name="Journal Article"&gt;17&lt;/ref-type&gt;&lt;contributors&gt;&lt;authors&gt;&lt;author&gt;Kim, W. Ray&lt;/author&gt;&lt;author&gt;Loomba, Rohit&lt;/author&gt;&lt;author&gt;Berg, Thomas&lt;/author&gt;&lt;author&gt;Aguilar Schall, Raul E.&lt;/author&gt;&lt;author&gt;Yee, Leland J.&lt;/author&gt;&lt;author&gt;Dinh, Phillip V.&lt;/author&gt;&lt;author&gt;Flaherty, John F.&lt;/author&gt;&lt;author&gt;Martins, Eduardo B.&lt;/author&gt;&lt;author&gt;Therneau, Terry M.&lt;/author&gt;&lt;author&gt;Jacobson, Ira&lt;/author&gt;&lt;author&gt;Fung, Scott&lt;/author&gt;&lt;author&gt;Gurel, Selim&lt;/author&gt;&lt;author&gt;Buti, Maria&lt;/author&gt;&lt;author&gt;Marcellin, Patrick&lt;/author&gt;&lt;/authors&gt;&lt;/contributors&gt;&lt;titles&gt;&lt;title&gt;Impact of long-term tenofovir disoproxil fumarate on incidence of hepatocellular carcinoma in patients with chronic hepatitis B&lt;/title&gt;&lt;secondary-title&gt;Cancer&lt;/secondary-title&gt;&lt;/titles&gt;&lt;periodical&gt;&lt;full-title&gt;Cancer&lt;/full-title&gt;&lt;/periodical&gt;&lt;pages&gt;3631-3638&lt;/pages&gt;&lt;volume&gt;121&lt;/volume&gt;&lt;number&gt;20&lt;/number&gt;&lt;dates&gt;&lt;year&gt;2015&lt;/year&gt;&lt;/dates&gt;&lt;isbn&gt;0008-543X&lt;/isbn&gt;&lt;urls&gt;&lt;related-urls&gt;&lt;url&gt;https://onlinelibrary.wiley.com/doi/abs/10.1002/cncr.29537&lt;/url&gt;&lt;/related-urls&gt;&lt;/urls&gt;&lt;electronic-resource-num&gt;10.1002/cncr.29537&lt;/electronic-resource-num&gt;&lt;/record&gt;&lt;/Cite&gt;&lt;/EndNote&gt;</w:instrText>
      </w:r>
      <w:r w:rsidRPr="001C7F25">
        <w:rPr>
          <w:rFonts w:ascii="Times New Roman" w:hAnsi="Times New Roman" w:cs="Times New Roman"/>
          <w:sz w:val="18"/>
          <w:szCs w:val="18"/>
        </w:rPr>
        <w:fldChar w:fldCharType="separate"/>
      </w:r>
      <w:r w:rsidR="00C948F6" w:rsidRPr="00C948F6">
        <w:rPr>
          <w:rFonts w:ascii="Times New Roman" w:hAnsi="Times New Roman" w:cs="Times New Roman"/>
          <w:noProof/>
          <w:sz w:val="18"/>
          <w:szCs w:val="18"/>
          <w:lang w:val="fr-FR"/>
        </w:rPr>
        <w:t>[15]</w:t>
      </w:r>
      <w:r w:rsidRPr="001C7F25">
        <w:rPr>
          <w:rFonts w:ascii="Times New Roman" w:hAnsi="Times New Roman" w:cs="Times New Roman"/>
          <w:sz w:val="18"/>
          <w:szCs w:val="18"/>
        </w:rPr>
        <w:fldChar w:fldCharType="end"/>
      </w:r>
    </w:p>
    <w:p w14:paraId="6E316D23" w14:textId="77777777" w:rsidR="00FB05EE" w:rsidRPr="001C7F25" w:rsidRDefault="00FB05EE" w:rsidP="00FB05EE">
      <w:pPr>
        <w:rPr>
          <w:rFonts w:ascii="Times New Roman" w:hAnsi="Times New Roman" w:cs="Times New Roman"/>
          <w:sz w:val="18"/>
          <w:lang w:val="fr-FR"/>
        </w:rPr>
      </w:pPr>
      <w:r w:rsidRPr="001C7F25">
        <w:rPr>
          <w:rFonts w:ascii="Times New Roman" w:hAnsi="Times New Roman" w:cs="Times New Roman"/>
          <w:sz w:val="18"/>
          <w:lang w:val="fr-FR"/>
        </w:rPr>
        <w:br w:type="page"/>
      </w:r>
    </w:p>
    <w:p w14:paraId="55AC7321" w14:textId="36884DA3" w:rsidR="00FB05EE" w:rsidRPr="001C7F25" w:rsidRDefault="00FB05EE" w:rsidP="00FB05EE">
      <w:pPr>
        <w:pStyle w:val="Caption"/>
        <w:keepNext/>
        <w:rPr>
          <w:rFonts w:ascii="Times New Roman" w:hAnsi="Times New Roman" w:cs="Times New Roman"/>
          <w:lang w:val="fr-FR"/>
        </w:rPr>
      </w:pPr>
    </w:p>
    <w:p w14:paraId="20413D4F" w14:textId="68461E6C" w:rsidR="00636C76" w:rsidRPr="001C7F25" w:rsidRDefault="008D15ED" w:rsidP="00636C76">
      <w:pPr>
        <w:pStyle w:val="Caption"/>
        <w:keepNext/>
        <w:rPr>
          <w:rFonts w:ascii="Times New Roman" w:hAnsi="Times New Roman" w:cs="Times New Roman"/>
        </w:rPr>
      </w:pPr>
      <w:r w:rsidRPr="00C948F6">
        <w:rPr>
          <w:rFonts w:ascii="Times New Roman" w:hAnsi="Times New Roman" w:cs="Times New Roman"/>
        </w:rPr>
        <w:t xml:space="preserve">Appendix </w:t>
      </w:r>
      <w:r w:rsidR="00636C76" w:rsidRPr="00C948F6">
        <w:rPr>
          <w:rFonts w:ascii="Times New Roman" w:hAnsi="Times New Roman" w:cs="Times New Roman"/>
        </w:rPr>
        <w:t xml:space="preserve">Table </w:t>
      </w:r>
      <w:r w:rsidR="00DD5392" w:rsidRPr="001C7F25">
        <w:rPr>
          <w:rFonts w:ascii="Times New Roman" w:hAnsi="Times New Roman" w:cs="Times New Roman"/>
        </w:rPr>
        <w:fldChar w:fldCharType="begin"/>
      </w:r>
      <w:r w:rsidR="00DD5392" w:rsidRPr="00C948F6">
        <w:rPr>
          <w:rFonts w:ascii="Times New Roman" w:hAnsi="Times New Roman" w:cs="Times New Roman"/>
        </w:rPr>
        <w:instrText xml:space="preserve"> SEQ Table \* ARABIC </w:instrText>
      </w:r>
      <w:r w:rsidR="00DD5392" w:rsidRPr="001C7F25">
        <w:rPr>
          <w:rFonts w:ascii="Times New Roman" w:hAnsi="Times New Roman" w:cs="Times New Roman"/>
        </w:rPr>
        <w:fldChar w:fldCharType="separate"/>
      </w:r>
      <w:r w:rsidR="00C948F6" w:rsidRPr="00C948F6">
        <w:rPr>
          <w:rFonts w:ascii="Times New Roman" w:hAnsi="Times New Roman" w:cs="Times New Roman"/>
          <w:noProof/>
        </w:rPr>
        <w:t>3</w:t>
      </w:r>
      <w:r w:rsidR="00DD5392" w:rsidRPr="001C7F25">
        <w:rPr>
          <w:rFonts w:ascii="Times New Roman" w:hAnsi="Times New Roman" w:cs="Times New Roman"/>
          <w:noProof/>
        </w:rPr>
        <w:fldChar w:fldCharType="end"/>
      </w:r>
      <w:r w:rsidR="00636C76" w:rsidRPr="00C948F6">
        <w:rPr>
          <w:rFonts w:ascii="Times New Roman" w:hAnsi="Times New Roman" w:cs="Times New Roman"/>
        </w:rPr>
        <w:t>: Base case HBV transition pro</w:t>
      </w:r>
      <w:r w:rsidR="00636C76" w:rsidRPr="001C7F25">
        <w:rPr>
          <w:rFonts w:ascii="Times New Roman" w:hAnsi="Times New Roman" w:cs="Times New Roman"/>
        </w:rPr>
        <w:t xml:space="preserve">babilities for individuals entering the model with </w:t>
      </w:r>
      <w:r w:rsidR="00930C15" w:rsidRPr="001C7F25">
        <w:rPr>
          <w:rFonts w:ascii="Times New Roman" w:hAnsi="Times New Roman" w:cs="Times New Roman"/>
        </w:rPr>
        <w:t xml:space="preserve">chronic HBV </w:t>
      </w:r>
      <w:r w:rsidR="00636C76" w:rsidRPr="001C7F25">
        <w:rPr>
          <w:rFonts w:ascii="Times New Roman" w:hAnsi="Times New Roman" w:cs="Times New Roman"/>
        </w:rPr>
        <w:t>and HBeAg negative disease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97"/>
        <w:gridCol w:w="1276"/>
        <w:gridCol w:w="1276"/>
        <w:gridCol w:w="1276"/>
        <w:gridCol w:w="1134"/>
        <w:gridCol w:w="1134"/>
        <w:gridCol w:w="850"/>
        <w:gridCol w:w="851"/>
        <w:gridCol w:w="972"/>
        <w:gridCol w:w="891"/>
        <w:gridCol w:w="891"/>
      </w:tblGrid>
      <w:tr w:rsidR="00FB05EE" w:rsidRPr="001C7F25" w14:paraId="5CEDD099" w14:textId="77777777" w:rsidTr="00FD14C2">
        <w:trPr>
          <w:trHeight w:val="436"/>
        </w:trPr>
        <w:tc>
          <w:tcPr>
            <w:tcW w:w="3397" w:type="dxa"/>
            <w:tcBorders>
              <w:top w:val="single" w:sz="4" w:space="0" w:color="auto"/>
              <w:left w:val="single" w:sz="4" w:space="0" w:color="auto"/>
              <w:bottom w:val="single" w:sz="4" w:space="0" w:color="auto"/>
              <w:right w:val="single" w:sz="4" w:space="0" w:color="auto"/>
            </w:tcBorders>
            <w:hideMark/>
          </w:tcPr>
          <w:p w14:paraId="199E2FDD"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To:</w:t>
            </w:r>
            <w:r w:rsidRPr="001C7F25">
              <w:rPr>
                <w:rFonts w:ascii="Times New Roman" w:hAnsi="Times New Roman" w:cs="Times New Roman"/>
                <w:sz w:val="18"/>
                <w:szCs w:val="18"/>
              </w:rPr>
              <w:br/>
              <w:t>From:</w:t>
            </w:r>
          </w:p>
        </w:tc>
        <w:tc>
          <w:tcPr>
            <w:tcW w:w="1276" w:type="dxa"/>
            <w:tcBorders>
              <w:top w:val="single" w:sz="4" w:space="0" w:color="auto"/>
              <w:left w:val="single" w:sz="4" w:space="0" w:color="auto"/>
              <w:bottom w:val="single" w:sz="4" w:space="0" w:color="auto"/>
              <w:right w:val="single" w:sz="4" w:space="0" w:color="auto"/>
            </w:tcBorders>
            <w:hideMark/>
          </w:tcPr>
          <w:p w14:paraId="649EE53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HBsAg seroconverted</w:t>
            </w:r>
          </w:p>
        </w:tc>
        <w:tc>
          <w:tcPr>
            <w:tcW w:w="1276" w:type="dxa"/>
            <w:tcBorders>
              <w:top w:val="single" w:sz="4" w:space="0" w:color="auto"/>
              <w:left w:val="single" w:sz="4" w:space="0" w:color="auto"/>
              <w:bottom w:val="single" w:sz="4" w:space="0" w:color="auto"/>
              <w:right w:val="single" w:sz="4" w:space="0" w:color="auto"/>
            </w:tcBorders>
            <w:hideMark/>
          </w:tcPr>
          <w:p w14:paraId="3ECC1DB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HBeAg- active disease</w:t>
            </w:r>
          </w:p>
        </w:tc>
        <w:tc>
          <w:tcPr>
            <w:tcW w:w="1276" w:type="dxa"/>
            <w:tcBorders>
              <w:top w:val="single" w:sz="4" w:space="0" w:color="auto"/>
              <w:left w:val="single" w:sz="4" w:space="0" w:color="auto"/>
              <w:bottom w:val="single" w:sz="4" w:space="0" w:color="auto"/>
              <w:right w:val="single" w:sz="4" w:space="0" w:color="auto"/>
            </w:tcBorders>
            <w:hideMark/>
          </w:tcPr>
          <w:p w14:paraId="379D9C5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HBeAg- inactive disease</w:t>
            </w:r>
          </w:p>
        </w:tc>
        <w:tc>
          <w:tcPr>
            <w:tcW w:w="1134" w:type="dxa"/>
            <w:tcBorders>
              <w:top w:val="single" w:sz="4" w:space="0" w:color="auto"/>
              <w:left w:val="single" w:sz="4" w:space="0" w:color="auto"/>
              <w:bottom w:val="single" w:sz="4" w:space="0" w:color="auto"/>
              <w:right w:val="single" w:sz="4" w:space="0" w:color="auto"/>
            </w:tcBorders>
            <w:hideMark/>
          </w:tcPr>
          <w:p w14:paraId="3482ECA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CC active disease</w:t>
            </w:r>
          </w:p>
        </w:tc>
        <w:tc>
          <w:tcPr>
            <w:tcW w:w="1134" w:type="dxa"/>
            <w:tcBorders>
              <w:top w:val="single" w:sz="4" w:space="0" w:color="auto"/>
              <w:left w:val="single" w:sz="4" w:space="0" w:color="auto"/>
              <w:bottom w:val="single" w:sz="4" w:space="0" w:color="auto"/>
              <w:right w:val="single" w:sz="4" w:space="0" w:color="auto"/>
            </w:tcBorders>
            <w:hideMark/>
          </w:tcPr>
          <w:p w14:paraId="1DBC931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CC inactive disease</w:t>
            </w:r>
          </w:p>
        </w:tc>
        <w:tc>
          <w:tcPr>
            <w:tcW w:w="850" w:type="dxa"/>
            <w:tcBorders>
              <w:top w:val="single" w:sz="4" w:space="0" w:color="auto"/>
              <w:left w:val="single" w:sz="4" w:space="0" w:color="auto"/>
              <w:bottom w:val="single" w:sz="4" w:space="0" w:color="auto"/>
              <w:right w:val="single" w:sz="4" w:space="0" w:color="auto"/>
            </w:tcBorders>
            <w:hideMark/>
          </w:tcPr>
          <w:p w14:paraId="666482F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DC</w:t>
            </w:r>
          </w:p>
        </w:tc>
        <w:tc>
          <w:tcPr>
            <w:tcW w:w="851" w:type="dxa"/>
            <w:tcBorders>
              <w:top w:val="single" w:sz="4" w:space="0" w:color="auto"/>
              <w:left w:val="single" w:sz="4" w:space="0" w:color="auto"/>
              <w:bottom w:val="single" w:sz="4" w:space="0" w:color="auto"/>
              <w:right w:val="single" w:sz="4" w:space="0" w:color="auto"/>
            </w:tcBorders>
            <w:hideMark/>
          </w:tcPr>
          <w:p w14:paraId="3901503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HCC</w:t>
            </w:r>
          </w:p>
        </w:tc>
        <w:tc>
          <w:tcPr>
            <w:tcW w:w="972" w:type="dxa"/>
            <w:tcBorders>
              <w:top w:val="single" w:sz="4" w:space="0" w:color="auto"/>
              <w:left w:val="single" w:sz="4" w:space="0" w:color="auto"/>
              <w:bottom w:val="single" w:sz="4" w:space="0" w:color="auto"/>
              <w:right w:val="single" w:sz="4" w:space="0" w:color="auto"/>
            </w:tcBorders>
            <w:hideMark/>
          </w:tcPr>
          <w:p w14:paraId="026F2BF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LT </w:t>
            </w:r>
          </w:p>
          <w:p w14:paraId="7DF58DD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(first year)</w:t>
            </w:r>
          </w:p>
        </w:tc>
        <w:tc>
          <w:tcPr>
            <w:tcW w:w="891" w:type="dxa"/>
            <w:tcBorders>
              <w:top w:val="single" w:sz="4" w:space="0" w:color="auto"/>
              <w:left w:val="single" w:sz="4" w:space="0" w:color="auto"/>
              <w:bottom w:val="single" w:sz="4" w:space="0" w:color="auto"/>
              <w:right w:val="single" w:sz="4" w:space="0" w:color="auto"/>
            </w:tcBorders>
            <w:hideMark/>
          </w:tcPr>
          <w:p w14:paraId="504F9AB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LT </w:t>
            </w:r>
          </w:p>
          <w:p w14:paraId="18F064E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(≥1 year)</w:t>
            </w:r>
          </w:p>
        </w:tc>
        <w:tc>
          <w:tcPr>
            <w:tcW w:w="891" w:type="dxa"/>
            <w:tcBorders>
              <w:top w:val="single" w:sz="4" w:space="0" w:color="auto"/>
              <w:left w:val="single" w:sz="4" w:space="0" w:color="auto"/>
              <w:bottom w:val="single" w:sz="4" w:space="0" w:color="auto"/>
              <w:right w:val="single" w:sz="4" w:space="0" w:color="auto"/>
            </w:tcBorders>
            <w:hideMark/>
          </w:tcPr>
          <w:p w14:paraId="595CEC9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Dead</w:t>
            </w:r>
          </w:p>
        </w:tc>
      </w:tr>
      <w:tr w:rsidR="00FB05EE" w:rsidRPr="001C7F25" w14:paraId="770A42E0" w14:textId="77777777" w:rsidTr="00FD14C2">
        <w:trPr>
          <w:trHeight w:val="300"/>
        </w:trPr>
        <w:tc>
          <w:tcPr>
            <w:tcW w:w="3397" w:type="dxa"/>
            <w:tcBorders>
              <w:top w:val="single" w:sz="4" w:space="0" w:color="auto"/>
              <w:left w:val="single" w:sz="4" w:space="0" w:color="auto"/>
              <w:right w:val="single" w:sz="4" w:space="0" w:color="auto"/>
            </w:tcBorders>
            <w:noWrap/>
            <w:hideMark/>
          </w:tcPr>
          <w:p w14:paraId="2A6852B4"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HBsAg seroconverted</w:t>
            </w:r>
          </w:p>
        </w:tc>
        <w:tc>
          <w:tcPr>
            <w:tcW w:w="1276" w:type="dxa"/>
            <w:tcBorders>
              <w:top w:val="single" w:sz="4" w:space="0" w:color="auto"/>
              <w:left w:val="single" w:sz="4" w:space="0" w:color="auto"/>
              <w:right w:val="single" w:sz="4" w:space="0" w:color="auto"/>
            </w:tcBorders>
            <w:noWrap/>
            <w:hideMark/>
          </w:tcPr>
          <w:p w14:paraId="7F39840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top w:val="single" w:sz="4" w:space="0" w:color="auto"/>
              <w:left w:val="single" w:sz="4" w:space="0" w:color="auto"/>
              <w:right w:val="single" w:sz="4" w:space="0" w:color="auto"/>
            </w:tcBorders>
            <w:noWrap/>
            <w:hideMark/>
          </w:tcPr>
          <w:p w14:paraId="5C8BDD8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top w:val="single" w:sz="4" w:space="0" w:color="auto"/>
              <w:left w:val="single" w:sz="4" w:space="0" w:color="auto"/>
              <w:right w:val="single" w:sz="4" w:space="0" w:color="auto"/>
            </w:tcBorders>
            <w:noWrap/>
            <w:hideMark/>
          </w:tcPr>
          <w:p w14:paraId="7CBF941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top w:val="single" w:sz="4" w:space="0" w:color="auto"/>
              <w:left w:val="single" w:sz="4" w:space="0" w:color="auto"/>
              <w:right w:val="single" w:sz="4" w:space="0" w:color="auto"/>
            </w:tcBorders>
            <w:noWrap/>
            <w:hideMark/>
          </w:tcPr>
          <w:p w14:paraId="5CA0E15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top w:val="single" w:sz="4" w:space="0" w:color="auto"/>
              <w:left w:val="single" w:sz="4" w:space="0" w:color="auto"/>
              <w:right w:val="single" w:sz="4" w:space="0" w:color="auto"/>
            </w:tcBorders>
            <w:noWrap/>
            <w:hideMark/>
          </w:tcPr>
          <w:p w14:paraId="22F290D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top w:val="single" w:sz="4" w:space="0" w:color="auto"/>
              <w:left w:val="single" w:sz="4" w:space="0" w:color="auto"/>
              <w:right w:val="single" w:sz="4" w:space="0" w:color="auto"/>
            </w:tcBorders>
            <w:noWrap/>
            <w:hideMark/>
          </w:tcPr>
          <w:p w14:paraId="4EAA683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top w:val="single" w:sz="4" w:space="0" w:color="auto"/>
              <w:left w:val="single" w:sz="4" w:space="0" w:color="auto"/>
              <w:right w:val="single" w:sz="4" w:space="0" w:color="auto"/>
            </w:tcBorders>
            <w:noWrap/>
            <w:hideMark/>
          </w:tcPr>
          <w:p w14:paraId="7A6CA1A0" w14:textId="0C587CD9"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0.000</w:t>
            </w:r>
            <w:r w:rsidR="00475E02" w:rsidRPr="001C7F25">
              <w:rPr>
                <w:rFonts w:ascii="Times New Roman" w:hAnsi="Times New Roman" w:cs="Times New Roman"/>
                <w:sz w:val="18"/>
                <w:szCs w:val="18"/>
              </w:rPr>
              <w:t>05</w:t>
            </w:r>
            <w:r w:rsidRPr="001C7F25">
              <w:rPr>
                <w:rFonts w:ascii="Times New Roman" w:hAnsi="Times New Roman" w:cs="Times New Roman"/>
                <w:sz w:val="18"/>
                <w:szCs w:val="18"/>
              </w:rPr>
              <w:t xml:space="preserve"> </w:t>
            </w:r>
          </w:p>
        </w:tc>
        <w:tc>
          <w:tcPr>
            <w:tcW w:w="972" w:type="dxa"/>
            <w:tcBorders>
              <w:top w:val="single" w:sz="4" w:space="0" w:color="auto"/>
              <w:left w:val="single" w:sz="4" w:space="0" w:color="auto"/>
              <w:right w:val="single" w:sz="4" w:space="0" w:color="auto"/>
            </w:tcBorders>
            <w:noWrap/>
            <w:hideMark/>
          </w:tcPr>
          <w:p w14:paraId="3481784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top w:val="single" w:sz="4" w:space="0" w:color="auto"/>
              <w:left w:val="single" w:sz="4" w:space="0" w:color="auto"/>
              <w:right w:val="single" w:sz="4" w:space="0" w:color="auto"/>
            </w:tcBorders>
            <w:noWrap/>
            <w:hideMark/>
          </w:tcPr>
          <w:p w14:paraId="65F1018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top w:val="single" w:sz="4" w:space="0" w:color="auto"/>
              <w:left w:val="single" w:sz="4" w:space="0" w:color="auto"/>
              <w:right w:val="single" w:sz="4" w:space="0" w:color="auto"/>
            </w:tcBorders>
            <w:noWrap/>
            <w:hideMark/>
          </w:tcPr>
          <w:p w14:paraId="69D3A26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5AB7D1AF" w14:textId="77777777" w:rsidTr="00FD14C2">
        <w:trPr>
          <w:trHeight w:val="300"/>
        </w:trPr>
        <w:tc>
          <w:tcPr>
            <w:tcW w:w="3397" w:type="dxa"/>
            <w:tcBorders>
              <w:left w:val="single" w:sz="4" w:space="0" w:color="auto"/>
              <w:right w:val="single" w:sz="4" w:space="0" w:color="auto"/>
            </w:tcBorders>
            <w:noWrap/>
            <w:hideMark/>
          </w:tcPr>
          <w:p w14:paraId="5FB47612"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seroconverted</w:t>
            </w:r>
          </w:p>
        </w:tc>
        <w:tc>
          <w:tcPr>
            <w:tcW w:w="1276" w:type="dxa"/>
            <w:tcBorders>
              <w:left w:val="single" w:sz="4" w:space="0" w:color="auto"/>
              <w:right w:val="single" w:sz="4" w:space="0" w:color="auto"/>
            </w:tcBorders>
            <w:noWrap/>
            <w:hideMark/>
          </w:tcPr>
          <w:p w14:paraId="2922838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2C1DB17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0.029 </w:t>
            </w:r>
          </w:p>
        </w:tc>
        <w:tc>
          <w:tcPr>
            <w:tcW w:w="1276" w:type="dxa"/>
            <w:tcBorders>
              <w:left w:val="single" w:sz="4" w:space="0" w:color="auto"/>
              <w:right w:val="single" w:sz="4" w:space="0" w:color="auto"/>
            </w:tcBorders>
            <w:noWrap/>
            <w:hideMark/>
          </w:tcPr>
          <w:p w14:paraId="0A2DAB4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15115BA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1134" w:type="dxa"/>
            <w:tcBorders>
              <w:left w:val="single" w:sz="4" w:space="0" w:color="auto"/>
              <w:right w:val="single" w:sz="4" w:space="0" w:color="auto"/>
            </w:tcBorders>
            <w:noWrap/>
            <w:hideMark/>
          </w:tcPr>
          <w:p w14:paraId="55F4DAD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2D7D7D5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423F6F9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0.005 </w:t>
            </w:r>
          </w:p>
        </w:tc>
        <w:tc>
          <w:tcPr>
            <w:tcW w:w="972" w:type="dxa"/>
            <w:tcBorders>
              <w:left w:val="single" w:sz="4" w:space="0" w:color="auto"/>
              <w:right w:val="single" w:sz="4" w:space="0" w:color="auto"/>
            </w:tcBorders>
            <w:noWrap/>
            <w:hideMark/>
          </w:tcPr>
          <w:p w14:paraId="16A9CC8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B181F8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377D3DC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67BA93C9" w14:textId="77777777" w:rsidTr="00FD14C2">
        <w:trPr>
          <w:trHeight w:val="300"/>
        </w:trPr>
        <w:tc>
          <w:tcPr>
            <w:tcW w:w="3397" w:type="dxa"/>
            <w:tcBorders>
              <w:left w:val="single" w:sz="4" w:space="0" w:color="auto"/>
              <w:right w:val="single" w:sz="4" w:space="0" w:color="auto"/>
            </w:tcBorders>
            <w:noWrap/>
            <w:hideMark/>
          </w:tcPr>
          <w:p w14:paraId="58F410F9"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active disease no treatment</w:t>
            </w:r>
          </w:p>
        </w:tc>
        <w:tc>
          <w:tcPr>
            <w:tcW w:w="1276" w:type="dxa"/>
            <w:tcBorders>
              <w:left w:val="single" w:sz="4" w:space="0" w:color="auto"/>
              <w:right w:val="single" w:sz="4" w:space="0" w:color="auto"/>
            </w:tcBorders>
            <w:noWrap/>
            <w:hideMark/>
          </w:tcPr>
          <w:p w14:paraId="263BF79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65968BE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5B834A7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0.015 </w:t>
            </w:r>
          </w:p>
        </w:tc>
        <w:tc>
          <w:tcPr>
            <w:tcW w:w="1134" w:type="dxa"/>
            <w:tcBorders>
              <w:left w:val="single" w:sz="4" w:space="0" w:color="auto"/>
              <w:right w:val="single" w:sz="4" w:space="0" w:color="auto"/>
            </w:tcBorders>
            <w:noWrap/>
            <w:hideMark/>
          </w:tcPr>
          <w:p w14:paraId="56CD37C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0.09 </w:t>
            </w:r>
          </w:p>
        </w:tc>
        <w:tc>
          <w:tcPr>
            <w:tcW w:w="1134" w:type="dxa"/>
            <w:tcBorders>
              <w:left w:val="single" w:sz="4" w:space="0" w:color="auto"/>
              <w:right w:val="single" w:sz="4" w:space="0" w:color="auto"/>
            </w:tcBorders>
            <w:noWrap/>
            <w:hideMark/>
          </w:tcPr>
          <w:p w14:paraId="19E1F17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0BF914B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6D9D341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0.005 </w:t>
            </w:r>
          </w:p>
        </w:tc>
        <w:tc>
          <w:tcPr>
            <w:tcW w:w="972" w:type="dxa"/>
            <w:tcBorders>
              <w:left w:val="single" w:sz="4" w:space="0" w:color="auto"/>
              <w:right w:val="single" w:sz="4" w:space="0" w:color="auto"/>
            </w:tcBorders>
            <w:noWrap/>
            <w:hideMark/>
          </w:tcPr>
          <w:p w14:paraId="42E4D86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604EFD7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515FEAA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0.0035 </w:t>
            </w:r>
          </w:p>
        </w:tc>
      </w:tr>
      <w:tr w:rsidR="00FB05EE" w:rsidRPr="001C7F25" w14:paraId="004AFAAC" w14:textId="77777777" w:rsidTr="00FD14C2">
        <w:trPr>
          <w:trHeight w:val="300"/>
        </w:trPr>
        <w:tc>
          <w:tcPr>
            <w:tcW w:w="3397" w:type="dxa"/>
            <w:tcBorders>
              <w:left w:val="single" w:sz="4" w:space="0" w:color="auto"/>
              <w:right w:val="single" w:sz="4" w:space="0" w:color="auto"/>
            </w:tcBorders>
            <w:noWrap/>
            <w:hideMark/>
          </w:tcPr>
          <w:p w14:paraId="7BC474E9"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active disease, treatment with PegIFNα</w:t>
            </w:r>
          </w:p>
        </w:tc>
        <w:tc>
          <w:tcPr>
            <w:tcW w:w="1276" w:type="dxa"/>
            <w:tcBorders>
              <w:left w:val="single" w:sz="4" w:space="0" w:color="auto"/>
              <w:right w:val="single" w:sz="4" w:space="0" w:color="auto"/>
            </w:tcBorders>
            <w:noWrap/>
            <w:hideMark/>
          </w:tcPr>
          <w:p w14:paraId="3AC6084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0.0282 </w:t>
            </w:r>
          </w:p>
        </w:tc>
        <w:tc>
          <w:tcPr>
            <w:tcW w:w="1276" w:type="dxa"/>
            <w:tcBorders>
              <w:left w:val="single" w:sz="4" w:space="0" w:color="auto"/>
              <w:right w:val="single" w:sz="4" w:space="0" w:color="auto"/>
            </w:tcBorders>
            <w:noWrap/>
            <w:hideMark/>
          </w:tcPr>
          <w:p w14:paraId="5A3777F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1D01E3B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0.63 </w:t>
            </w:r>
          </w:p>
        </w:tc>
        <w:tc>
          <w:tcPr>
            <w:tcW w:w="1134" w:type="dxa"/>
            <w:tcBorders>
              <w:left w:val="single" w:sz="4" w:space="0" w:color="auto"/>
              <w:right w:val="single" w:sz="4" w:space="0" w:color="auto"/>
            </w:tcBorders>
            <w:noWrap/>
            <w:hideMark/>
          </w:tcPr>
          <w:p w14:paraId="6C8AE5E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1134" w:type="dxa"/>
            <w:tcBorders>
              <w:left w:val="single" w:sz="4" w:space="0" w:color="auto"/>
              <w:right w:val="single" w:sz="4" w:space="0" w:color="auto"/>
            </w:tcBorders>
            <w:noWrap/>
            <w:hideMark/>
          </w:tcPr>
          <w:p w14:paraId="27A2049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0D96E78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713C00C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0.0028 </w:t>
            </w:r>
          </w:p>
        </w:tc>
        <w:tc>
          <w:tcPr>
            <w:tcW w:w="972" w:type="dxa"/>
            <w:tcBorders>
              <w:left w:val="single" w:sz="4" w:space="0" w:color="auto"/>
              <w:right w:val="single" w:sz="4" w:space="0" w:color="auto"/>
            </w:tcBorders>
            <w:noWrap/>
            <w:hideMark/>
          </w:tcPr>
          <w:p w14:paraId="25F5AB2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5CB2E1A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5588E87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362C7DBD" w14:textId="77777777" w:rsidTr="00FD14C2">
        <w:trPr>
          <w:trHeight w:val="300"/>
        </w:trPr>
        <w:tc>
          <w:tcPr>
            <w:tcW w:w="3397" w:type="dxa"/>
            <w:tcBorders>
              <w:left w:val="single" w:sz="4" w:space="0" w:color="auto"/>
              <w:right w:val="single" w:sz="4" w:space="0" w:color="auto"/>
            </w:tcBorders>
            <w:noWrap/>
            <w:hideMark/>
          </w:tcPr>
          <w:p w14:paraId="577F3901"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active disease, treatment with tenofovir</w:t>
            </w:r>
          </w:p>
        </w:tc>
        <w:tc>
          <w:tcPr>
            <w:tcW w:w="1276" w:type="dxa"/>
            <w:tcBorders>
              <w:left w:val="single" w:sz="4" w:space="0" w:color="auto"/>
              <w:right w:val="single" w:sz="4" w:space="0" w:color="auto"/>
            </w:tcBorders>
            <w:noWrap/>
            <w:hideMark/>
          </w:tcPr>
          <w:p w14:paraId="46BAAEC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02CF371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62808B4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0.96 </w:t>
            </w:r>
          </w:p>
        </w:tc>
        <w:tc>
          <w:tcPr>
            <w:tcW w:w="1134" w:type="dxa"/>
            <w:tcBorders>
              <w:left w:val="single" w:sz="4" w:space="0" w:color="auto"/>
              <w:right w:val="single" w:sz="4" w:space="0" w:color="auto"/>
            </w:tcBorders>
            <w:noWrap/>
            <w:hideMark/>
          </w:tcPr>
          <w:p w14:paraId="786BDF2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1134" w:type="dxa"/>
            <w:tcBorders>
              <w:left w:val="single" w:sz="4" w:space="0" w:color="auto"/>
              <w:right w:val="single" w:sz="4" w:space="0" w:color="auto"/>
            </w:tcBorders>
            <w:noWrap/>
            <w:hideMark/>
          </w:tcPr>
          <w:p w14:paraId="5D5E0E5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7C596B5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0D77978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0.0028 </w:t>
            </w:r>
          </w:p>
        </w:tc>
        <w:tc>
          <w:tcPr>
            <w:tcW w:w="972" w:type="dxa"/>
            <w:tcBorders>
              <w:left w:val="single" w:sz="4" w:space="0" w:color="auto"/>
              <w:right w:val="single" w:sz="4" w:space="0" w:color="auto"/>
            </w:tcBorders>
            <w:noWrap/>
            <w:hideMark/>
          </w:tcPr>
          <w:p w14:paraId="3FFC4B5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4CE31EC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4020676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12E6EC47" w14:textId="77777777" w:rsidTr="00FD14C2">
        <w:trPr>
          <w:trHeight w:val="300"/>
        </w:trPr>
        <w:tc>
          <w:tcPr>
            <w:tcW w:w="3397" w:type="dxa"/>
            <w:tcBorders>
              <w:left w:val="single" w:sz="4" w:space="0" w:color="auto"/>
              <w:right w:val="single" w:sz="4" w:space="0" w:color="auto"/>
            </w:tcBorders>
            <w:noWrap/>
            <w:hideMark/>
          </w:tcPr>
          <w:p w14:paraId="63E09DE4"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HBeAg- compensated cirrhosis (CC) seroconverted</w:t>
            </w:r>
          </w:p>
        </w:tc>
        <w:tc>
          <w:tcPr>
            <w:tcW w:w="1276" w:type="dxa"/>
            <w:tcBorders>
              <w:left w:val="single" w:sz="4" w:space="0" w:color="auto"/>
              <w:right w:val="single" w:sz="4" w:space="0" w:color="auto"/>
            </w:tcBorders>
            <w:noWrap/>
            <w:hideMark/>
          </w:tcPr>
          <w:p w14:paraId="3B1612B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58D7C22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683F3DC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5D33158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0.029 </w:t>
            </w:r>
          </w:p>
        </w:tc>
        <w:tc>
          <w:tcPr>
            <w:tcW w:w="1134" w:type="dxa"/>
            <w:tcBorders>
              <w:left w:val="single" w:sz="4" w:space="0" w:color="auto"/>
              <w:right w:val="single" w:sz="4" w:space="0" w:color="auto"/>
            </w:tcBorders>
            <w:noWrap/>
            <w:hideMark/>
          </w:tcPr>
          <w:p w14:paraId="0BCDA20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6ACDB30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851" w:type="dxa"/>
            <w:tcBorders>
              <w:left w:val="single" w:sz="4" w:space="0" w:color="auto"/>
              <w:right w:val="single" w:sz="4" w:space="0" w:color="auto"/>
            </w:tcBorders>
            <w:noWrap/>
            <w:hideMark/>
          </w:tcPr>
          <w:p w14:paraId="705A984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0.005 </w:t>
            </w:r>
          </w:p>
        </w:tc>
        <w:tc>
          <w:tcPr>
            <w:tcW w:w="972" w:type="dxa"/>
            <w:tcBorders>
              <w:left w:val="single" w:sz="4" w:space="0" w:color="auto"/>
              <w:right w:val="single" w:sz="4" w:space="0" w:color="auto"/>
            </w:tcBorders>
            <w:noWrap/>
            <w:hideMark/>
          </w:tcPr>
          <w:p w14:paraId="5E91534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834C98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6C22ECE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42CDEF89" w14:textId="77777777" w:rsidTr="00FD14C2">
        <w:trPr>
          <w:trHeight w:val="300"/>
        </w:trPr>
        <w:tc>
          <w:tcPr>
            <w:tcW w:w="3397" w:type="dxa"/>
            <w:tcBorders>
              <w:left w:val="single" w:sz="4" w:space="0" w:color="auto"/>
              <w:right w:val="single" w:sz="4" w:space="0" w:color="auto"/>
            </w:tcBorders>
            <w:noWrap/>
            <w:hideMark/>
          </w:tcPr>
          <w:p w14:paraId="4003269A" w14:textId="3681201C"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 xml:space="preserve">HBeAg- CC active </w:t>
            </w:r>
            <w:r w:rsidR="005828B3" w:rsidRPr="001C7F25">
              <w:rPr>
                <w:rFonts w:ascii="Times New Roman" w:hAnsi="Times New Roman" w:cs="Times New Roman"/>
                <w:sz w:val="18"/>
                <w:szCs w:val="18"/>
              </w:rPr>
              <w:t>–</w:t>
            </w:r>
            <w:r w:rsidRPr="001C7F25">
              <w:rPr>
                <w:rFonts w:ascii="Times New Roman" w:hAnsi="Times New Roman" w:cs="Times New Roman"/>
                <w:sz w:val="18"/>
                <w:szCs w:val="18"/>
              </w:rPr>
              <w:t xml:space="preserve"> No treatment</w:t>
            </w:r>
          </w:p>
        </w:tc>
        <w:tc>
          <w:tcPr>
            <w:tcW w:w="1276" w:type="dxa"/>
            <w:tcBorders>
              <w:left w:val="single" w:sz="4" w:space="0" w:color="auto"/>
              <w:right w:val="single" w:sz="4" w:space="0" w:color="auto"/>
            </w:tcBorders>
            <w:noWrap/>
            <w:hideMark/>
          </w:tcPr>
          <w:p w14:paraId="53ECAE5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39EA56D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6E12584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50D0DA3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7750E5D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758D81B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 </w:t>
            </w:r>
          </w:p>
        </w:tc>
        <w:tc>
          <w:tcPr>
            <w:tcW w:w="851" w:type="dxa"/>
            <w:tcBorders>
              <w:left w:val="single" w:sz="4" w:space="0" w:color="auto"/>
              <w:right w:val="single" w:sz="4" w:space="0" w:color="auto"/>
            </w:tcBorders>
            <w:noWrap/>
            <w:hideMark/>
          </w:tcPr>
          <w:p w14:paraId="50B5BD1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0.025 </w:t>
            </w:r>
          </w:p>
        </w:tc>
        <w:tc>
          <w:tcPr>
            <w:tcW w:w="972" w:type="dxa"/>
            <w:tcBorders>
              <w:left w:val="single" w:sz="4" w:space="0" w:color="auto"/>
              <w:right w:val="single" w:sz="4" w:space="0" w:color="auto"/>
            </w:tcBorders>
            <w:noWrap/>
            <w:hideMark/>
          </w:tcPr>
          <w:p w14:paraId="672502E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11EE7F4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5951186"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0.051 </w:t>
            </w:r>
          </w:p>
        </w:tc>
      </w:tr>
      <w:tr w:rsidR="00FB05EE" w:rsidRPr="001C7F25" w14:paraId="291329E8" w14:textId="77777777" w:rsidTr="00FD14C2">
        <w:trPr>
          <w:trHeight w:val="300"/>
        </w:trPr>
        <w:tc>
          <w:tcPr>
            <w:tcW w:w="3397" w:type="dxa"/>
            <w:tcBorders>
              <w:left w:val="single" w:sz="4" w:space="0" w:color="auto"/>
              <w:right w:val="single" w:sz="4" w:space="0" w:color="auto"/>
            </w:tcBorders>
            <w:noWrap/>
            <w:hideMark/>
          </w:tcPr>
          <w:p w14:paraId="716B3AE6" w14:textId="22928370"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 xml:space="preserve">HBeAg- CC active </w:t>
            </w:r>
            <w:r w:rsidR="005828B3" w:rsidRPr="001C7F25">
              <w:rPr>
                <w:rFonts w:ascii="Times New Roman" w:hAnsi="Times New Roman" w:cs="Times New Roman"/>
                <w:sz w:val="18"/>
                <w:szCs w:val="18"/>
              </w:rPr>
              <w:t>–</w:t>
            </w:r>
            <w:r w:rsidRPr="001C7F25">
              <w:rPr>
                <w:rFonts w:ascii="Times New Roman" w:hAnsi="Times New Roman" w:cs="Times New Roman"/>
                <w:sz w:val="18"/>
                <w:szCs w:val="18"/>
              </w:rPr>
              <w:t xml:space="preserve"> Treatment response with PegIFNα</w:t>
            </w:r>
          </w:p>
        </w:tc>
        <w:tc>
          <w:tcPr>
            <w:tcW w:w="1276" w:type="dxa"/>
            <w:tcBorders>
              <w:left w:val="single" w:sz="4" w:space="0" w:color="auto"/>
              <w:right w:val="single" w:sz="4" w:space="0" w:color="auto"/>
            </w:tcBorders>
            <w:noWrap/>
            <w:hideMark/>
          </w:tcPr>
          <w:p w14:paraId="39BF8B7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0.0282 </w:t>
            </w:r>
          </w:p>
        </w:tc>
        <w:tc>
          <w:tcPr>
            <w:tcW w:w="1276" w:type="dxa"/>
            <w:tcBorders>
              <w:left w:val="single" w:sz="4" w:space="0" w:color="auto"/>
              <w:right w:val="single" w:sz="4" w:space="0" w:color="auto"/>
            </w:tcBorders>
            <w:noWrap/>
            <w:hideMark/>
          </w:tcPr>
          <w:p w14:paraId="0456C65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1003336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65D884D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3E6CCDF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0.63 </w:t>
            </w:r>
          </w:p>
        </w:tc>
        <w:tc>
          <w:tcPr>
            <w:tcW w:w="850" w:type="dxa"/>
            <w:tcBorders>
              <w:left w:val="single" w:sz="4" w:space="0" w:color="auto"/>
              <w:right w:val="single" w:sz="4" w:space="0" w:color="auto"/>
            </w:tcBorders>
            <w:noWrap/>
            <w:hideMark/>
          </w:tcPr>
          <w:p w14:paraId="6F26A73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851" w:type="dxa"/>
            <w:tcBorders>
              <w:left w:val="single" w:sz="4" w:space="0" w:color="auto"/>
              <w:right w:val="single" w:sz="4" w:space="0" w:color="auto"/>
            </w:tcBorders>
            <w:noWrap/>
            <w:hideMark/>
          </w:tcPr>
          <w:p w14:paraId="38E8E58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0.0065 </w:t>
            </w:r>
          </w:p>
        </w:tc>
        <w:tc>
          <w:tcPr>
            <w:tcW w:w="972" w:type="dxa"/>
            <w:tcBorders>
              <w:left w:val="single" w:sz="4" w:space="0" w:color="auto"/>
              <w:right w:val="single" w:sz="4" w:space="0" w:color="auto"/>
            </w:tcBorders>
            <w:noWrap/>
            <w:hideMark/>
          </w:tcPr>
          <w:p w14:paraId="59BB620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4ABD66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4F4BC6B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658B0453" w14:textId="77777777" w:rsidTr="00FD14C2">
        <w:trPr>
          <w:trHeight w:val="300"/>
        </w:trPr>
        <w:tc>
          <w:tcPr>
            <w:tcW w:w="3397" w:type="dxa"/>
            <w:tcBorders>
              <w:left w:val="single" w:sz="4" w:space="0" w:color="auto"/>
              <w:right w:val="single" w:sz="4" w:space="0" w:color="auto"/>
            </w:tcBorders>
            <w:noWrap/>
            <w:hideMark/>
          </w:tcPr>
          <w:p w14:paraId="5F3B7170" w14:textId="6FFEFE03"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 xml:space="preserve">HBeAg- CC active </w:t>
            </w:r>
            <w:r w:rsidR="005828B3" w:rsidRPr="001C7F25">
              <w:rPr>
                <w:rFonts w:ascii="Times New Roman" w:hAnsi="Times New Roman" w:cs="Times New Roman"/>
                <w:sz w:val="18"/>
                <w:szCs w:val="18"/>
              </w:rPr>
              <w:t>–</w:t>
            </w:r>
            <w:r w:rsidRPr="001C7F25">
              <w:rPr>
                <w:rFonts w:ascii="Times New Roman" w:hAnsi="Times New Roman" w:cs="Times New Roman"/>
                <w:sz w:val="18"/>
                <w:szCs w:val="18"/>
              </w:rPr>
              <w:t xml:space="preserve"> Treatment response with tenofovir</w:t>
            </w:r>
          </w:p>
        </w:tc>
        <w:tc>
          <w:tcPr>
            <w:tcW w:w="1276" w:type="dxa"/>
            <w:tcBorders>
              <w:left w:val="single" w:sz="4" w:space="0" w:color="auto"/>
              <w:right w:val="single" w:sz="4" w:space="0" w:color="auto"/>
            </w:tcBorders>
            <w:noWrap/>
            <w:hideMark/>
          </w:tcPr>
          <w:p w14:paraId="067BAC7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5193C50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2CFA135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10C548E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7B8B6EC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0.96 </w:t>
            </w:r>
          </w:p>
        </w:tc>
        <w:tc>
          <w:tcPr>
            <w:tcW w:w="850" w:type="dxa"/>
            <w:tcBorders>
              <w:left w:val="single" w:sz="4" w:space="0" w:color="auto"/>
              <w:right w:val="single" w:sz="4" w:space="0" w:color="auto"/>
            </w:tcBorders>
            <w:noWrap/>
            <w:hideMark/>
          </w:tcPr>
          <w:p w14:paraId="2F25E1D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0.01 </w:t>
            </w:r>
          </w:p>
        </w:tc>
        <w:tc>
          <w:tcPr>
            <w:tcW w:w="851" w:type="dxa"/>
            <w:tcBorders>
              <w:left w:val="single" w:sz="4" w:space="0" w:color="auto"/>
              <w:right w:val="single" w:sz="4" w:space="0" w:color="auto"/>
            </w:tcBorders>
            <w:noWrap/>
            <w:hideMark/>
          </w:tcPr>
          <w:p w14:paraId="5B55162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0.0065 </w:t>
            </w:r>
          </w:p>
        </w:tc>
        <w:tc>
          <w:tcPr>
            <w:tcW w:w="972" w:type="dxa"/>
            <w:tcBorders>
              <w:left w:val="single" w:sz="4" w:space="0" w:color="auto"/>
              <w:right w:val="single" w:sz="4" w:space="0" w:color="auto"/>
            </w:tcBorders>
            <w:noWrap/>
            <w:hideMark/>
          </w:tcPr>
          <w:p w14:paraId="6A406A8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4442AC8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4CE0C24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r>
      <w:tr w:rsidR="00FB05EE" w:rsidRPr="001C7F25" w14:paraId="34257088" w14:textId="77777777" w:rsidTr="00FD14C2">
        <w:trPr>
          <w:trHeight w:val="300"/>
        </w:trPr>
        <w:tc>
          <w:tcPr>
            <w:tcW w:w="3397" w:type="dxa"/>
            <w:tcBorders>
              <w:left w:val="single" w:sz="4" w:space="0" w:color="auto"/>
              <w:right w:val="single" w:sz="4" w:space="0" w:color="auto"/>
            </w:tcBorders>
            <w:noWrap/>
            <w:hideMark/>
          </w:tcPr>
          <w:p w14:paraId="2131C3C3"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Decompensated cirrhosis (DC)</w:t>
            </w:r>
          </w:p>
        </w:tc>
        <w:tc>
          <w:tcPr>
            <w:tcW w:w="1276" w:type="dxa"/>
            <w:tcBorders>
              <w:left w:val="single" w:sz="4" w:space="0" w:color="auto"/>
              <w:right w:val="single" w:sz="4" w:space="0" w:color="auto"/>
            </w:tcBorders>
            <w:noWrap/>
            <w:hideMark/>
          </w:tcPr>
          <w:p w14:paraId="0D2FE0F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00D718E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56E2812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4A82647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07558C6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77F88E2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1572719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0.025 </w:t>
            </w:r>
          </w:p>
        </w:tc>
        <w:tc>
          <w:tcPr>
            <w:tcW w:w="972" w:type="dxa"/>
            <w:tcBorders>
              <w:left w:val="single" w:sz="4" w:space="0" w:color="auto"/>
              <w:right w:val="single" w:sz="4" w:space="0" w:color="auto"/>
            </w:tcBorders>
            <w:noWrap/>
            <w:hideMark/>
          </w:tcPr>
          <w:p w14:paraId="627C9EC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0.03 </w:t>
            </w:r>
          </w:p>
        </w:tc>
        <w:tc>
          <w:tcPr>
            <w:tcW w:w="891" w:type="dxa"/>
            <w:tcBorders>
              <w:left w:val="single" w:sz="4" w:space="0" w:color="auto"/>
              <w:right w:val="single" w:sz="4" w:space="0" w:color="auto"/>
            </w:tcBorders>
            <w:noWrap/>
            <w:hideMark/>
          </w:tcPr>
          <w:p w14:paraId="61E3E18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7E4EE7F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0.39 </w:t>
            </w:r>
          </w:p>
        </w:tc>
      </w:tr>
      <w:tr w:rsidR="00FB05EE" w:rsidRPr="001C7F25" w14:paraId="4BB1869C" w14:textId="77777777" w:rsidTr="00FD14C2">
        <w:trPr>
          <w:trHeight w:val="300"/>
        </w:trPr>
        <w:tc>
          <w:tcPr>
            <w:tcW w:w="3397" w:type="dxa"/>
            <w:tcBorders>
              <w:left w:val="single" w:sz="4" w:space="0" w:color="auto"/>
              <w:right w:val="single" w:sz="4" w:space="0" w:color="auto"/>
            </w:tcBorders>
            <w:noWrap/>
            <w:hideMark/>
          </w:tcPr>
          <w:p w14:paraId="1B5AD2AC"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Hepatocellular carcinoma (HCC)</w:t>
            </w:r>
          </w:p>
        </w:tc>
        <w:tc>
          <w:tcPr>
            <w:tcW w:w="1276" w:type="dxa"/>
            <w:tcBorders>
              <w:left w:val="single" w:sz="4" w:space="0" w:color="auto"/>
              <w:right w:val="single" w:sz="4" w:space="0" w:color="auto"/>
            </w:tcBorders>
            <w:noWrap/>
            <w:hideMark/>
          </w:tcPr>
          <w:p w14:paraId="0650CBFB"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64AE183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05E3495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7B80C51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1616490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6FFBFEE2"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316E1B8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72" w:type="dxa"/>
            <w:tcBorders>
              <w:left w:val="single" w:sz="4" w:space="0" w:color="auto"/>
              <w:right w:val="single" w:sz="4" w:space="0" w:color="auto"/>
            </w:tcBorders>
            <w:noWrap/>
            <w:hideMark/>
          </w:tcPr>
          <w:p w14:paraId="6823454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2C25FEA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48A70D2E"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0.56 </w:t>
            </w:r>
          </w:p>
        </w:tc>
      </w:tr>
      <w:tr w:rsidR="00FB05EE" w:rsidRPr="001C7F25" w14:paraId="2BFF989E" w14:textId="77777777" w:rsidTr="00FD14C2">
        <w:trPr>
          <w:trHeight w:val="300"/>
        </w:trPr>
        <w:tc>
          <w:tcPr>
            <w:tcW w:w="3397" w:type="dxa"/>
            <w:tcBorders>
              <w:left w:val="single" w:sz="4" w:space="0" w:color="auto"/>
              <w:right w:val="single" w:sz="4" w:space="0" w:color="auto"/>
            </w:tcBorders>
            <w:noWrap/>
            <w:hideMark/>
          </w:tcPr>
          <w:p w14:paraId="7485F3E6"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Liver Transplant (LT, first year)</w:t>
            </w:r>
          </w:p>
        </w:tc>
        <w:tc>
          <w:tcPr>
            <w:tcW w:w="1276" w:type="dxa"/>
            <w:tcBorders>
              <w:left w:val="single" w:sz="4" w:space="0" w:color="auto"/>
              <w:right w:val="single" w:sz="4" w:space="0" w:color="auto"/>
            </w:tcBorders>
            <w:noWrap/>
            <w:hideMark/>
          </w:tcPr>
          <w:p w14:paraId="51EAA79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322CB24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right w:val="single" w:sz="4" w:space="0" w:color="auto"/>
            </w:tcBorders>
            <w:noWrap/>
            <w:hideMark/>
          </w:tcPr>
          <w:p w14:paraId="77BF7CB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08208A85"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right w:val="single" w:sz="4" w:space="0" w:color="auto"/>
            </w:tcBorders>
            <w:noWrap/>
            <w:hideMark/>
          </w:tcPr>
          <w:p w14:paraId="636EC48A"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right w:val="single" w:sz="4" w:space="0" w:color="auto"/>
            </w:tcBorders>
            <w:noWrap/>
            <w:hideMark/>
          </w:tcPr>
          <w:p w14:paraId="2B76D32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right w:val="single" w:sz="4" w:space="0" w:color="auto"/>
            </w:tcBorders>
            <w:noWrap/>
            <w:hideMark/>
          </w:tcPr>
          <w:p w14:paraId="088E492C"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72" w:type="dxa"/>
            <w:tcBorders>
              <w:left w:val="single" w:sz="4" w:space="0" w:color="auto"/>
              <w:right w:val="single" w:sz="4" w:space="0" w:color="auto"/>
            </w:tcBorders>
            <w:noWrap/>
            <w:hideMark/>
          </w:tcPr>
          <w:p w14:paraId="5599C897"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07B13E1F"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right w:val="single" w:sz="4" w:space="0" w:color="auto"/>
            </w:tcBorders>
            <w:noWrap/>
            <w:hideMark/>
          </w:tcPr>
          <w:p w14:paraId="35A8E901"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0.21 </w:t>
            </w:r>
          </w:p>
        </w:tc>
      </w:tr>
      <w:tr w:rsidR="00FB05EE" w:rsidRPr="001C7F25" w14:paraId="3AEF8077" w14:textId="77777777" w:rsidTr="00FD14C2">
        <w:trPr>
          <w:trHeight w:val="300"/>
        </w:trPr>
        <w:tc>
          <w:tcPr>
            <w:tcW w:w="3397" w:type="dxa"/>
            <w:tcBorders>
              <w:left w:val="single" w:sz="4" w:space="0" w:color="auto"/>
              <w:bottom w:val="single" w:sz="4" w:space="0" w:color="auto"/>
              <w:right w:val="single" w:sz="4" w:space="0" w:color="auto"/>
            </w:tcBorders>
            <w:noWrap/>
            <w:hideMark/>
          </w:tcPr>
          <w:p w14:paraId="078EA34B" w14:textId="77777777" w:rsidR="00FB05EE" w:rsidRPr="001C7F25" w:rsidRDefault="00FB05EE" w:rsidP="00FD14C2">
            <w:pPr>
              <w:rPr>
                <w:rFonts w:ascii="Times New Roman" w:hAnsi="Times New Roman" w:cs="Times New Roman"/>
                <w:sz w:val="18"/>
                <w:szCs w:val="18"/>
              </w:rPr>
            </w:pPr>
            <w:r w:rsidRPr="001C7F25">
              <w:rPr>
                <w:rFonts w:ascii="Times New Roman" w:hAnsi="Times New Roman" w:cs="Times New Roman"/>
                <w:sz w:val="18"/>
                <w:szCs w:val="18"/>
              </w:rPr>
              <w:t>LT (≥1 year post transplant)</w:t>
            </w:r>
          </w:p>
        </w:tc>
        <w:tc>
          <w:tcPr>
            <w:tcW w:w="1276" w:type="dxa"/>
            <w:tcBorders>
              <w:left w:val="single" w:sz="4" w:space="0" w:color="auto"/>
              <w:bottom w:val="single" w:sz="4" w:space="0" w:color="auto"/>
              <w:right w:val="single" w:sz="4" w:space="0" w:color="auto"/>
            </w:tcBorders>
            <w:noWrap/>
            <w:hideMark/>
          </w:tcPr>
          <w:p w14:paraId="061B291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bottom w:val="single" w:sz="4" w:space="0" w:color="auto"/>
              <w:right w:val="single" w:sz="4" w:space="0" w:color="auto"/>
            </w:tcBorders>
            <w:noWrap/>
            <w:hideMark/>
          </w:tcPr>
          <w:p w14:paraId="5B03738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276" w:type="dxa"/>
            <w:tcBorders>
              <w:left w:val="single" w:sz="4" w:space="0" w:color="auto"/>
              <w:bottom w:val="single" w:sz="4" w:space="0" w:color="auto"/>
              <w:right w:val="single" w:sz="4" w:space="0" w:color="auto"/>
            </w:tcBorders>
            <w:noWrap/>
            <w:hideMark/>
          </w:tcPr>
          <w:p w14:paraId="2E74C42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bottom w:val="single" w:sz="4" w:space="0" w:color="auto"/>
              <w:right w:val="single" w:sz="4" w:space="0" w:color="auto"/>
            </w:tcBorders>
            <w:noWrap/>
            <w:hideMark/>
          </w:tcPr>
          <w:p w14:paraId="50962DDD"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1134" w:type="dxa"/>
            <w:tcBorders>
              <w:left w:val="single" w:sz="4" w:space="0" w:color="auto"/>
              <w:bottom w:val="single" w:sz="4" w:space="0" w:color="auto"/>
              <w:right w:val="single" w:sz="4" w:space="0" w:color="auto"/>
            </w:tcBorders>
            <w:noWrap/>
            <w:hideMark/>
          </w:tcPr>
          <w:p w14:paraId="2C6A506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0" w:type="dxa"/>
            <w:tcBorders>
              <w:left w:val="single" w:sz="4" w:space="0" w:color="auto"/>
              <w:bottom w:val="single" w:sz="4" w:space="0" w:color="auto"/>
              <w:right w:val="single" w:sz="4" w:space="0" w:color="auto"/>
            </w:tcBorders>
            <w:noWrap/>
            <w:hideMark/>
          </w:tcPr>
          <w:p w14:paraId="059A4B98"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51" w:type="dxa"/>
            <w:tcBorders>
              <w:left w:val="single" w:sz="4" w:space="0" w:color="auto"/>
              <w:bottom w:val="single" w:sz="4" w:space="0" w:color="auto"/>
              <w:right w:val="single" w:sz="4" w:space="0" w:color="auto"/>
            </w:tcBorders>
            <w:noWrap/>
            <w:hideMark/>
          </w:tcPr>
          <w:p w14:paraId="0B52BC19"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972" w:type="dxa"/>
            <w:tcBorders>
              <w:left w:val="single" w:sz="4" w:space="0" w:color="auto"/>
              <w:bottom w:val="single" w:sz="4" w:space="0" w:color="auto"/>
              <w:right w:val="single" w:sz="4" w:space="0" w:color="auto"/>
            </w:tcBorders>
            <w:noWrap/>
            <w:hideMark/>
          </w:tcPr>
          <w:p w14:paraId="0006AF34"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bottom w:val="single" w:sz="4" w:space="0" w:color="auto"/>
              <w:right w:val="single" w:sz="4" w:space="0" w:color="auto"/>
            </w:tcBorders>
            <w:noWrap/>
            <w:hideMark/>
          </w:tcPr>
          <w:p w14:paraId="1B7C0023"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 </w:t>
            </w:r>
          </w:p>
        </w:tc>
        <w:tc>
          <w:tcPr>
            <w:tcW w:w="891" w:type="dxa"/>
            <w:tcBorders>
              <w:left w:val="single" w:sz="4" w:space="0" w:color="auto"/>
              <w:bottom w:val="single" w:sz="4" w:space="0" w:color="auto"/>
              <w:right w:val="single" w:sz="4" w:space="0" w:color="auto"/>
            </w:tcBorders>
            <w:noWrap/>
            <w:hideMark/>
          </w:tcPr>
          <w:p w14:paraId="7F1DF290" w14:textId="77777777" w:rsidR="00FB05EE" w:rsidRPr="001C7F25" w:rsidRDefault="00FB05EE" w:rsidP="00FD14C2">
            <w:pPr>
              <w:jc w:val="right"/>
              <w:rPr>
                <w:rFonts w:ascii="Times New Roman" w:hAnsi="Times New Roman" w:cs="Times New Roman"/>
                <w:sz w:val="18"/>
                <w:szCs w:val="18"/>
              </w:rPr>
            </w:pPr>
            <w:r w:rsidRPr="001C7F25">
              <w:rPr>
                <w:rFonts w:ascii="Times New Roman" w:hAnsi="Times New Roman" w:cs="Times New Roman"/>
                <w:sz w:val="18"/>
                <w:szCs w:val="18"/>
              </w:rPr>
              <w:t xml:space="preserve"> 0.057 </w:t>
            </w:r>
          </w:p>
        </w:tc>
      </w:tr>
    </w:tbl>
    <w:p w14:paraId="11201C57" w14:textId="77777777" w:rsidR="00FB05EE" w:rsidRPr="001C7F25" w:rsidRDefault="00FB05EE" w:rsidP="00FB05EE">
      <w:pPr>
        <w:pStyle w:val="NoSpacing"/>
        <w:rPr>
          <w:rFonts w:ascii="Times New Roman" w:hAnsi="Times New Roman" w:cs="Times New Roman"/>
          <w:sz w:val="18"/>
          <w:szCs w:val="18"/>
        </w:rPr>
      </w:pPr>
      <w:r w:rsidRPr="001C7F25">
        <w:rPr>
          <w:rFonts w:ascii="Times New Roman" w:hAnsi="Times New Roman" w:cs="Times New Roman"/>
          <w:sz w:val="18"/>
          <w:szCs w:val="18"/>
        </w:rPr>
        <w:t xml:space="preserve">#represents the remainder of all transition probabilities (i.e. 1-all other transitions) </w:t>
      </w:r>
    </w:p>
    <w:p w14:paraId="17EBF78C" w14:textId="3E5516AF" w:rsidR="00FB05EE" w:rsidRPr="001C7F25" w:rsidRDefault="00FB05EE" w:rsidP="00FB05EE">
      <w:pPr>
        <w:pStyle w:val="NoSpacing"/>
        <w:rPr>
          <w:rFonts w:ascii="Times New Roman" w:hAnsi="Times New Roman" w:cs="Times New Roman"/>
          <w:sz w:val="18"/>
          <w:szCs w:val="18"/>
        </w:rPr>
      </w:pPr>
      <w:r w:rsidRPr="001C7F25">
        <w:rPr>
          <w:rFonts w:ascii="Times New Roman" w:hAnsi="Times New Roman" w:cs="Times New Roman"/>
          <w:sz w:val="18"/>
          <w:szCs w:val="18"/>
        </w:rPr>
        <w:t xml:space="preserve">Transition probabilities are modelled probabilistically using a Dirichlet distribution, assuming a sample of size of 200, as performed in previous economic evaluations. </w:t>
      </w:r>
    </w:p>
    <w:p w14:paraId="52846357" w14:textId="1A20D69F" w:rsidR="00FB05EE" w:rsidRPr="001C7F25" w:rsidRDefault="00FB05EE" w:rsidP="00FB05EE">
      <w:pPr>
        <w:pStyle w:val="NoSpacing"/>
        <w:rPr>
          <w:rFonts w:ascii="Times New Roman" w:hAnsi="Times New Roman" w:cs="Times New Roman"/>
          <w:sz w:val="18"/>
          <w:szCs w:val="18"/>
        </w:rPr>
      </w:pPr>
      <w:r w:rsidRPr="001C7F25">
        <w:rPr>
          <w:rFonts w:ascii="Times New Roman" w:hAnsi="Times New Roman" w:cs="Times New Roman"/>
          <w:sz w:val="18"/>
          <w:szCs w:val="18"/>
        </w:rPr>
        <w:t>Source: Shepherd 2006,</w:t>
      </w: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J&lt;/Author&gt;&lt;Year&gt;2006&lt;/Year&gt;&lt;RecNum&gt;26&lt;/RecNum&gt;&lt;DisplayText&gt;[1]&lt;/DisplayText&gt;&lt;record&gt;&lt;rec-number&gt;26&lt;/rec-number&gt;&lt;foreign-keys&gt;&lt;key app="EN" db-id="tp0rz5a2v2s0v3edrfmpd2pftv2rfwre59az" timestamp="1536338777"&gt;26&lt;/key&gt;&lt;/foreign-keys&gt;&lt;ref-type name="Journal Article"&gt;17&lt;/ref-type&gt;&lt;contributors&gt;&lt;authors&gt;&lt;author&gt;Shepherd J, &lt;/author&gt;&lt;author&gt;Jones J, &lt;/author&gt;&lt;author&gt;Takeda A, &lt;/author&gt;&lt;author&gt;Davidson P, &lt;/author&gt;&lt;author&gt;Price A&lt;/author&gt;&lt;/authors&gt;&lt;/contributors&gt;&lt;titles&gt;&lt;title&gt;Adefovir dipivoxil and pegylated interferon alfa-2a for the treatment of chronic hepatitis B: a systematic review and economic evaluation.&lt;/title&gt;&lt;secondary-title&gt;Health Technol Assess&lt;/secondary-title&gt;&lt;/titles&gt;&lt;periodical&gt;&lt;full-title&gt;Health Technol Assess&lt;/full-title&gt;&lt;/periodical&gt;&lt;volume&gt;10&lt;/volume&gt;&lt;number&gt;28&lt;/number&gt;&lt;dates&gt;&lt;year&gt;2006&lt;/year&gt;&lt;/dates&gt;&lt;urls&gt;&lt;/urls&gt;&lt;electronic-resource-num&gt;https://doi.org/10.3310/hta10280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w:t>
      </w:r>
      <w:r w:rsidRPr="001C7F25">
        <w:rPr>
          <w:rFonts w:ascii="Times New Roman" w:hAnsi="Times New Roman" w:cs="Times New Roman"/>
          <w:sz w:val="18"/>
          <w:szCs w:val="18"/>
        </w:rPr>
        <w:fldChar w:fldCharType="end"/>
      </w:r>
      <w:r w:rsidRPr="001C7F25">
        <w:rPr>
          <w:rFonts w:ascii="Times New Roman" w:hAnsi="Times New Roman" w:cs="Times New Roman"/>
          <w:sz w:val="18"/>
          <w:szCs w:val="18"/>
        </w:rPr>
        <w:t xml:space="preserve"> Marcellin 2004,</w:t>
      </w:r>
      <w:r w:rsidR="00814C0E"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ExcludeYear="1"&gt;&lt;Author&gt;Marcellin&lt;/Author&gt;&lt;Year&gt;2004&lt;/Year&gt;&lt;RecNum&gt;22&lt;/RecNum&gt;&lt;DisplayText&gt;[8]&lt;/DisplayText&gt;&lt;record&gt;&lt;rec-number&gt;22&lt;/rec-number&gt;&lt;foreign-keys&gt;&lt;key app="EN" db-id="tp0rz5a2v2s0v3edrfmpd2pftv2rfwre59az" timestamp="1536336507"&gt;22&lt;/key&gt;&lt;/foreign-keys&gt;&lt;ref-type name="Journal Article"&gt;17&lt;/ref-type&gt;&lt;contributors&gt;&lt;authors&gt;&lt;author&gt;Marcellin, Patrick&lt;/author&gt;&lt;author&gt;Lau, George K.K.&lt;/author&gt;&lt;author&gt;Bonino, Ferruccio&lt;/author&gt;&lt;author&gt;Farci, Patrizia&lt;/author&gt;&lt;author&gt;Hadziyannis, Stephanos&lt;/author&gt;&lt;author&gt;Jin, Rui&lt;/author&gt;&lt;author&gt;Lu, Zhi-Meng&lt;/author&gt;&lt;author&gt;Piratvisuth, Teerha&lt;/author&gt;&lt;author&gt;Germanidis, Georgios&lt;/author&gt;&lt;author&gt;Yurdaydin, Cihan&lt;/author&gt;&lt;author&gt;Diago, Moises&lt;/author&gt;&lt;author&gt;Gurel, Selim&lt;/author&gt;&lt;author&gt;Lai, Ming-Yang&lt;/author&gt;&lt;author&gt;Button, Peter&lt;/author&gt;&lt;author&gt;Pluck, Nigel&lt;/author&gt;&lt;/authors&gt;&lt;/contributors&gt;&lt;titles&gt;&lt;title&gt;Peginterferon Alfa-2a Alone, Lamivudine Alone, and the Two in Combination in Patients with HBeAg-Negative Chronic Hepatitis B&lt;/title&gt;&lt;secondary-title&gt;N Engl J Med&lt;/secondary-title&gt;&lt;/titles&gt;&lt;periodical&gt;&lt;full-title&gt;N Engl J Med&lt;/full-title&gt;&lt;/periodical&gt;&lt;pages&gt;1206-1217&lt;/pages&gt;&lt;volume&gt;351&lt;/volume&gt;&lt;number&gt;12&lt;/number&gt;&lt;dates&gt;&lt;year&gt;2004&lt;/year&gt;&lt;/dates&gt;&lt;accession-num&gt;15371578&lt;/accession-num&gt;&lt;urls&gt;&lt;related-urls&gt;&lt;url&gt;https://www.nejm.org/doi/full/10.1056/NEJMoa040431&lt;/url&gt;&lt;/related-urls&gt;&lt;/urls&gt;&lt;electronic-resource-num&gt;10.1056/NEJMoa040431&lt;/electronic-resource-num&gt;&lt;/record&gt;&lt;/Cite&gt;&lt;/EndNote&gt;</w:instrText>
      </w:r>
      <w:r w:rsidR="00814C0E"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[8]</w:t>
      </w:r>
      <w:r w:rsidR="00814C0E" w:rsidRPr="001C7F25">
        <w:rPr>
          <w:rFonts w:ascii="Times New Roman" w:hAnsi="Times New Roman" w:cs="Times New Roman"/>
          <w:sz w:val="18"/>
          <w:szCs w:val="18"/>
        </w:rPr>
        <w:fldChar w:fldCharType="end"/>
      </w:r>
      <w:r w:rsidRPr="001C7F25">
        <w:rPr>
          <w:rFonts w:ascii="Times New Roman" w:hAnsi="Times New Roman" w:cs="Times New Roman"/>
          <w:sz w:val="18"/>
          <w:szCs w:val="18"/>
        </w:rPr>
        <w:t xml:space="preserve"> Marcellin 2013,</w:t>
      </w:r>
      <w:r w:rsidR="00814C0E"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ExcludeYear="1"&gt;&lt;Author&gt;Marcellin&lt;/Author&gt;&lt;Year&gt;2013&lt;/Year&gt;&lt;RecNum&gt;21&lt;/RecNum&gt;&lt;DisplayText&gt;[6]&lt;/DisplayText&gt;&lt;record&gt;&lt;rec-number&gt;21&lt;/rec-number&gt;&lt;foreign-keys&gt;&lt;key app="EN" db-id="tp0rz5a2v2s0v3edrfmpd2pftv2rfwre59az" timestamp="1536336418"&gt;21&lt;/key&gt;&lt;/foreign-keys&gt;&lt;ref-type name="Journal Article"&gt;17&lt;/ref-type&gt;&lt;contributors&gt;&lt;authors&gt;&lt;author&gt;Marcellin, Patrick&lt;/author&gt;&lt;author&gt;Gane, Edward&lt;/author&gt;&lt;author&gt;Buti, Maria&lt;/author&gt;&lt;author&gt;Afdhal, Nezam&lt;/author&gt;&lt;author&gt;Sievert, William&lt;/author&gt;&lt;author&gt;Jacobson, Ira M.&lt;/author&gt;&lt;author&gt;Washington, Mary Kay&lt;/author&gt;&lt;author&gt;Germanidis, George&lt;/author&gt;&lt;author&gt;Flaherty, John F.&lt;/author&gt;&lt;author&gt;Schall, Raul Aguilar&lt;/author&gt;&lt;author&gt;Bornstein, Jeffrey D.&lt;/author&gt;&lt;author&gt;Kitrinos, Kathryn M.&lt;/author&gt;&lt;author&gt;Subramanian, G. Mani&lt;/author&gt;&lt;author&gt;McHutchison, John G.&lt;/author&gt;&lt;author&gt;Heathcote, E. Jenny&lt;/author&gt;&lt;/authors&gt;&lt;/contributors&gt;&lt;titles&gt;&lt;title&gt;Regression of cirrhosis during treatment with tenofovir disoproxil fumarate for chronic hepatitis B: a 5-year open-label follow-up study&lt;/title&gt;&lt;secondary-title&gt;Lancet&lt;/secondary-title&gt;&lt;/titles&gt;&lt;periodical&gt;&lt;full-title&gt;Lancet&lt;/full-title&gt;&lt;/periodical&gt;&lt;pages&gt;468-475&lt;/pages&gt;&lt;volume&gt;381&lt;/volume&gt;&lt;number&gt;9865&lt;/number&gt;&lt;dates&gt;&lt;year&gt;2013&lt;/year&gt;&lt;pub-dates&gt;&lt;date&gt;2013/02/09/&lt;/date&gt;&lt;/pub-dates&gt;&lt;/dates&gt;&lt;isbn&gt;0140-6736&lt;/isbn&gt;&lt;urls&gt;&lt;related-urls&gt;&lt;url&gt;http://www.sciencedirect.com/science/article/pii/S0140673612614251&lt;/url&gt;&lt;/related-urls&gt;&lt;/urls&gt;&lt;electronic-resource-num&gt;https://doi.org/10.1016/S0140-6736(12)61425-1&lt;/electronic-resource-num&gt;&lt;/record&gt;&lt;/Cite&gt;&lt;/EndNote&gt;</w:instrText>
      </w:r>
      <w:r w:rsidR="00814C0E"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[6]</w:t>
      </w:r>
      <w:r w:rsidR="00814C0E" w:rsidRPr="001C7F25">
        <w:rPr>
          <w:rFonts w:ascii="Times New Roman" w:hAnsi="Times New Roman" w:cs="Times New Roman"/>
          <w:sz w:val="18"/>
          <w:szCs w:val="18"/>
        </w:rPr>
        <w:fldChar w:fldCharType="end"/>
      </w:r>
      <w:r w:rsidRPr="001C7F25">
        <w:rPr>
          <w:rFonts w:ascii="Times New Roman" w:hAnsi="Times New Roman" w:cs="Times New Roman"/>
          <w:sz w:val="18"/>
          <w:szCs w:val="18"/>
        </w:rPr>
        <w:t xml:space="preserve"> Kim 2015,</w:t>
      </w:r>
      <w:r w:rsidR="00814C0E"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ExcludeYear="1"&gt;&lt;Author&gt;Kim&lt;/Author&gt;&lt;Year&gt;2015&lt;/Year&gt;&lt;RecNum&gt;88&lt;/RecNum&gt;&lt;DisplayText&gt;[15]&lt;/DisplayText&gt;&lt;record&gt;&lt;rec-number&gt;88&lt;/rec-number&gt;&lt;foreign-keys&gt;&lt;key app="EN" db-id="tp0rz5a2v2s0v3edrfmpd2pftv2rfwre59az" timestamp="1562780652"&gt;88&lt;/key&gt;&lt;/foreign-keys&gt;&lt;ref-type name="Journal Article"&gt;17&lt;/ref-type&gt;&lt;contributors&gt;&lt;authors&gt;&lt;author&gt;Kim, W. Ray&lt;/author&gt;&lt;author&gt;Loomba, Rohit&lt;/author&gt;&lt;author&gt;Berg, Thomas&lt;/author&gt;&lt;author&gt;Aguilar Schall, Raul E.&lt;/author&gt;&lt;author&gt;Yee, Leland J.&lt;/author&gt;&lt;author&gt;Dinh, Phillip V.&lt;/author&gt;&lt;author&gt;Flaherty, John F.&lt;/author&gt;&lt;author&gt;Martins, Eduardo B.&lt;/author&gt;&lt;author&gt;Therneau, Terry M.&lt;/author&gt;&lt;author&gt;Jacobson, Ira&lt;/author&gt;&lt;author&gt;Fung, Scott&lt;/author&gt;&lt;author&gt;Gurel, Selim&lt;/author&gt;&lt;author&gt;Buti, Maria&lt;/author&gt;&lt;author&gt;Marcellin, Patrick&lt;/author&gt;&lt;/authors&gt;&lt;/contributors&gt;&lt;titles&gt;&lt;title&gt;Impact of long-term tenofovir disoproxil fumarate on incidence of hepatocellular carcinoma in patients with chronic hepatitis B&lt;/title&gt;&lt;secondary-title&gt;Cancer&lt;/secondary-title&gt;&lt;/titles&gt;&lt;periodical&gt;&lt;full-title&gt;Cancer&lt;/full-title&gt;&lt;/periodical&gt;&lt;pages&gt;3631-3638&lt;/pages&gt;&lt;volume&gt;121&lt;/volume&gt;&lt;number&gt;20&lt;/number&gt;&lt;dates&gt;&lt;year&gt;2015&lt;/year&gt;&lt;/dates&gt;&lt;isbn&gt;0008-543X&lt;/isbn&gt;&lt;urls&gt;&lt;related-urls&gt;&lt;url&gt;https://onlinelibrary.wiley.com/doi/abs/10.1002/cncr.29537&lt;/url&gt;&lt;/related-urls&gt;&lt;/urls&gt;&lt;electronic-resource-num&gt;10.1002/cncr.29537&lt;/electronic-resource-num&gt;&lt;/record&gt;&lt;/Cite&gt;&lt;/EndNote&gt;</w:instrText>
      </w:r>
      <w:r w:rsidR="00814C0E"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[15]</w:t>
      </w:r>
      <w:r w:rsidR="00814C0E" w:rsidRPr="001C7F25">
        <w:rPr>
          <w:rFonts w:ascii="Times New Roman" w:hAnsi="Times New Roman" w:cs="Times New Roman"/>
          <w:sz w:val="18"/>
          <w:szCs w:val="18"/>
        </w:rPr>
        <w:fldChar w:fldCharType="end"/>
      </w:r>
      <w:r w:rsidRPr="001C7F25">
        <w:rPr>
          <w:rFonts w:ascii="Times New Roman" w:hAnsi="Times New Roman" w:cs="Times New Roman"/>
          <w:sz w:val="18"/>
          <w:szCs w:val="18"/>
        </w:rPr>
        <w:t xml:space="preserve"> Takeda 2007</w:t>
      </w:r>
      <w:r w:rsidR="0013640C" w:rsidRPr="001C7F25">
        <w:rPr>
          <w:rFonts w:ascii="Times New Roman" w:hAnsi="Times New Roman" w:cs="Times New Roman"/>
          <w:sz w:val="18"/>
          <w:szCs w:val="18"/>
        </w:rPr>
        <w:t>.</w:t>
      </w:r>
      <w:r w:rsidR="00814C0E"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ExcludeYear="1"&gt;&lt;Author&gt;Takeda&lt;/Author&gt;&lt;Year&gt;2007&lt;/Year&gt;&lt;RecNum&gt;74&lt;/RecNum&gt;&lt;DisplayText&gt;[16]&lt;/DisplayText&gt;&lt;record&gt;&lt;rec-number&gt;74&lt;/rec-number&gt;&lt;foreign-keys&gt;&lt;key app="EN" db-id="tp0rz5a2v2s0v3edrfmpd2pftv2rfwre59az" timestamp="1552070875"&gt;74&lt;/key&gt;&lt;/foreign-keys&gt;&lt;ref-type name="Journal Article"&gt;17&lt;/ref-type&gt;&lt;contributors&gt;&lt;authors&gt;&lt;author&gt;Takeda, A.&lt;/author&gt;&lt;author&gt;Jones, J.&lt;/author&gt;&lt;author&gt;Shepherd, J.&lt;/author&gt;&lt;author&gt;Davidson, P.&lt;/author&gt;&lt;author&gt;Price, A.&lt;/author&gt;&lt;/authors&gt;&lt;/contributors&gt;&lt;titles&gt;&lt;title&gt;A systematic review and economic evaluation of adefovir dipivoxil and pegylated interferon-alpha-2a for the treatment of chronic hepatitis B&lt;/title&gt;&lt;secondary-title&gt;J Viral Hepat&lt;/secondary-title&gt;&lt;/titles&gt;&lt;periodical&gt;&lt;full-title&gt;J Viral Hepat&lt;/full-title&gt;&lt;/periodical&gt;&lt;pages&gt;75-88&lt;/pages&gt;&lt;volume&gt;14&lt;/volume&gt;&lt;number&gt;2&lt;/number&gt;&lt;dates&gt;&lt;year&gt;2007&lt;/year&gt;&lt;/dates&gt;&lt;urls&gt;&lt;related-urls&gt;&lt;url&gt;https://onlinelibrary.wiley.com/doi/abs/10.1111/j.1365-2893.2006.00808.x&lt;/url&gt;&lt;/related-urls&gt;&lt;/urls&gt;&lt;electronic-resource-num&gt;doi:10.1111/j.1365-2893.2006.00808.x&lt;/electronic-resource-num&gt;&lt;/record&gt;&lt;/Cite&gt;&lt;/EndNote&gt;</w:instrText>
      </w:r>
      <w:r w:rsidR="00814C0E"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[16]</w:t>
      </w:r>
      <w:r w:rsidR="00814C0E" w:rsidRPr="001C7F25">
        <w:rPr>
          <w:rFonts w:ascii="Times New Roman" w:hAnsi="Times New Roman" w:cs="Times New Roman"/>
          <w:sz w:val="18"/>
          <w:szCs w:val="18"/>
        </w:rPr>
        <w:fldChar w:fldCharType="end"/>
      </w:r>
    </w:p>
    <w:p w14:paraId="30B8A825" w14:textId="77777777" w:rsidR="00FB05EE" w:rsidRPr="001C7F25" w:rsidRDefault="00FB05EE" w:rsidP="00FB05EE">
      <w:pPr>
        <w:rPr>
          <w:rFonts w:ascii="Times New Roman" w:hAnsi="Times New Roman" w:cs="Times New Roman"/>
        </w:rPr>
      </w:pPr>
    </w:p>
    <w:p w14:paraId="163FDD7A" w14:textId="03786FB5" w:rsidR="00B95663" w:rsidRPr="001C7F25" w:rsidRDefault="00B95663" w:rsidP="00B95663">
      <w:pPr>
        <w:rPr>
          <w:rFonts w:ascii="Times New Roman" w:hAnsi="Times New Roman" w:cs="Times New Roman"/>
        </w:rPr>
      </w:pPr>
    </w:p>
    <w:p w14:paraId="4C4C68FC" w14:textId="77777777" w:rsidR="00A84C62" w:rsidRPr="001C7F25" w:rsidRDefault="00A84C62" w:rsidP="00B95663">
      <w:pPr>
        <w:rPr>
          <w:rFonts w:ascii="Times New Roman" w:hAnsi="Times New Roman" w:cs="Times New Roman"/>
        </w:rPr>
      </w:pPr>
    </w:p>
    <w:p w14:paraId="665EF1FC" w14:textId="77777777" w:rsidR="00A84C62" w:rsidRPr="001C7F25" w:rsidRDefault="00A84C62" w:rsidP="00B95663">
      <w:pPr>
        <w:rPr>
          <w:rFonts w:ascii="Times New Roman" w:hAnsi="Times New Roman" w:cs="Times New Roman"/>
        </w:rPr>
      </w:pPr>
    </w:p>
    <w:p w14:paraId="13D32B8E" w14:textId="6F3B1565" w:rsidR="00B95663" w:rsidRPr="001C7F25" w:rsidRDefault="00230EC9" w:rsidP="00B95663">
      <w:pPr>
        <w:rPr>
          <w:rFonts w:ascii="Times New Roman" w:hAnsi="Times New Roman" w:cs="Times New Roman"/>
        </w:rPr>
      </w:pPr>
      <w:r w:rsidRPr="001C7F25">
        <w:rPr>
          <w:rFonts w:ascii="Times New Roman" w:hAnsi="Times New Roman" w:cs="Times New Roman"/>
        </w:rPr>
        <w:fldChar w:fldCharType="begin"/>
      </w:r>
      <w:r w:rsidRPr="001C7F25">
        <w:rPr>
          <w:rFonts w:ascii="Times New Roman" w:hAnsi="Times New Roman" w:cs="Times New Roman"/>
        </w:rPr>
        <w:instrText xml:space="preserve"> ADDIN EN.SECTION.REFLIST </w:instrText>
      </w:r>
      <w:r w:rsidR="004043D5">
        <w:rPr>
          <w:rFonts w:ascii="Times New Roman" w:hAnsi="Times New Roman" w:cs="Times New Roman"/>
        </w:rPr>
        <w:fldChar w:fldCharType="separate"/>
      </w:r>
      <w:r w:rsidRPr="001C7F25">
        <w:rPr>
          <w:rFonts w:ascii="Times New Roman" w:hAnsi="Times New Roman" w:cs="Times New Roman"/>
        </w:rPr>
        <w:fldChar w:fldCharType="end"/>
      </w:r>
    </w:p>
    <w:p w14:paraId="49F322D3" w14:textId="77777777" w:rsidR="00FB05EE" w:rsidRPr="001C7F25" w:rsidRDefault="00FB05EE">
      <w:pPr>
        <w:rPr>
          <w:rFonts w:ascii="Times New Roman" w:hAnsi="Times New Roman" w:cs="Times New Roman"/>
        </w:rPr>
        <w:sectPr w:rsidR="00FB05EE" w:rsidRPr="001C7F25" w:rsidSect="00FB05EE">
          <w:pgSz w:w="16838" w:h="11906" w:orient="landscape"/>
          <w:pgMar w:top="1440" w:right="1440" w:bottom="1440" w:left="1440" w:header="708" w:footer="708" w:gutter="0"/>
          <w:cols w:space="708"/>
          <w:docGrid w:linePitch="360"/>
        </w:sectPr>
      </w:pPr>
    </w:p>
    <w:p w14:paraId="50DC1B16" w14:textId="1501BF0C" w:rsidR="00327340" w:rsidRPr="001C7F25" w:rsidRDefault="008D15ED" w:rsidP="00327340">
      <w:pPr>
        <w:pStyle w:val="Caption"/>
        <w:keepNext/>
        <w:rPr>
          <w:rFonts w:ascii="Times New Roman" w:hAnsi="Times New Roman" w:cs="Times New Roman"/>
        </w:rPr>
      </w:pPr>
      <w:bookmarkStart w:id="1" w:name="_Ref92376103"/>
      <w:r w:rsidRPr="001C7F25">
        <w:rPr>
          <w:rFonts w:ascii="Times New Roman" w:hAnsi="Times New Roman" w:cs="Times New Roman"/>
        </w:rPr>
        <w:lastRenderedPageBreak/>
        <w:t xml:space="preserve">Appendix </w:t>
      </w:r>
      <w:r w:rsidR="00327340"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4</w:t>
      </w:r>
      <w:r w:rsidR="00230EC9" w:rsidRPr="001C7F25">
        <w:rPr>
          <w:rFonts w:ascii="Times New Roman" w:hAnsi="Times New Roman" w:cs="Times New Roman"/>
          <w:noProof/>
        </w:rPr>
        <w:fldChar w:fldCharType="end"/>
      </w:r>
      <w:bookmarkEnd w:id="1"/>
      <w:r w:rsidR="00327340" w:rsidRPr="001C7F25">
        <w:rPr>
          <w:rFonts w:ascii="Times New Roman" w:hAnsi="Times New Roman" w:cs="Times New Roman"/>
        </w:rPr>
        <w:t>: HCV Transition probabilities</w:t>
      </w:r>
    </w:p>
    <w:tbl>
      <w:tblPr>
        <w:tblStyle w:val="TableGrid"/>
        <w:tblW w:w="5120" w:type="pct"/>
        <w:tblLook w:val="04A0" w:firstRow="1" w:lastRow="0" w:firstColumn="1" w:lastColumn="0" w:noHBand="0" w:noVBand="1"/>
      </w:tblPr>
      <w:tblGrid>
        <w:gridCol w:w="3495"/>
        <w:gridCol w:w="1658"/>
        <w:gridCol w:w="2517"/>
        <w:gridCol w:w="1562"/>
      </w:tblGrid>
      <w:tr w:rsidR="00327340" w:rsidRPr="001C7F25" w14:paraId="6CA0252C" w14:textId="77777777" w:rsidTr="00A9627E">
        <w:tc>
          <w:tcPr>
            <w:tcW w:w="1893" w:type="pct"/>
            <w:shd w:val="clear" w:color="auto" w:fill="auto"/>
          </w:tcPr>
          <w:p w14:paraId="2707F86E" w14:textId="77777777" w:rsidR="00327340" w:rsidRPr="001C7F25" w:rsidRDefault="00327340" w:rsidP="00A9627E">
            <w:pPr>
              <w:spacing w:line="360" w:lineRule="auto"/>
              <w:rPr>
                <w:rFonts w:ascii="Times New Roman" w:hAnsi="Times New Roman" w:cs="Times New Roman"/>
                <w:b/>
                <w:color w:val="000000"/>
                <w:sz w:val="18"/>
                <w:szCs w:val="18"/>
              </w:rPr>
            </w:pPr>
            <w:r w:rsidRPr="001C7F25">
              <w:rPr>
                <w:rFonts w:ascii="Times New Roman" w:hAnsi="Times New Roman" w:cs="Times New Roman"/>
                <w:b/>
                <w:color w:val="000000"/>
                <w:sz w:val="18"/>
                <w:szCs w:val="18"/>
              </w:rPr>
              <w:t xml:space="preserve">Base case probabilities </w:t>
            </w:r>
          </w:p>
        </w:tc>
        <w:tc>
          <w:tcPr>
            <w:tcW w:w="898" w:type="pct"/>
            <w:shd w:val="clear" w:color="auto" w:fill="auto"/>
            <w:vAlign w:val="bottom"/>
          </w:tcPr>
          <w:p w14:paraId="77D25AD7" w14:textId="77777777" w:rsidR="00327340" w:rsidRPr="001C7F25" w:rsidRDefault="00327340" w:rsidP="00A9627E">
            <w:pPr>
              <w:spacing w:line="360" w:lineRule="auto"/>
              <w:rPr>
                <w:rFonts w:ascii="Times New Roman" w:hAnsi="Times New Roman" w:cs="Times New Roman"/>
                <w:b/>
                <w:color w:val="000000"/>
                <w:sz w:val="18"/>
                <w:szCs w:val="18"/>
              </w:rPr>
            </w:pPr>
            <w:r w:rsidRPr="001C7F25">
              <w:rPr>
                <w:rFonts w:ascii="Times New Roman" w:hAnsi="Times New Roman" w:cs="Times New Roman"/>
                <w:b/>
                <w:color w:val="000000"/>
                <w:sz w:val="18"/>
                <w:szCs w:val="18"/>
              </w:rPr>
              <w:t>Mean</w:t>
            </w:r>
          </w:p>
        </w:tc>
        <w:tc>
          <w:tcPr>
            <w:tcW w:w="1363" w:type="pct"/>
            <w:shd w:val="clear" w:color="auto" w:fill="auto"/>
          </w:tcPr>
          <w:p w14:paraId="5BF3E3DD" w14:textId="77777777" w:rsidR="00327340" w:rsidRPr="001C7F25" w:rsidRDefault="00327340" w:rsidP="00A9627E">
            <w:pPr>
              <w:spacing w:line="360" w:lineRule="auto"/>
              <w:rPr>
                <w:rFonts w:ascii="Times New Roman" w:hAnsi="Times New Roman" w:cs="Times New Roman"/>
                <w:b/>
                <w:color w:val="000000"/>
                <w:sz w:val="18"/>
                <w:szCs w:val="18"/>
              </w:rPr>
            </w:pPr>
            <w:r w:rsidRPr="001C7F25">
              <w:rPr>
                <w:rFonts w:ascii="Times New Roman" w:hAnsi="Times New Roman" w:cs="Times New Roman"/>
                <w:b/>
                <w:color w:val="000000"/>
                <w:sz w:val="18"/>
                <w:szCs w:val="18"/>
              </w:rPr>
              <w:t>Distribution</w:t>
            </w:r>
          </w:p>
        </w:tc>
        <w:tc>
          <w:tcPr>
            <w:tcW w:w="846" w:type="pct"/>
            <w:shd w:val="clear" w:color="auto" w:fill="auto"/>
            <w:vAlign w:val="bottom"/>
          </w:tcPr>
          <w:p w14:paraId="36797592" w14:textId="77777777" w:rsidR="00327340" w:rsidRPr="001C7F25" w:rsidRDefault="00327340" w:rsidP="00A9627E">
            <w:pPr>
              <w:spacing w:line="360" w:lineRule="auto"/>
              <w:rPr>
                <w:rFonts w:ascii="Times New Roman" w:hAnsi="Times New Roman" w:cs="Times New Roman"/>
                <w:b/>
                <w:color w:val="000000"/>
                <w:sz w:val="18"/>
                <w:szCs w:val="18"/>
              </w:rPr>
            </w:pPr>
            <w:r w:rsidRPr="001C7F25">
              <w:rPr>
                <w:rFonts w:ascii="Times New Roman" w:hAnsi="Times New Roman" w:cs="Times New Roman"/>
                <w:b/>
                <w:color w:val="000000"/>
                <w:sz w:val="18"/>
                <w:szCs w:val="18"/>
              </w:rPr>
              <w:t>Source</w:t>
            </w:r>
          </w:p>
        </w:tc>
      </w:tr>
      <w:tr w:rsidR="00327340" w:rsidRPr="001C7F25" w14:paraId="3FE37F99" w14:textId="77777777" w:rsidTr="0013430E">
        <w:tc>
          <w:tcPr>
            <w:tcW w:w="1893" w:type="pct"/>
            <w:shd w:val="clear" w:color="auto" w:fill="D9D9D9" w:themeFill="background1" w:themeFillShade="D9"/>
            <w:vAlign w:val="bottom"/>
          </w:tcPr>
          <w:p w14:paraId="56BEFF98" w14:textId="77777777" w:rsidR="00327340" w:rsidRPr="001C7F25" w:rsidRDefault="00327340" w:rsidP="00A9627E">
            <w:pPr>
              <w:spacing w:line="360" w:lineRule="auto"/>
              <w:rPr>
                <w:rFonts w:ascii="Times New Roman" w:hAnsi="Times New Roman" w:cs="Times New Roman"/>
                <w:b/>
                <w:i/>
                <w:color w:val="000000"/>
                <w:sz w:val="18"/>
                <w:szCs w:val="18"/>
              </w:rPr>
            </w:pPr>
            <w:r w:rsidRPr="001C7F25">
              <w:rPr>
                <w:rFonts w:ascii="Times New Roman" w:hAnsi="Times New Roman" w:cs="Times New Roman"/>
                <w:b/>
                <w:i/>
                <w:color w:val="000000"/>
                <w:sz w:val="18"/>
                <w:szCs w:val="18"/>
              </w:rPr>
              <w:t>Transition probabilities</w:t>
            </w:r>
          </w:p>
        </w:tc>
        <w:tc>
          <w:tcPr>
            <w:tcW w:w="898" w:type="pct"/>
            <w:shd w:val="clear" w:color="auto" w:fill="D9D9D9" w:themeFill="background1" w:themeFillShade="D9"/>
            <w:vAlign w:val="bottom"/>
          </w:tcPr>
          <w:p w14:paraId="786058BC" w14:textId="77777777" w:rsidR="00327340" w:rsidRPr="001C7F25" w:rsidRDefault="00327340" w:rsidP="00A9627E">
            <w:pPr>
              <w:spacing w:line="360" w:lineRule="auto"/>
              <w:rPr>
                <w:rFonts w:ascii="Times New Roman" w:hAnsi="Times New Roman" w:cs="Times New Roman"/>
                <w:b/>
                <w:color w:val="000000"/>
                <w:sz w:val="18"/>
                <w:szCs w:val="18"/>
              </w:rPr>
            </w:pPr>
          </w:p>
        </w:tc>
        <w:tc>
          <w:tcPr>
            <w:tcW w:w="1363" w:type="pct"/>
            <w:shd w:val="clear" w:color="auto" w:fill="D9D9D9" w:themeFill="background1" w:themeFillShade="D9"/>
          </w:tcPr>
          <w:p w14:paraId="2339216E" w14:textId="77777777" w:rsidR="00327340" w:rsidRPr="001C7F25" w:rsidRDefault="00327340" w:rsidP="00A9627E">
            <w:pPr>
              <w:spacing w:line="360" w:lineRule="auto"/>
              <w:rPr>
                <w:rFonts w:ascii="Times New Roman" w:hAnsi="Times New Roman" w:cs="Times New Roman"/>
                <w:b/>
                <w:color w:val="000000"/>
                <w:sz w:val="18"/>
                <w:szCs w:val="18"/>
              </w:rPr>
            </w:pPr>
          </w:p>
        </w:tc>
        <w:tc>
          <w:tcPr>
            <w:tcW w:w="846" w:type="pct"/>
            <w:shd w:val="clear" w:color="auto" w:fill="D9D9D9" w:themeFill="background1" w:themeFillShade="D9"/>
            <w:vAlign w:val="bottom"/>
          </w:tcPr>
          <w:p w14:paraId="61C4399F" w14:textId="77777777" w:rsidR="00327340" w:rsidRPr="001C7F25" w:rsidRDefault="00327340" w:rsidP="00A9627E">
            <w:pPr>
              <w:spacing w:line="360" w:lineRule="auto"/>
              <w:rPr>
                <w:rFonts w:ascii="Times New Roman" w:hAnsi="Times New Roman" w:cs="Times New Roman"/>
                <w:b/>
                <w:color w:val="000000"/>
                <w:sz w:val="18"/>
                <w:szCs w:val="18"/>
              </w:rPr>
            </w:pPr>
          </w:p>
        </w:tc>
      </w:tr>
      <w:tr w:rsidR="00327340" w:rsidRPr="001C7F25" w14:paraId="108A7A5F" w14:textId="77777777" w:rsidTr="00A9627E">
        <w:tc>
          <w:tcPr>
            <w:tcW w:w="1893" w:type="pct"/>
            <w:shd w:val="clear" w:color="auto" w:fill="auto"/>
            <w:vAlign w:val="bottom"/>
          </w:tcPr>
          <w:p w14:paraId="15A2ED92"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F0 to F1 – non PWID</w:t>
            </w:r>
          </w:p>
        </w:tc>
        <w:tc>
          <w:tcPr>
            <w:tcW w:w="898" w:type="pct"/>
            <w:shd w:val="clear" w:color="auto" w:fill="auto"/>
          </w:tcPr>
          <w:p w14:paraId="2680BD7A"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0.107</w:t>
            </w:r>
          </w:p>
        </w:tc>
        <w:tc>
          <w:tcPr>
            <w:tcW w:w="1363" w:type="pct"/>
            <w:shd w:val="clear" w:color="auto" w:fill="auto"/>
          </w:tcPr>
          <w:p w14:paraId="33F1B71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Beta(α=356.14, β=2972.28)</w:t>
            </w:r>
          </w:p>
        </w:tc>
        <w:tc>
          <w:tcPr>
            <w:tcW w:w="846" w:type="pct"/>
            <w:shd w:val="clear" w:color="auto" w:fill="auto"/>
            <w:vAlign w:val="bottom"/>
          </w:tcPr>
          <w:p w14:paraId="5B095839" w14:textId="303B552A"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4B8E7761" w14:textId="77777777" w:rsidTr="00A9627E">
        <w:tc>
          <w:tcPr>
            <w:tcW w:w="1893" w:type="pct"/>
            <w:shd w:val="clear" w:color="auto" w:fill="auto"/>
            <w:vAlign w:val="bottom"/>
          </w:tcPr>
          <w:p w14:paraId="2B854510"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F1 to F2 – non PWID</w:t>
            </w:r>
          </w:p>
        </w:tc>
        <w:tc>
          <w:tcPr>
            <w:tcW w:w="898" w:type="pct"/>
            <w:shd w:val="clear" w:color="auto" w:fill="auto"/>
          </w:tcPr>
          <w:p w14:paraId="32B73348"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0.082</w:t>
            </w:r>
          </w:p>
        </w:tc>
        <w:tc>
          <w:tcPr>
            <w:tcW w:w="1363" w:type="pct"/>
            <w:shd w:val="clear" w:color="auto" w:fill="auto"/>
          </w:tcPr>
          <w:p w14:paraId="39371B09"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Beta(α=328.12, β=3673.37)</w:t>
            </w:r>
          </w:p>
        </w:tc>
        <w:tc>
          <w:tcPr>
            <w:tcW w:w="846" w:type="pct"/>
            <w:shd w:val="clear" w:color="auto" w:fill="auto"/>
          </w:tcPr>
          <w:p w14:paraId="121505DC" w14:textId="69C8CE1F"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743084B3" w14:textId="77777777" w:rsidTr="00A9627E">
        <w:tc>
          <w:tcPr>
            <w:tcW w:w="1893" w:type="pct"/>
            <w:shd w:val="clear" w:color="auto" w:fill="auto"/>
            <w:vAlign w:val="bottom"/>
          </w:tcPr>
          <w:p w14:paraId="33868F6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F2 to F3 – non PWID</w:t>
            </w:r>
          </w:p>
        </w:tc>
        <w:tc>
          <w:tcPr>
            <w:tcW w:w="898" w:type="pct"/>
            <w:shd w:val="clear" w:color="auto" w:fill="auto"/>
          </w:tcPr>
          <w:p w14:paraId="4C37D049"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0.117</w:t>
            </w:r>
          </w:p>
        </w:tc>
        <w:tc>
          <w:tcPr>
            <w:tcW w:w="1363" w:type="pct"/>
            <w:shd w:val="clear" w:color="auto" w:fill="auto"/>
          </w:tcPr>
          <w:p w14:paraId="143E5C03"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Beta(α=383.64, β=2895.35)</w:t>
            </w:r>
          </w:p>
        </w:tc>
        <w:tc>
          <w:tcPr>
            <w:tcW w:w="846" w:type="pct"/>
            <w:shd w:val="clear" w:color="auto" w:fill="auto"/>
          </w:tcPr>
          <w:p w14:paraId="375C8A40" w14:textId="17EC15EF"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24E177AB" w14:textId="77777777" w:rsidTr="00A9627E">
        <w:tc>
          <w:tcPr>
            <w:tcW w:w="1893" w:type="pct"/>
            <w:shd w:val="clear" w:color="auto" w:fill="auto"/>
            <w:vAlign w:val="bottom"/>
          </w:tcPr>
          <w:p w14:paraId="045FC3D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F3 to CC (F4) – non PWID</w:t>
            </w:r>
          </w:p>
        </w:tc>
        <w:tc>
          <w:tcPr>
            <w:tcW w:w="898" w:type="pct"/>
            <w:shd w:val="clear" w:color="auto" w:fill="auto"/>
          </w:tcPr>
          <w:p w14:paraId="68E99A13"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0.116</w:t>
            </w:r>
          </w:p>
        </w:tc>
        <w:tc>
          <w:tcPr>
            <w:tcW w:w="1363" w:type="pct"/>
            <w:shd w:val="clear" w:color="auto" w:fill="auto"/>
          </w:tcPr>
          <w:p w14:paraId="64C8ABDC"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Beta(α=250.62, β=1909.88)</w:t>
            </w:r>
          </w:p>
        </w:tc>
        <w:tc>
          <w:tcPr>
            <w:tcW w:w="846" w:type="pct"/>
            <w:shd w:val="clear" w:color="auto" w:fill="auto"/>
          </w:tcPr>
          <w:p w14:paraId="0175F26A" w14:textId="742FFE9F"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2272CAC2" w14:textId="77777777" w:rsidTr="00A9627E">
        <w:tc>
          <w:tcPr>
            <w:tcW w:w="1893" w:type="pct"/>
            <w:shd w:val="clear" w:color="auto" w:fill="auto"/>
            <w:vAlign w:val="bottom"/>
          </w:tcPr>
          <w:p w14:paraId="78B8A692"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F0 to F1 – PWID</w:t>
            </w:r>
          </w:p>
        </w:tc>
        <w:tc>
          <w:tcPr>
            <w:tcW w:w="898" w:type="pct"/>
            <w:shd w:val="clear" w:color="auto" w:fill="auto"/>
          </w:tcPr>
          <w:p w14:paraId="5EDB375F"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0.109</w:t>
            </w:r>
          </w:p>
        </w:tc>
        <w:tc>
          <w:tcPr>
            <w:tcW w:w="1363" w:type="pct"/>
            <w:shd w:val="clear" w:color="auto" w:fill="auto"/>
          </w:tcPr>
          <w:p w14:paraId="1AE8113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Beta(α=17.18, β=140.43)</w:t>
            </w:r>
          </w:p>
        </w:tc>
        <w:tc>
          <w:tcPr>
            <w:tcW w:w="846" w:type="pct"/>
            <w:shd w:val="clear" w:color="auto" w:fill="auto"/>
          </w:tcPr>
          <w:p w14:paraId="53E8BBA0" w14:textId="6F2B806A"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2D3505F2" w14:textId="77777777" w:rsidTr="00A9627E">
        <w:tc>
          <w:tcPr>
            <w:tcW w:w="1893" w:type="pct"/>
            <w:shd w:val="clear" w:color="auto" w:fill="auto"/>
            <w:vAlign w:val="bottom"/>
          </w:tcPr>
          <w:p w14:paraId="28D941F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F1 to F2 – PWID</w:t>
            </w:r>
          </w:p>
        </w:tc>
        <w:tc>
          <w:tcPr>
            <w:tcW w:w="898" w:type="pct"/>
            <w:shd w:val="clear" w:color="auto" w:fill="auto"/>
          </w:tcPr>
          <w:p w14:paraId="31C40070"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0.071</w:t>
            </w:r>
          </w:p>
        </w:tc>
        <w:tc>
          <w:tcPr>
            <w:tcW w:w="1363" w:type="pct"/>
            <w:shd w:val="clear" w:color="auto" w:fill="auto"/>
          </w:tcPr>
          <w:p w14:paraId="47519783"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Beta(α=37.1, β=485.43)</w:t>
            </w:r>
          </w:p>
        </w:tc>
        <w:tc>
          <w:tcPr>
            <w:tcW w:w="846" w:type="pct"/>
            <w:shd w:val="clear" w:color="auto" w:fill="auto"/>
          </w:tcPr>
          <w:p w14:paraId="202E59BA" w14:textId="74806D6C"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2D49DFCA" w14:textId="77777777" w:rsidTr="00A9627E">
        <w:tc>
          <w:tcPr>
            <w:tcW w:w="1893" w:type="pct"/>
            <w:shd w:val="clear" w:color="auto" w:fill="auto"/>
            <w:vAlign w:val="bottom"/>
          </w:tcPr>
          <w:p w14:paraId="6631D26E"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F2 to F3 – PWID</w:t>
            </w:r>
          </w:p>
        </w:tc>
        <w:tc>
          <w:tcPr>
            <w:tcW w:w="898" w:type="pct"/>
            <w:shd w:val="clear" w:color="auto" w:fill="auto"/>
          </w:tcPr>
          <w:p w14:paraId="2062A4AC"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0.121</w:t>
            </w:r>
          </w:p>
        </w:tc>
        <w:tc>
          <w:tcPr>
            <w:tcW w:w="1363" w:type="pct"/>
            <w:shd w:val="clear" w:color="auto" w:fill="auto"/>
          </w:tcPr>
          <w:p w14:paraId="035424BE"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Beta(α=27.91, β=202.72)</w:t>
            </w:r>
          </w:p>
        </w:tc>
        <w:tc>
          <w:tcPr>
            <w:tcW w:w="846" w:type="pct"/>
            <w:shd w:val="clear" w:color="auto" w:fill="auto"/>
          </w:tcPr>
          <w:p w14:paraId="4E1240B9" w14:textId="63A47972"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06A3DB7F" w14:textId="77777777" w:rsidTr="00A9627E">
        <w:tc>
          <w:tcPr>
            <w:tcW w:w="1893" w:type="pct"/>
            <w:shd w:val="clear" w:color="auto" w:fill="auto"/>
            <w:vAlign w:val="bottom"/>
          </w:tcPr>
          <w:p w14:paraId="061B060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F3 to CC (F4) – PWID</w:t>
            </w:r>
          </w:p>
        </w:tc>
        <w:tc>
          <w:tcPr>
            <w:tcW w:w="898" w:type="pct"/>
            <w:shd w:val="clear" w:color="auto" w:fill="auto"/>
          </w:tcPr>
          <w:p w14:paraId="55C3E701"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0.194</w:t>
            </w:r>
          </w:p>
        </w:tc>
        <w:tc>
          <w:tcPr>
            <w:tcW w:w="1363" w:type="pct"/>
            <w:shd w:val="clear" w:color="auto" w:fill="auto"/>
          </w:tcPr>
          <w:p w14:paraId="5781F9B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Beta(α=22.6, β=93.9)</w:t>
            </w:r>
          </w:p>
        </w:tc>
        <w:tc>
          <w:tcPr>
            <w:tcW w:w="846" w:type="pct"/>
            <w:shd w:val="clear" w:color="auto" w:fill="auto"/>
          </w:tcPr>
          <w:p w14:paraId="3056A279" w14:textId="436C4983"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ExcludeYear="1"&gt;&lt;Author&gt;Erman&lt;/Author&gt;&lt;Year&gt;2019&lt;/Year&gt;&lt;RecNum&gt;97&lt;/RecNum&gt;&lt;DisplayText&gt;[17]&lt;/DisplayText&gt;&lt;record&gt;&lt;rec-number&gt;97&lt;/rec-number&gt;&lt;foreign-keys&gt;&lt;key app="EN" db-id="tp0rz5a2v2s0v3edrfmpd2pftv2rfwre59az" timestamp="1608043173"&gt;97&lt;/key&gt;&lt;/foreign-keys&gt;&lt;ref-type name="Journal Article"&gt;17&lt;/ref-type&gt;&lt;contributors&gt;&lt;authors&gt;&lt;author&gt;Erman, Aysegul&lt;/author&gt;&lt;author&gt;Krahn, Murray D.&lt;/author&gt;&lt;author&gt;Hansen, Tawnya&lt;/author&gt;&lt;author&gt;Wong, Josephine&lt;/author&gt;&lt;author&gt;Bielecki, Joanna M.&lt;/author&gt;&lt;author&gt;Feld, Jordan J.&lt;/author&gt;&lt;author&gt;Wong, William W.L.&lt;/author&gt;&lt;author&gt;Grootendorst, Paul&lt;/author&gt;&lt;author&gt;Thein, Hla-Hla&lt;/author&gt;&lt;/authors&gt;&lt;/contributors&gt;&lt;titles&gt;&lt;title&gt;Estimation of fibrosis progression rates for chronic hepatitis C: a systematic review and meta-analysis update&lt;/title&gt;&lt;secondary-title&gt;BMJ Open&lt;/secondary-title&gt;&lt;/titles&gt;&lt;periodical&gt;&lt;full-title&gt;BMJ Open&lt;/full-title&gt;&lt;/periodical&gt;&lt;pages&gt;e027491&lt;/pages&gt;&lt;volume&gt;9&lt;/volume&gt;&lt;number&gt;11&lt;/number&gt;&lt;dates&gt;&lt;year&gt;2019&lt;/year&gt;&lt;/dates&gt;&lt;urls&gt;&lt;related-urls&gt;&lt;url&gt;https://bmjopen.bmj.com/content/bmjopen/9/11/e027491.full.pdf&lt;/url&gt;&lt;/related-urls&gt;&lt;/urls&gt;&lt;electronic-resource-num&gt;10.1136/bmjopen-2018-027491&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[17]</w:t>
            </w:r>
            <w:r w:rsidRPr="001C7F25">
              <w:rPr>
                <w:rFonts w:ascii="Times New Roman" w:hAnsi="Times New Roman" w:cs="Times New Roman"/>
                <w:sz w:val="18"/>
                <w:szCs w:val="18"/>
              </w:rPr>
              <w:fldChar w:fldCharType="end"/>
            </w:r>
          </w:p>
        </w:tc>
      </w:tr>
      <w:tr w:rsidR="00327340" w:rsidRPr="001C7F25" w14:paraId="6F0E8FC0" w14:textId="77777777" w:rsidTr="00A9627E">
        <w:tc>
          <w:tcPr>
            <w:tcW w:w="1893" w:type="pct"/>
            <w:shd w:val="clear" w:color="auto" w:fill="auto"/>
            <w:vAlign w:val="bottom"/>
          </w:tcPr>
          <w:p w14:paraId="57283AF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 xml:space="preserve">CC to DC </w:t>
            </w:r>
          </w:p>
        </w:tc>
        <w:tc>
          <w:tcPr>
            <w:tcW w:w="898" w:type="pct"/>
            <w:shd w:val="clear" w:color="auto" w:fill="auto"/>
          </w:tcPr>
          <w:p w14:paraId="3D6A75B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0.039</w:t>
            </w:r>
          </w:p>
        </w:tc>
        <w:tc>
          <w:tcPr>
            <w:tcW w:w="1363" w:type="pct"/>
            <w:shd w:val="clear" w:color="auto" w:fill="auto"/>
          </w:tcPr>
          <w:p w14:paraId="383397FF"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Beta(α=14.617, β=360.1732)</w:t>
            </w:r>
          </w:p>
        </w:tc>
        <w:tc>
          <w:tcPr>
            <w:tcW w:w="846" w:type="pct"/>
            <w:shd w:val="clear" w:color="auto" w:fill="auto"/>
            <w:vAlign w:val="bottom"/>
          </w:tcPr>
          <w:p w14:paraId="2E5ADE4A" w14:textId="46248DF8"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05715C2F" w14:textId="77777777" w:rsidTr="00A9627E">
        <w:tc>
          <w:tcPr>
            <w:tcW w:w="1893" w:type="pct"/>
            <w:shd w:val="clear" w:color="auto" w:fill="auto"/>
            <w:vAlign w:val="bottom"/>
          </w:tcPr>
          <w:p w14:paraId="1CADB4E9"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 xml:space="preserve">CC to HCC </w:t>
            </w:r>
          </w:p>
        </w:tc>
        <w:tc>
          <w:tcPr>
            <w:tcW w:w="898" w:type="pct"/>
            <w:shd w:val="clear" w:color="auto" w:fill="auto"/>
          </w:tcPr>
          <w:p w14:paraId="4F02015F"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0.014</w:t>
            </w:r>
          </w:p>
        </w:tc>
        <w:tc>
          <w:tcPr>
            <w:tcW w:w="1363" w:type="pct"/>
            <w:shd w:val="clear" w:color="auto" w:fill="auto"/>
          </w:tcPr>
          <w:p w14:paraId="1AFB723B"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Beta(α=1.9326, β=136.1074)</w:t>
            </w:r>
          </w:p>
        </w:tc>
        <w:tc>
          <w:tcPr>
            <w:tcW w:w="846" w:type="pct"/>
            <w:shd w:val="clear" w:color="auto" w:fill="auto"/>
            <w:vAlign w:val="bottom"/>
          </w:tcPr>
          <w:p w14:paraId="3B59F74F" w14:textId="6401FD44"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5A4127D0" w14:textId="77777777" w:rsidTr="00A9627E">
        <w:tc>
          <w:tcPr>
            <w:tcW w:w="1893" w:type="pct"/>
            <w:shd w:val="clear" w:color="auto" w:fill="auto"/>
          </w:tcPr>
          <w:p w14:paraId="68EA1950"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CC SVR to DC (relative risk vs. non-SVR)</w:t>
            </w:r>
          </w:p>
        </w:tc>
        <w:tc>
          <w:tcPr>
            <w:tcW w:w="898" w:type="pct"/>
            <w:shd w:val="clear" w:color="auto" w:fill="auto"/>
          </w:tcPr>
          <w:p w14:paraId="77DA12A3"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0.07</w:t>
            </w:r>
          </w:p>
        </w:tc>
        <w:tc>
          <w:tcPr>
            <w:tcW w:w="1363" w:type="pct"/>
            <w:shd w:val="clear" w:color="auto" w:fill="auto"/>
          </w:tcPr>
          <w:p w14:paraId="0409EBBB"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Lognormal(95% CI 0.03, 0.2)</w:t>
            </w:r>
          </w:p>
        </w:tc>
        <w:tc>
          <w:tcPr>
            <w:tcW w:w="846" w:type="pct"/>
            <w:shd w:val="clear" w:color="auto" w:fill="auto"/>
          </w:tcPr>
          <w:p w14:paraId="0BA529CC" w14:textId="4D6CCB95"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ExcludeYear="1"&gt;&lt;Author&gt;Van der Meer&lt;/Author&gt;&lt;Year&gt;2012&lt;/Year&gt;&lt;RecNum&gt;33&lt;/RecNum&gt;&lt;DisplayText&gt;[19]&lt;/DisplayText&gt;&lt;record&gt;&lt;rec-number&gt;33&lt;/rec-number&gt;&lt;foreign-keys&gt;&lt;key app="EN" db-id="tp0rz5a2v2s0v3edrfmpd2pftv2rfwre59az" timestamp="1536341266"&gt;33&lt;/key&gt;&lt;/foreign-keys&gt;&lt;ref-type name="Journal Article"&gt;17&lt;/ref-type&gt;&lt;contributors&gt;&lt;authors&gt;&lt;author&gt;Van der Meer, A. J.&lt;/author&gt;&lt;author&gt;Veldt, B. J.&lt;/author&gt;&lt;author&gt;Feld, J. J.&lt;/author&gt;&lt;author&gt;et al.,&lt;/author&gt;&lt;/authors&gt;&lt;/contributors&gt;&lt;titles&gt;&lt;title&gt;Association between sustained virological response and all-cause mortality among patients with chronic hepatitis c and advanced hepatic fibrosis&lt;/title&gt;&lt;secondary-title&gt;JAMA&lt;/secondary-title&gt;&lt;/titles&gt;&lt;periodical&gt;&lt;full-title&gt;JAMA&lt;/full-title&gt;&lt;/periodical&gt;&lt;pages&gt;2584-2593&lt;/pages&gt;&lt;volume&gt;308&lt;/volume&gt;&lt;number&gt;24&lt;/number&gt;&lt;dates&gt;&lt;year&gt;2012&lt;/year&gt;&lt;/dates&gt;&lt;isbn&gt;0098-7484&lt;/isbn&gt;&lt;urls&gt;&lt;related-urls&gt;&lt;url&gt;&lt;style face="underline" font="default" size="100%"&gt;http://dx.doi.org/10.1001/jama.2012.144878&lt;/style&gt;&lt;/url&gt;&lt;/related-urls&gt;&lt;/urls&gt;&lt;electronic-resource-num&gt;10.1001/jama.2012.144878&lt;/electronic-resource-num&gt;&lt;/record&gt;&lt;/Cite&gt;&lt;/EndNote&gt;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[19]</w:t>
            </w:r>
            <w:r w:rsidRPr="001C7F25">
              <w:rPr>
                <w:rFonts w:ascii="Times New Roman" w:hAnsi="Times New Roman" w:cs="Times New Roman"/>
                <w:sz w:val="18"/>
                <w:szCs w:val="18"/>
              </w:rPr>
              <w:fldChar w:fldCharType="end"/>
            </w:r>
          </w:p>
        </w:tc>
      </w:tr>
      <w:tr w:rsidR="00327340" w:rsidRPr="001C7F25" w14:paraId="5822DE55" w14:textId="77777777" w:rsidTr="00A9627E">
        <w:tc>
          <w:tcPr>
            <w:tcW w:w="1893" w:type="pct"/>
            <w:shd w:val="clear" w:color="auto" w:fill="auto"/>
          </w:tcPr>
          <w:p w14:paraId="10A132F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CC SVR to HCC (relative risk vs. non-SVR)</w:t>
            </w:r>
          </w:p>
        </w:tc>
        <w:tc>
          <w:tcPr>
            <w:tcW w:w="898" w:type="pct"/>
            <w:shd w:val="clear" w:color="auto" w:fill="auto"/>
          </w:tcPr>
          <w:p w14:paraId="132C6CB2"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0.23</w:t>
            </w:r>
          </w:p>
        </w:tc>
        <w:tc>
          <w:tcPr>
            <w:tcW w:w="1363" w:type="pct"/>
            <w:shd w:val="clear" w:color="auto" w:fill="auto"/>
          </w:tcPr>
          <w:p w14:paraId="2A52A907"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Lognormal(95% CI 0.16, 0.35)</w:t>
            </w:r>
          </w:p>
        </w:tc>
        <w:tc>
          <w:tcPr>
            <w:tcW w:w="846" w:type="pct"/>
            <w:shd w:val="clear" w:color="auto" w:fill="auto"/>
          </w:tcPr>
          <w:p w14:paraId="402B4C82" w14:textId="117CD5C1"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ExcludeYear="1"&gt;&lt;Author&gt;Morgan&lt;/Author&gt;&lt;Year&gt;2013&lt;/Year&gt;&lt;RecNum&gt;34&lt;/RecNum&gt;&lt;DisplayText&gt;[20]&lt;/DisplayText&gt;&lt;record&gt;&lt;rec-number&gt;34&lt;/rec-number&gt;&lt;foreign-keys&gt;&lt;key app="EN" db-id="tp0rz5a2v2s0v3edrfmpd2pftv2rfwre59az" timestamp="1536341275"&gt;34&lt;/key&gt;&lt;/foreign-keys&gt;&lt;ref-type name="Journal Article"&gt;17&lt;/ref-type&gt;&lt;contributors&gt;&lt;authors&gt;&lt;author&gt;Morgan, R. L.&lt;/author&gt;&lt;author&gt;Baack, B.&lt;/author&gt;&lt;author&gt;Smith, B. D.&lt;/author&gt;&lt;author&gt;Yartel, A.&lt;/author&gt;&lt;author&gt;Pitasi, M.&lt;/author&gt;&lt;author&gt;Falck-Ytter, Y.&lt;/author&gt;&lt;/authors&gt;&lt;/contributors&gt;&lt;titles&gt;&lt;title&gt;Eradication of hepatitis c virus infection and the development of hepatocellular carcinoma: A meta-analysis of observational studies&lt;/title&gt;&lt;secondary-title&gt;Ann Intern Med&lt;/secondary-title&gt;&lt;/titles&gt;&lt;periodical&gt;&lt;full-title&gt;Ann Intern Med&lt;/full-title&gt;&lt;/periodical&gt;&lt;pages&gt;329-337&lt;/pages&gt;&lt;volume&gt;158&lt;/volume&gt;&lt;number&gt;5&lt;/number&gt;&lt;dates&gt;&lt;year&gt;2013&lt;/year&gt;&lt;/dates&gt;&lt;isbn&gt;0003-4819&lt;/isbn&gt;&lt;urls&gt;&lt;related-urls&gt;&lt;url&gt;&lt;style face="underline" font="default" size="100%"&gt;http://dx.doi.org/10.7326/0003-4819-158-5-201303050-00005&lt;/style&gt;&lt;/url&gt;&lt;/related-urls&gt;&lt;/urls&gt;&lt;electronic-resource-num&gt;10.7326/0003-4819-158-5-201303050-00005&lt;/electronic-resource-num&gt;&lt;/record&gt;&lt;/Cite&gt;&lt;/EndNote&gt;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[20]</w:t>
            </w:r>
            <w:r w:rsidRPr="001C7F25">
              <w:rPr>
                <w:rFonts w:ascii="Times New Roman" w:hAnsi="Times New Roman" w:cs="Times New Roman"/>
                <w:sz w:val="18"/>
                <w:szCs w:val="18"/>
              </w:rPr>
              <w:fldChar w:fldCharType="end"/>
            </w:r>
          </w:p>
        </w:tc>
      </w:tr>
      <w:tr w:rsidR="00327340" w:rsidRPr="001C7F25" w14:paraId="156E4723" w14:textId="77777777" w:rsidTr="00A9627E">
        <w:tc>
          <w:tcPr>
            <w:tcW w:w="1893" w:type="pct"/>
            <w:shd w:val="clear" w:color="auto" w:fill="auto"/>
            <w:vAlign w:val="bottom"/>
          </w:tcPr>
          <w:p w14:paraId="4CB84B2E"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DC to HCC</w:t>
            </w:r>
          </w:p>
        </w:tc>
        <w:tc>
          <w:tcPr>
            <w:tcW w:w="898" w:type="pct"/>
            <w:shd w:val="clear" w:color="auto" w:fill="auto"/>
          </w:tcPr>
          <w:p w14:paraId="5528F78E"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0.014</w:t>
            </w:r>
          </w:p>
        </w:tc>
        <w:tc>
          <w:tcPr>
            <w:tcW w:w="1363" w:type="pct"/>
            <w:shd w:val="clear" w:color="auto" w:fill="auto"/>
          </w:tcPr>
          <w:p w14:paraId="1FADE63E"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Beta(α=1.9326, β=136.1074)</w:t>
            </w:r>
          </w:p>
        </w:tc>
        <w:tc>
          <w:tcPr>
            <w:tcW w:w="846" w:type="pct"/>
            <w:shd w:val="clear" w:color="auto" w:fill="auto"/>
            <w:vAlign w:val="bottom"/>
          </w:tcPr>
          <w:p w14:paraId="6D66A253" w14:textId="0D0F37B6"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2EBE6246" w14:textId="77777777" w:rsidTr="00A9627E">
        <w:tc>
          <w:tcPr>
            <w:tcW w:w="1893" w:type="pct"/>
            <w:shd w:val="clear" w:color="auto" w:fill="auto"/>
            <w:vAlign w:val="bottom"/>
          </w:tcPr>
          <w:p w14:paraId="42ABBC4B"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DC to liver transplant (LT)</w:t>
            </w:r>
          </w:p>
        </w:tc>
        <w:tc>
          <w:tcPr>
            <w:tcW w:w="898" w:type="pct"/>
            <w:shd w:val="clear" w:color="auto" w:fill="auto"/>
          </w:tcPr>
          <w:p w14:paraId="51635406"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0.03</w:t>
            </w:r>
          </w:p>
        </w:tc>
        <w:tc>
          <w:tcPr>
            <w:tcW w:w="1363" w:type="pct"/>
            <w:shd w:val="clear" w:color="auto" w:fill="auto"/>
          </w:tcPr>
          <w:p w14:paraId="6A9B4EA8"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Beta(α=6.5256, β=210.9945)</w:t>
            </w:r>
          </w:p>
        </w:tc>
        <w:tc>
          <w:tcPr>
            <w:tcW w:w="846" w:type="pct"/>
            <w:shd w:val="clear" w:color="auto" w:fill="auto"/>
            <w:vAlign w:val="bottom"/>
          </w:tcPr>
          <w:p w14:paraId="6325731F" w14:textId="2821E2CB"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74DC37E5" w14:textId="77777777" w:rsidTr="00A9627E">
        <w:tc>
          <w:tcPr>
            <w:tcW w:w="1893" w:type="pct"/>
            <w:shd w:val="clear" w:color="auto" w:fill="auto"/>
            <w:vAlign w:val="bottom"/>
          </w:tcPr>
          <w:p w14:paraId="58CCF47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DC to death</w:t>
            </w:r>
          </w:p>
        </w:tc>
        <w:tc>
          <w:tcPr>
            <w:tcW w:w="898" w:type="pct"/>
            <w:shd w:val="clear" w:color="auto" w:fill="auto"/>
          </w:tcPr>
          <w:p w14:paraId="49CC502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0.13</w:t>
            </w:r>
          </w:p>
        </w:tc>
        <w:tc>
          <w:tcPr>
            <w:tcW w:w="1363" w:type="pct"/>
            <w:shd w:val="clear" w:color="auto" w:fill="auto"/>
          </w:tcPr>
          <w:p w14:paraId="3E2CB659"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Beta(α=147.03, β=983.97)</w:t>
            </w:r>
          </w:p>
        </w:tc>
        <w:tc>
          <w:tcPr>
            <w:tcW w:w="846" w:type="pct"/>
            <w:shd w:val="clear" w:color="auto" w:fill="auto"/>
            <w:vAlign w:val="bottom"/>
          </w:tcPr>
          <w:p w14:paraId="545C52AA" w14:textId="562986B6"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715FC403" w14:textId="77777777" w:rsidTr="00A9627E">
        <w:tc>
          <w:tcPr>
            <w:tcW w:w="1893" w:type="pct"/>
            <w:shd w:val="clear" w:color="auto" w:fill="auto"/>
            <w:vAlign w:val="bottom"/>
          </w:tcPr>
          <w:p w14:paraId="3F593ADC"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 xml:space="preserve">HCC to LT </w:t>
            </w:r>
          </w:p>
        </w:tc>
        <w:tc>
          <w:tcPr>
            <w:tcW w:w="898" w:type="pct"/>
            <w:shd w:val="clear" w:color="auto" w:fill="auto"/>
          </w:tcPr>
          <w:p w14:paraId="5D33EEB3"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0.03</w:t>
            </w:r>
          </w:p>
        </w:tc>
        <w:tc>
          <w:tcPr>
            <w:tcW w:w="1363" w:type="pct"/>
            <w:shd w:val="clear" w:color="auto" w:fill="auto"/>
          </w:tcPr>
          <w:p w14:paraId="2C592EA2"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Beta(α=6.5256, β=210.9945)</w:t>
            </w:r>
          </w:p>
        </w:tc>
        <w:tc>
          <w:tcPr>
            <w:tcW w:w="846" w:type="pct"/>
            <w:shd w:val="clear" w:color="auto" w:fill="auto"/>
            <w:vAlign w:val="bottom"/>
          </w:tcPr>
          <w:p w14:paraId="745EBC03" w14:textId="62E1C479"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18A00FC9" w14:textId="77777777" w:rsidTr="00A9627E">
        <w:tc>
          <w:tcPr>
            <w:tcW w:w="1893" w:type="pct"/>
            <w:shd w:val="clear" w:color="auto" w:fill="auto"/>
            <w:vAlign w:val="bottom"/>
          </w:tcPr>
          <w:p w14:paraId="01EF89E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HCC to death</w:t>
            </w:r>
          </w:p>
        </w:tc>
        <w:tc>
          <w:tcPr>
            <w:tcW w:w="898" w:type="pct"/>
            <w:shd w:val="clear" w:color="auto" w:fill="auto"/>
          </w:tcPr>
          <w:p w14:paraId="5D8AECB0"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0.43</w:t>
            </w:r>
          </w:p>
        </w:tc>
        <w:tc>
          <w:tcPr>
            <w:tcW w:w="1363" w:type="pct"/>
            <w:shd w:val="clear" w:color="auto" w:fill="auto"/>
          </w:tcPr>
          <w:p w14:paraId="35A7007F"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Beta(α=117.1033, β=155.23)</w:t>
            </w:r>
          </w:p>
        </w:tc>
        <w:tc>
          <w:tcPr>
            <w:tcW w:w="846" w:type="pct"/>
            <w:shd w:val="clear" w:color="auto" w:fill="auto"/>
            <w:vAlign w:val="bottom"/>
          </w:tcPr>
          <w:p w14:paraId="62CAC979" w14:textId="520AF97E"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109EC728" w14:textId="77777777" w:rsidTr="00A9627E">
        <w:tc>
          <w:tcPr>
            <w:tcW w:w="1893" w:type="pct"/>
            <w:shd w:val="clear" w:color="auto" w:fill="auto"/>
          </w:tcPr>
          <w:p w14:paraId="4F8A49EA"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Post LT (first year) to death</w:t>
            </w:r>
          </w:p>
        </w:tc>
        <w:tc>
          <w:tcPr>
            <w:tcW w:w="898" w:type="pct"/>
            <w:shd w:val="clear" w:color="auto" w:fill="auto"/>
          </w:tcPr>
          <w:p w14:paraId="0742832F"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0.21</w:t>
            </w:r>
          </w:p>
        </w:tc>
        <w:tc>
          <w:tcPr>
            <w:tcW w:w="1363" w:type="pct"/>
            <w:shd w:val="clear" w:color="auto" w:fill="auto"/>
          </w:tcPr>
          <w:p w14:paraId="1DAF482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Beta(α=16.2762, β=61.2294)</w:t>
            </w:r>
          </w:p>
        </w:tc>
        <w:tc>
          <w:tcPr>
            <w:tcW w:w="846" w:type="pct"/>
            <w:shd w:val="clear" w:color="auto" w:fill="auto"/>
            <w:vAlign w:val="bottom"/>
          </w:tcPr>
          <w:p w14:paraId="686F4B0B" w14:textId="18ADA559"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4445ABAF" w14:textId="77777777" w:rsidTr="00A9627E">
        <w:tc>
          <w:tcPr>
            <w:tcW w:w="1893" w:type="pct"/>
            <w:shd w:val="clear" w:color="auto" w:fill="auto"/>
          </w:tcPr>
          <w:p w14:paraId="364AFB0F"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Post LT (after first year) to death</w:t>
            </w:r>
          </w:p>
        </w:tc>
        <w:tc>
          <w:tcPr>
            <w:tcW w:w="898" w:type="pct"/>
            <w:shd w:val="clear" w:color="auto" w:fill="auto"/>
          </w:tcPr>
          <w:p w14:paraId="758E4AC2"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0.057</w:t>
            </w:r>
          </w:p>
        </w:tc>
        <w:tc>
          <w:tcPr>
            <w:tcW w:w="1363" w:type="pct"/>
            <w:shd w:val="clear" w:color="auto" w:fill="auto"/>
          </w:tcPr>
          <w:p w14:paraId="6ED6EC49"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Beta(α=2.902, β=378.8825)</w:t>
            </w:r>
          </w:p>
        </w:tc>
        <w:tc>
          <w:tcPr>
            <w:tcW w:w="846" w:type="pct"/>
            <w:shd w:val="clear" w:color="auto" w:fill="auto"/>
          </w:tcPr>
          <w:p w14:paraId="46339771" w14:textId="0D4A1908"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327340" w:rsidRPr="001C7F25" w14:paraId="68B34D5A" w14:textId="77777777" w:rsidTr="0013430E">
        <w:tc>
          <w:tcPr>
            <w:tcW w:w="1893" w:type="pct"/>
            <w:shd w:val="clear" w:color="auto" w:fill="D9D9D9" w:themeFill="background1" w:themeFillShade="D9"/>
          </w:tcPr>
          <w:p w14:paraId="3FD8260D" w14:textId="77777777" w:rsidR="00327340" w:rsidRPr="001C7F25" w:rsidRDefault="00327340" w:rsidP="00A9627E">
            <w:pPr>
              <w:spacing w:line="360" w:lineRule="auto"/>
              <w:rPr>
                <w:rFonts w:ascii="Times New Roman" w:hAnsi="Times New Roman" w:cs="Times New Roman"/>
                <w:b/>
                <w:i/>
                <w:sz w:val="18"/>
                <w:szCs w:val="18"/>
              </w:rPr>
            </w:pPr>
            <w:r w:rsidRPr="001C7F25">
              <w:rPr>
                <w:rFonts w:ascii="Times New Roman" w:hAnsi="Times New Roman" w:cs="Times New Roman"/>
                <w:b/>
                <w:i/>
                <w:sz w:val="18"/>
                <w:szCs w:val="18"/>
              </w:rPr>
              <w:t>SVR related probabilities (post-DAA)</w:t>
            </w:r>
          </w:p>
        </w:tc>
        <w:tc>
          <w:tcPr>
            <w:tcW w:w="898" w:type="pct"/>
            <w:shd w:val="clear" w:color="auto" w:fill="D9D9D9" w:themeFill="background1" w:themeFillShade="D9"/>
          </w:tcPr>
          <w:p w14:paraId="62389384" w14:textId="77777777" w:rsidR="00327340" w:rsidRPr="001C7F25" w:rsidRDefault="00327340" w:rsidP="00A9627E">
            <w:pPr>
              <w:spacing w:line="360" w:lineRule="auto"/>
              <w:rPr>
                <w:rFonts w:ascii="Times New Roman" w:hAnsi="Times New Roman" w:cs="Times New Roman"/>
                <w:b/>
                <w:sz w:val="18"/>
                <w:szCs w:val="18"/>
              </w:rPr>
            </w:pPr>
          </w:p>
        </w:tc>
        <w:tc>
          <w:tcPr>
            <w:tcW w:w="1363" w:type="pct"/>
            <w:shd w:val="clear" w:color="auto" w:fill="D9D9D9" w:themeFill="background1" w:themeFillShade="D9"/>
            <w:vAlign w:val="bottom"/>
          </w:tcPr>
          <w:p w14:paraId="2F802424" w14:textId="77777777" w:rsidR="00327340" w:rsidRPr="001C7F25" w:rsidRDefault="00327340" w:rsidP="00A9627E">
            <w:pPr>
              <w:spacing w:line="360" w:lineRule="auto"/>
              <w:rPr>
                <w:rFonts w:ascii="Times New Roman" w:hAnsi="Times New Roman" w:cs="Times New Roman"/>
                <w:b/>
                <w:sz w:val="18"/>
                <w:szCs w:val="18"/>
              </w:rPr>
            </w:pPr>
          </w:p>
        </w:tc>
        <w:tc>
          <w:tcPr>
            <w:tcW w:w="846" w:type="pct"/>
            <w:shd w:val="clear" w:color="auto" w:fill="D9D9D9" w:themeFill="background1" w:themeFillShade="D9"/>
          </w:tcPr>
          <w:p w14:paraId="61F75636" w14:textId="77777777" w:rsidR="00327340" w:rsidRPr="001C7F25" w:rsidRDefault="00327340" w:rsidP="00A9627E">
            <w:pPr>
              <w:spacing w:line="360" w:lineRule="auto"/>
              <w:rPr>
                <w:rFonts w:ascii="Times New Roman" w:hAnsi="Times New Roman" w:cs="Times New Roman"/>
                <w:b/>
                <w:sz w:val="18"/>
                <w:szCs w:val="18"/>
              </w:rPr>
            </w:pPr>
          </w:p>
        </w:tc>
      </w:tr>
      <w:tr w:rsidR="00327340" w:rsidRPr="001C7F25" w14:paraId="300117FE" w14:textId="77777777" w:rsidTr="00A9627E">
        <w:tc>
          <w:tcPr>
            <w:tcW w:w="1893" w:type="pct"/>
            <w:shd w:val="clear" w:color="auto" w:fill="auto"/>
          </w:tcPr>
          <w:p w14:paraId="41AB5993"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Mild / moderate</w:t>
            </w:r>
          </w:p>
        </w:tc>
        <w:tc>
          <w:tcPr>
            <w:tcW w:w="898" w:type="pct"/>
            <w:shd w:val="clear" w:color="auto" w:fill="auto"/>
          </w:tcPr>
          <w:p w14:paraId="65983B1C"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0.928</w:t>
            </w:r>
          </w:p>
        </w:tc>
        <w:tc>
          <w:tcPr>
            <w:tcW w:w="1363" w:type="pct"/>
            <w:shd w:val="clear" w:color="auto" w:fill="auto"/>
          </w:tcPr>
          <w:p w14:paraId="1C2091CB"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Beta(α=376, β=29)</w:t>
            </w:r>
          </w:p>
        </w:tc>
        <w:tc>
          <w:tcPr>
            <w:tcW w:w="846" w:type="pct"/>
            <w:shd w:val="clear" w:color="auto" w:fill="auto"/>
          </w:tcPr>
          <w:p w14:paraId="2885CC73" w14:textId="3FD72A48"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ExcludeYear="1"&gt;&lt;Author&gt;Irving WL&lt;/Author&gt;&lt;Year&gt;2017&lt;/Year&gt;&lt;RecNum&gt;48&lt;/RecNum&gt;&lt;DisplayText&gt;[21]&lt;/DisplayText&gt;&lt;record&gt;&lt;rec-number&gt;48&lt;/rec-number&gt;&lt;foreign-keys&gt;&lt;key app="EN" db-id="tp0rz5a2v2s0v3edrfmpd2pftv2rfwre59az" timestamp="1543866354"&gt;48&lt;/key&gt;&lt;/foreign-keys&gt;&lt;ref-type name="Journal Article"&gt;17&lt;/ref-type&gt;&lt;contributors&gt;&lt;authors&gt;&lt;author&gt;Irving WL,&lt;/author&gt;&lt;author&gt;McLauchlan J,&lt;/author&gt;&lt;author&gt;Foster, G,&lt;/author&gt;&lt;/authors&gt;&lt;/contributors&gt;&lt;titles&gt;&lt;title&gt;Real world outcomes of DAA therapy for chronic hepatitis C virus infection in the HCV Research UK National cohort&lt;/title&gt;&lt;secondary-title&gt;J Hepatol&lt;/secondary-title&gt;&lt;/titles&gt;&lt;periodical&gt;&lt;full-title&gt;J Hepatol&lt;/full-title&gt;&lt;/periodical&gt;&lt;pages&gt;S504&lt;/pages&gt;&lt;volume&gt;66&lt;/volume&gt;&lt;number&gt;1&lt;/number&gt;&lt;dates&gt;&lt;year&gt;2017&lt;/year&gt;&lt;/dates&gt;&lt;publisher&gt;Elsevier&lt;/publisher&gt;&lt;isbn&gt;0168-8278&lt;/isbn&gt;&lt;urls&gt;&lt;related-urls&gt;&lt;url&gt;&lt;style face="underline" font="default" size="100%"&gt;http://dx.doi.org/10.1016/S0168-8278(17)31408-3&lt;/style&gt;&lt;/url&gt;&lt;/related-urls&gt;&lt;/urls&gt;&lt;electronic-resource-num&gt;10.1016/S0168-8278(17)31408-3&lt;/electronic-resource-num&gt;&lt;access-date&gt;2017/12/05&lt;/access-date&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[21]</w:t>
            </w:r>
            <w:r w:rsidRPr="001C7F25">
              <w:rPr>
                <w:rFonts w:ascii="Times New Roman" w:hAnsi="Times New Roman" w:cs="Times New Roman"/>
                <w:sz w:val="18"/>
                <w:szCs w:val="18"/>
              </w:rPr>
              <w:fldChar w:fldCharType="end"/>
            </w:r>
          </w:p>
        </w:tc>
      </w:tr>
      <w:tr w:rsidR="00327340" w:rsidRPr="001C7F25" w14:paraId="4DAD8A46" w14:textId="77777777" w:rsidTr="00A9627E">
        <w:tc>
          <w:tcPr>
            <w:tcW w:w="1893" w:type="pct"/>
            <w:shd w:val="clear" w:color="auto" w:fill="auto"/>
          </w:tcPr>
          <w:p w14:paraId="3502384D"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 xml:space="preserve">CC </w:t>
            </w:r>
          </w:p>
        </w:tc>
        <w:tc>
          <w:tcPr>
            <w:tcW w:w="898" w:type="pct"/>
            <w:shd w:val="clear" w:color="auto" w:fill="auto"/>
          </w:tcPr>
          <w:p w14:paraId="3136B153"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0.908</w:t>
            </w:r>
          </w:p>
        </w:tc>
        <w:tc>
          <w:tcPr>
            <w:tcW w:w="1363" w:type="pct"/>
            <w:shd w:val="clear" w:color="auto" w:fill="auto"/>
          </w:tcPr>
          <w:p w14:paraId="1A3D7E58"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Beta(α=736, β=75)</w:t>
            </w:r>
          </w:p>
        </w:tc>
        <w:tc>
          <w:tcPr>
            <w:tcW w:w="846" w:type="pct"/>
            <w:shd w:val="clear" w:color="auto" w:fill="auto"/>
          </w:tcPr>
          <w:p w14:paraId="4424AA7E" w14:textId="269E94F2"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ExcludeYear="1"&gt;&lt;Author&gt;Irving WL&lt;/Author&gt;&lt;Year&gt;2017&lt;/Year&gt;&lt;RecNum&gt;48&lt;/RecNum&gt;&lt;DisplayText&gt;[21]&lt;/DisplayText&gt;&lt;record&gt;&lt;rec-number&gt;48&lt;/rec-number&gt;&lt;foreign-keys&gt;&lt;key app="EN" db-id="tp0rz5a2v2s0v3edrfmpd2pftv2rfwre59az" timestamp="1543866354"&gt;48&lt;/key&gt;&lt;/foreign-keys&gt;&lt;ref-type name="Journal Article"&gt;17&lt;/ref-type&gt;&lt;contributors&gt;&lt;authors&gt;&lt;author&gt;Irving WL,&lt;/author&gt;&lt;author&gt;McLauchlan J,&lt;/author&gt;&lt;author&gt;Foster, G,&lt;/author&gt;&lt;/authors&gt;&lt;/contributors&gt;&lt;titles&gt;&lt;title&gt;Real world outcomes of DAA therapy for chronic hepatitis C virus infection in the HCV Research UK National cohort&lt;/title&gt;&lt;secondary-title&gt;J Hepatol&lt;/secondary-title&gt;&lt;/titles&gt;&lt;periodical&gt;&lt;full-title&gt;J Hepatol&lt;/full-title&gt;&lt;/periodical&gt;&lt;pages&gt;S504&lt;/pages&gt;&lt;volume&gt;66&lt;/volume&gt;&lt;number&gt;1&lt;/number&gt;&lt;dates&gt;&lt;year&gt;2017&lt;/year&gt;&lt;/dates&gt;&lt;publisher&gt;Elsevier&lt;/publisher&gt;&lt;isbn&gt;0168-8278&lt;/isbn&gt;&lt;urls&gt;&lt;related-urls&gt;&lt;url&gt;&lt;style face="underline" font="default" size="100%"&gt;http://dx.doi.org/10.1016/S0168-8278(17)31408-3&lt;/style&gt;&lt;/url&gt;&lt;/related-urls&gt;&lt;/urls&gt;&lt;electronic-resource-num&gt;10.1016/S0168-8278(17)31408-3&lt;/electronic-resource-num&gt;&lt;access-date&gt;2017/12/05&lt;/access-date&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[21]</w:t>
            </w:r>
            <w:r w:rsidRPr="001C7F25">
              <w:rPr>
                <w:rFonts w:ascii="Times New Roman" w:hAnsi="Times New Roman" w:cs="Times New Roman"/>
                <w:sz w:val="18"/>
                <w:szCs w:val="18"/>
              </w:rPr>
              <w:fldChar w:fldCharType="end"/>
            </w:r>
          </w:p>
        </w:tc>
      </w:tr>
      <w:tr w:rsidR="00327340" w:rsidRPr="001C7F25" w14:paraId="3873967D" w14:textId="77777777" w:rsidTr="00A9627E">
        <w:tc>
          <w:tcPr>
            <w:tcW w:w="1893" w:type="pct"/>
            <w:shd w:val="clear" w:color="auto" w:fill="auto"/>
          </w:tcPr>
          <w:p w14:paraId="159E8BDB"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Mild / moderate (retreatment)</w:t>
            </w:r>
          </w:p>
        </w:tc>
        <w:tc>
          <w:tcPr>
            <w:tcW w:w="898" w:type="pct"/>
            <w:shd w:val="clear" w:color="auto" w:fill="auto"/>
          </w:tcPr>
          <w:p w14:paraId="7E67FDA9"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0.953</w:t>
            </w:r>
          </w:p>
        </w:tc>
        <w:tc>
          <w:tcPr>
            <w:tcW w:w="1363" w:type="pct"/>
            <w:shd w:val="clear" w:color="auto" w:fill="auto"/>
          </w:tcPr>
          <w:p w14:paraId="767B49EE"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Beta(α=82, β=4)</w:t>
            </w:r>
          </w:p>
        </w:tc>
        <w:tc>
          <w:tcPr>
            <w:tcW w:w="846" w:type="pct"/>
            <w:shd w:val="clear" w:color="auto" w:fill="auto"/>
          </w:tcPr>
          <w:p w14:paraId="72D0344E" w14:textId="6C42C97E"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fldData xml:space="preserve">PEVuZE5vdGU+PENpdGUgRXhjbHVkZVllYXI9IjEiPjxBdXRob3I+U21pdGg8L0F1dGhvcj48WWVh
cj4yMDIxPC9ZZWFyPjxSZWNOdW0+MTA5PC9SZWNOdW0+PERpc3BsYXlUZXh0PlsyMl08L0Rpc3Bs
YXlUZXh0PjxyZWNvcmQ+PHJlYy1udW1iZXI+MTA5PC9yZWMtbnVtYmVyPjxmb3JlaWduLWtleXM+
PGtleSBhcHA9IkVOIiBkYi1pZD0idHAwcno1YTJ2MnMwdjNlZHJmbXBkMnBmdHYycmZ3cmU1OWF6
IiB0aW1lc3RhbXA9IjE2Mjk4MTAwMTIiPjEwOTwva2V5PjwvZm9yZWlnbi1rZXlzPjxyZWYtdHlw
ZSBuYW1lPSJKb3VybmFsIEFydGljbGUiPjE3PC9yZWYtdHlwZT48Y29udHJpYnV0b3JzPjxhdXRo
b3JzPjxhdXRob3I+U21pdGgsIEQuIEEuPC9hdXRob3I+PGF1dGhvcj5CcmFkc2hhdywgRC48L2F1
dGhvcj48YXV0aG9yPk1iaXNhLCBKLiBMLjwvYXV0aG9yPjxhdXRob3I+TWFuc28sIEMuIEYuPC9h
dXRob3I+PGF1dGhvcj5CaWJieSwgRC4gRi48L2F1dGhvcj48YXV0aG9yPlNpbmdlciwgSi4gQi48
L2F1dGhvcj48YXV0aG9yPlRob21zb24sIEUuIEMuPC9hdXRob3I+PGF1dGhvcj5kYSBTaWx2YSBG
aWxpcGUsIEEuPC9hdXRob3I+PGF1dGhvcj5BcmFuZGF5LUNvcnRlcywgRS48L2F1dGhvcj48YXV0
aG9yPkFuc2FyaSwgTS4gQS48L2F1dGhvcj48YXV0aG9yPkJyb3duLCBBLjwvYXV0aG9yPjxhdXRo
b3I+SHVkc29uLCBFLjwvYXV0aG9yPjxhdXRob3I+QmVuc2VsaW4sIEouPC9hdXRob3I+PGF1dGhv
cj5IZWFseSwgQi48L2F1dGhvcj48YXV0aG9yPlRyb2tlLCBQLjwvYXV0aG9yPjxhdXRob3I+TWNM
YXVjaGxhbiwgSi48L2F1dGhvcj48YXV0aG9yPkJhcm5lcywgRS48L2F1dGhvcj48YXV0aG9yPkly
dmluZywgVy4gTC48L2F1dGhvcj48L2F1dGhvcnM+PC9jb250cmlidXRvcnM+PGF1dGgtYWRkcmVz
cz5OdWZmaWVsZCBEZXBhcnRtZW50IG9mIE1lZGljaW5lLCBQZXRlciBNZWRhd2FyIEJ1aWxkaW5n
IGZvciBQYXRob2dlbiBSZXNlYXJjaCwgVW5pdmVyc2l0eSBvZiBPeGZvcmQsIE94Zm9yZCwgVUsu
JiN4RDtOSUhSIE94Zm9yZCBCaW9tZWRpY2FsIFJlc2VhcmNoIENlbnRyZSwgT3hmb3JkLCBVSy4m
I3hEO05hdGlvbmFsIEluZmVjdGlvbiBTZXJ2aWNlLCBQdWJsaWMgSGVhbHRoIEVuZ2xhbmQsIExv
bmRvbiwgVUsuJiN4RDtNUkMtVW5pdmVyc2l0eSBvZiBHbGFzZ293IENlbnRyZSBmb3IgVmlydXMg
UmVzZWFyY2gsIEdsYXNnb3csIFVLLiYjeEQ7TklIUiBCaW9tZWRpY2FsIFJlc2VhcmNoIENlbnRy
ZSAoQlJDKSwgTm90dGluZ2hhbSBVbml2ZXJzaXR5IEhvc3BpdGFscyBOSFMgVHJ1c3QgYW5kIHRo
ZSBVbml2ZXJzaXR5IG9mIE5vdHRpbmdoYW0sIE5vdHRpbmdoYW0sIFVLLiYjeEQ7UHVibGljIEhl
YWx0aCBXYWxlcyBNaWNyb2Jpb2xvZ3kgQ2FyZGlmZiwgVW5pdmVyc2l0eSBIb3NwaXRhbCBvZiBX
YWxlcywgQ2FyZGlmZiwgVUsuJiN4RDtHaWxlYWQgU2NpZW5jZXMgTHRkLCBMb25kb24sIFVLLjwv
YXV0aC1hZGRyZXNzPjx0aXRsZXM+PHRpdGxlPlJlYWwgd29ybGQgU09GL1ZFTC9WT1ggcmV0cmVh
dG1lbnQgb3V0Y29tZXMgYW5kIHZpcmFsIHJlc2lzdGFuY2UgYW5hbHlzaXMgZm9yIEhDViBwYXRp
ZW50cyB3aXRoIHByaW9yIGZhaWx1cmUgdG8gREFBIHRoZXJhcHk8L3RpdGxlPjxzZWNvbmRhcnkt
dGl0bGU+SiBWaXJhbCBIZXBhdDwvc2Vjb25kYXJ5LXRpdGxlPjwvdGl0bGVzPjxwZXJpb2RpY2Fs
PjxmdWxsLXRpdGxlPkogVmlyYWwgSGVwYXQ8L2Z1bGwtdGl0bGU+PC9wZXJpb2RpY2FsPjxwYWdl
cz4xMjU2LTEyNjQ8L3BhZ2VzPjx2b2x1bWU+Mjg8L3ZvbHVtZT48bnVtYmVyPjk8L251bWJlcj48
ZWRpdGlvbj4yMDIxLzA1LzE5PC9lZGl0aW9uPjxrZXl3b3Jkcz48a2V5d29yZD5kaXJlY3QtYWN0
aW5nIGFudGl2aXJhbHM8L2tleXdvcmQ+PGtleXdvcmQ+aGVwYXRpdGlzIEMgdmlydXM8L2tleXdv
cmQ+PGtleXdvcmQ+cmVzaXN0YW5jZS1hc3NvY2lhdGVkIHN1YnN0aXR1dGlvbnM8L2tleXdvcmQ+
PGtleXdvcmQ+cmV0cmVhdG1lbnQ8L2tleXdvcmQ+PC9rZXl3b3Jkcz48ZGF0ZXM+PHllYXI+MjAy
MTwveWVhcj48cHViLWRhdGVzPjxkYXRlPlNlcDwvZGF0ZT48L3B1Yi1kYXRlcz48L2RhdGVzPjxp
c2JuPjEzNTItMDUwNDwvaXNibj48YWNjZXNzaW9uLW51bT4zNDAwMzU1NjwvYWNjZXNzaW9uLW51
bT48dXJscz48L3VybHM+PGVsZWN0cm9uaWMtcmVzb3VyY2UtbnVtPjEwLjExMTEvanZoLjEzNTQ5
PC9lbGVjdHJvbmljLXJlc291cmNlLW51bT48cmVtb3RlLWRhdGFiYXNlLXByb3ZpZGVyPk5MTTwv
cmVtb3RlLWRhdGFiYXNlLXByb3ZpZGVyPjxsYW5ndWFnZT5lbmc8L2xhbmd1YWdlPjwvcmVjb3Jk
PjwvQ2l0ZT48L0VuZE5vdGU+AG==
</w:fldData>
              </w:fldChar>
            </w:r>
            <w:r w:rsidR="00C948F6">
              <w:rPr>
                <w:rFonts w:ascii="Times New Roman" w:hAnsi="Times New Roman" w:cs="Times New Roman"/>
                <w:sz w:val="18"/>
                <w:szCs w:val="18"/>
              </w:rPr>
              <w:instrText xml:space="preserve"> ADDIN EN.CITE </w:instrText>
            </w:r>
            <w:r w:rsidR="00C948F6">
              <w:rPr>
                <w:rFonts w:ascii="Times New Roman" w:hAnsi="Times New Roman" w:cs="Times New Roman"/>
                <w:sz w:val="18"/>
                <w:szCs w:val="18"/>
              </w:rPr>
              <w:fldChar w:fldCharType="begin">
                <w:fldData xml:space="preserve">PEVuZE5vdGU+PENpdGUgRXhjbHVkZVllYXI9IjEiPjxBdXRob3I+U21pdGg8L0F1dGhvcj48WWVh
cj4yMDIxPC9ZZWFyPjxSZWNOdW0+MTA5PC9SZWNOdW0+PERpc3BsYXlUZXh0PlsyMl08L0Rpc3Bs
YXlUZXh0PjxyZWNvcmQ+PHJlYy1udW1iZXI+MTA5PC9yZWMtbnVtYmVyPjxmb3JlaWduLWtleXM+
PGtleSBhcHA9IkVOIiBkYi1pZD0idHAwcno1YTJ2MnMwdjNlZHJmbXBkMnBmdHYycmZ3cmU1OWF6
IiB0aW1lc3RhbXA9IjE2Mjk4MTAwMTIiPjEwOTwva2V5PjwvZm9yZWlnbi1rZXlzPjxyZWYtdHlw
ZSBuYW1lPSJKb3VybmFsIEFydGljbGUiPjE3PC9yZWYtdHlwZT48Y29udHJpYnV0b3JzPjxhdXRo
b3JzPjxhdXRob3I+U21pdGgsIEQuIEEuPC9hdXRob3I+PGF1dGhvcj5CcmFkc2hhdywgRC48L2F1
dGhvcj48YXV0aG9yPk1iaXNhLCBKLiBMLjwvYXV0aG9yPjxhdXRob3I+TWFuc28sIEMuIEYuPC9h
dXRob3I+PGF1dGhvcj5CaWJieSwgRC4gRi48L2F1dGhvcj48YXV0aG9yPlNpbmdlciwgSi4gQi48
L2F1dGhvcj48YXV0aG9yPlRob21zb24sIEUuIEMuPC9hdXRob3I+PGF1dGhvcj5kYSBTaWx2YSBG
aWxpcGUsIEEuPC9hdXRob3I+PGF1dGhvcj5BcmFuZGF5LUNvcnRlcywgRS48L2F1dGhvcj48YXV0
aG9yPkFuc2FyaSwgTS4gQS48L2F1dGhvcj48YXV0aG9yPkJyb3duLCBBLjwvYXV0aG9yPjxhdXRo
b3I+SHVkc29uLCBFLjwvYXV0aG9yPjxhdXRob3I+QmVuc2VsaW4sIEouPC9hdXRob3I+PGF1dGhv
cj5IZWFseSwgQi48L2F1dGhvcj48YXV0aG9yPlRyb2tlLCBQLjwvYXV0aG9yPjxhdXRob3I+TWNM
YXVjaGxhbiwgSi48L2F1dGhvcj48YXV0aG9yPkJhcm5lcywgRS48L2F1dGhvcj48YXV0aG9yPkly
dmluZywgVy4gTC48L2F1dGhvcj48L2F1dGhvcnM+PC9jb250cmlidXRvcnM+PGF1dGgtYWRkcmVz
cz5OdWZmaWVsZCBEZXBhcnRtZW50IG9mIE1lZGljaW5lLCBQZXRlciBNZWRhd2FyIEJ1aWxkaW5n
IGZvciBQYXRob2dlbiBSZXNlYXJjaCwgVW5pdmVyc2l0eSBvZiBPeGZvcmQsIE94Zm9yZCwgVUsu
JiN4RDtOSUhSIE94Zm9yZCBCaW9tZWRpY2FsIFJlc2VhcmNoIENlbnRyZSwgT3hmb3JkLCBVSy4m
I3hEO05hdGlvbmFsIEluZmVjdGlvbiBTZXJ2aWNlLCBQdWJsaWMgSGVhbHRoIEVuZ2xhbmQsIExv
bmRvbiwgVUsuJiN4RDtNUkMtVW5pdmVyc2l0eSBvZiBHbGFzZ293IENlbnRyZSBmb3IgVmlydXMg
UmVzZWFyY2gsIEdsYXNnb3csIFVLLiYjeEQ7TklIUiBCaW9tZWRpY2FsIFJlc2VhcmNoIENlbnRy
ZSAoQlJDKSwgTm90dGluZ2hhbSBVbml2ZXJzaXR5IEhvc3BpdGFscyBOSFMgVHJ1c3QgYW5kIHRo
ZSBVbml2ZXJzaXR5IG9mIE5vdHRpbmdoYW0sIE5vdHRpbmdoYW0sIFVLLiYjeEQ7UHVibGljIEhl
YWx0aCBXYWxlcyBNaWNyb2Jpb2xvZ3kgQ2FyZGlmZiwgVW5pdmVyc2l0eSBIb3NwaXRhbCBvZiBX
YWxlcywgQ2FyZGlmZiwgVUsuJiN4RDtHaWxlYWQgU2NpZW5jZXMgTHRkLCBMb25kb24sIFVLLjwv
YXV0aC1hZGRyZXNzPjx0aXRsZXM+PHRpdGxlPlJlYWwgd29ybGQgU09GL1ZFTC9WT1ggcmV0cmVh
dG1lbnQgb3V0Y29tZXMgYW5kIHZpcmFsIHJlc2lzdGFuY2UgYW5hbHlzaXMgZm9yIEhDViBwYXRp
ZW50cyB3aXRoIHByaW9yIGZhaWx1cmUgdG8gREFBIHRoZXJhcHk8L3RpdGxlPjxzZWNvbmRhcnkt
dGl0bGU+SiBWaXJhbCBIZXBhdDwvc2Vjb25kYXJ5LXRpdGxlPjwvdGl0bGVzPjxwZXJpb2RpY2Fs
PjxmdWxsLXRpdGxlPkogVmlyYWwgSGVwYXQ8L2Z1bGwtdGl0bGU+PC9wZXJpb2RpY2FsPjxwYWdl
cz4xMjU2LTEyNjQ8L3BhZ2VzPjx2b2x1bWU+Mjg8L3ZvbHVtZT48bnVtYmVyPjk8L251bWJlcj48
ZWRpdGlvbj4yMDIxLzA1LzE5PC9lZGl0aW9uPjxrZXl3b3Jkcz48a2V5d29yZD5kaXJlY3QtYWN0
aW5nIGFudGl2aXJhbHM8L2tleXdvcmQ+PGtleXdvcmQ+aGVwYXRpdGlzIEMgdmlydXM8L2tleXdv
cmQ+PGtleXdvcmQ+cmVzaXN0YW5jZS1hc3NvY2lhdGVkIHN1YnN0aXR1dGlvbnM8L2tleXdvcmQ+
PGtleXdvcmQ+cmV0cmVhdG1lbnQ8L2tleXdvcmQ+PC9rZXl3b3Jkcz48ZGF0ZXM+PHllYXI+MjAy
MTwveWVhcj48cHViLWRhdGVzPjxkYXRlPlNlcDwvZGF0ZT48L3B1Yi1kYXRlcz48L2RhdGVzPjxp
c2JuPjEzNTItMDUwNDwvaXNibj48YWNjZXNzaW9uLW51bT4zNDAwMzU1NjwvYWNjZXNzaW9uLW51
bT48dXJscz48L3VybHM+PGVsZWN0cm9uaWMtcmVzb3VyY2UtbnVtPjEwLjExMTEvanZoLjEzNTQ5
PC9lbGVjdHJvbmljLXJlc291cmNlLW51bT48cmVtb3RlLWRhdGFiYXNlLXByb3ZpZGVyPk5MTTwv
cmVtb3RlLWRhdGFiYXNlLXByb3ZpZGVyPjxsYW5ndWFnZT5lbmc8L2xhbmd1YWdlPjwvcmVjb3Jk
PjwvQ2l0ZT48L0VuZE5vdGU+AG==
</w:fldData>
              </w:fldChar>
            </w:r>
            <w:r w:rsidR="00C948F6">
              <w:rPr>
                <w:rFonts w:ascii="Times New Roman" w:hAnsi="Times New Roman" w:cs="Times New Roman"/>
                <w:sz w:val="18"/>
                <w:szCs w:val="18"/>
              </w:rPr>
              <w:instrText xml:space="preserve"> ADDIN EN.CITE.DATA </w:instrText>
            </w:r>
            <w:r w:rsidR="00C948F6">
              <w:rPr>
                <w:rFonts w:ascii="Times New Roman" w:hAnsi="Times New Roman" w:cs="Times New Roman"/>
                <w:sz w:val="18"/>
                <w:szCs w:val="18"/>
              </w:rPr>
            </w:r>
            <w:r w:rsidR="00C948F6">
              <w:rPr>
                <w:rFonts w:ascii="Times New Roman" w:hAnsi="Times New Roman" w:cs="Times New Roman"/>
                <w:sz w:val="18"/>
                <w:szCs w:val="18"/>
              </w:rPr>
              <w:fldChar w:fldCharType="end"/>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[22]</w:t>
            </w:r>
            <w:r w:rsidRPr="001C7F25">
              <w:rPr>
                <w:rFonts w:ascii="Times New Roman" w:hAnsi="Times New Roman" w:cs="Times New Roman"/>
                <w:sz w:val="18"/>
                <w:szCs w:val="18"/>
              </w:rPr>
              <w:fldChar w:fldCharType="end"/>
            </w:r>
          </w:p>
        </w:tc>
      </w:tr>
      <w:tr w:rsidR="00327340" w:rsidRPr="001C7F25" w14:paraId="624173B2" w14:textId="77777777" w:rsidTr="00A9627E">
        <w:trPr>
          <w:trHeight w:val="70"/>
        </w:trPr>
        <w:tc>
          <w:tcPr>
            <w:tcW w:w="1893" w:type="pct"/>
            <w:shd w:val="clear" w:color="auto" w:fill="auto"/>
          </w:tcPr>
          <w:p w14:paraId="45610084"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 xml:space="preserve">CC (retreatment) </w:t>
            </w:r>
          </w:p>
        </w:tc>
        <w:tc>
          <w:tcPr>
            <w:tcW w:w="898" w:type="pct"/>
            <w:shd w:val="clear" w:color="auto" w:fill="auto"/>
          </w:tcPr>
          <w:p w14:paraId="355DB041"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0.810</w:t>
            </w:r>
          </w:p>
        </w:tc>
        <w:tc>
          <w:tcPr>
            <w:tcW w:w="1363" w:type="pct"/>
            <w:shd w:val="clear" w:color="auto" w:fill="auto"/>
          </w:tcPr>
          <w:p w14:paraId="663F8175" w14:textId="77777777" w:rsidR="00327340" w:rsidRPr="001C7F25" w:rsidRDefault="00327340"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t>Beta(α=44, β=10)</w:t>
            </w:r>
          </w:p>
        </w:tc>
        <w:tc>
          <w:tcPr>
            <w:tcW w:w="846" w:type="pct"/>
            <w:shd w:val="clear" w:color="auto" w:fill="auto"/>
          </w:tcPr>
          <w:p w14:paraId="2D564929" w14:textId="12C3FBAD" w:rsidR="00327340" w:rsidRPr="001C7F25" w:rsidRDefault="0014537E" w:rsidP="00A9627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fldData xml:space="preserve">PEVuZE5vdGU+PENpdGUgRXhjbHVkZVllYXI9IjEiPjxBdXRob3I+U21pdGg8L0F1dGhvcj48WWVh
cj4yMDIxPC9ZZWFyPjxSZWNOdW0+MTA5PC9SZWNOdW0+PERpc3BsYXlUZXh0PlsyMl08L0Rpc3Bs
YXlUZXh0PjxyZWNvcmQ+PHJlYy1udW1iZXI+MTA5PC9yZWMtbnVtYmVyPjxmb3JlaWduLWtleXM+
PGtleSBhcHA9IkVOIiBkYi1pZD0idHAwcno1YTJ2MnMwdjNlZHJmbXBkMnBmdHYycmZ3cmU1OWF6
IiB0aW1lc3RhbXA9IjE2Mjk4MTAwMTIiPjEwOTwva2V5PjwvZm9yZWlnbi1rZXlzPjxyZWYtdHlw
ZSBuYW1lPSJKb3VybmFsIEFydGljbGUiPjE3PC9yZWYtdHlwZT48Y29udHJpYnV0b3JzPjxhdXRo
b3JzPjxhdXRob3I+U21pdGgsIEQuIEEuPC9hdXRob3I+PGF1dGhvcj5CcmFkc2hhdywgRC48L2F1
dGhvcj48YXV0aG9yPk1iaXNhLCBKLiBMLjwvYXV0aG9yPjxhdXRob3I+TWFuc28sIEMuIEYuPC9h
dXRob3I+PGF1dGhvcj5CaWJieSwgRC4gRi48L2F1dGhvcj48YXV0aG9yPlNpbmdlciwgSi4gQi48
L2F1dGhvcj48YXV0aG9yPlRob21zb24sIEUuIEMuPC9hdXRob3I+PGF1dGhvcj5kYSBTaWx2YSBG
aWxpcGUsIEEuPC9hdXRob3I+PGF1dGhvcj5BcmFuZGF5LUNvcnRlcywgRS48L2F1dGhvcj48YXV0
aG9yPkFuc2FyaSwgTS4gQS48L2F1dGhvcj48YXV0aG9yPkJyb3duLCBBLjwvYXV0aG9yPjxhdXRo
b3I+SHVkc29uLCBFLjwvYXV0aG9yPjxhdXRob3I+QmVuc2VsaW4sIEouPC9hdXRob3I+PGF1dGhv
cj5IZWFseSwgQi48L2F1dGhvcj48YXV0aG9yPlRyb2tlLCBQLjwvYXV0aG9yPjxhdXRob3I+TWNM
YXVjaGxhbiwgSi48L2F1dGhvcj48YXV0aG9yPkJhcm5lcywgRS48L2F1dGhvcj48YXV0aG9yPkly
dmluZywgVy4gTC48L2F1dGhvcj48L2F1dGhvcnM+PC9jb250cmlidXRvcnM+PGF1dGgtYWRkcmVz
cz5OdWZmaWVsZCBEZXBhcnRtZW50IG9mIE1lZGljaW5lLCBQZXRlciBNZWRhd2FyIEJ1aWxkaW5n
IGZvciBQYXRob2dlbiBSZXNlYXJjaCwgVW5pdmVyc2l0eSBvZiBPeGZvcmQsIE94Zm9yZCwgVUsu
JiN4RDtOSUhSIE94Zm9yZCBCaW9tZWRpY2FsIFJlc2VhcmNoIENlbnRyZSwgT3hmb3JkLCBVSy4m
I3hEO05hdGlvbmFsIEluZmVjdGlvbiBTZXJ2aWNlLCBQdWJsaWMgSGVhbHRoIEVuZ2xhbmQsIExv
bmRvbiwgVUsuJiN4RDtNUkMtVW5pdmVyc2l0eSBvZiBHbGFzZ293IENlbnRyZSBmb3IgVmlydXMg
UmVzZWFyY2gsIEdsYXNnb3csIFVLLiYjeEQ7TklIUiBCaW9tZWRpY2FsIFJlc2VhcmNoIENlbnRy
ZSAoQlJDKSwgTm90dGluZ2hhbSBVbml2ZXJzaXR5IEhvc3BpdGFscyBOSFMgVHJ1c3QgYW5kIHRo
ZSBVbml2ZXJzaXR5IG9mIE5vdHRpbmdoYW0sIE5vdHRpbmdoYW0sIFVLLiYjeEQ7UHVibGljIEhl
YWx0aCBXYWxlcyBNaWNyb2Jpb2xvZ3kgQ2FyZGlmZiwgVW5pdmVyc2l0eSBIb3NwaXRhbCBvZiBX
YWxlcywgQ2FyZGlmZiwgVUsuJiN4RDtHaWxlYWQgU2NpZW5jZXMgTHRkLCBMb25kb24sIFVLLjwv
YXV0aC1hZGRyZXNzPjx0aXRsZXM+PHRpdGxlPlJlYWwgd29ybGQgU09GL1ZFTC9WT1ggcmV0cmVh
dG1lbnQgb3V0Y29tZXMgYW5kIHZpcmFsIHJlc2lzdGFuY2UgYW5hbHlzaXMgZm9yIEhDViBwYXRp
ZW50cyB3aXRoIHByaW9yIGZhaWx1cmUgdG8gREFBIHRoZXJhcHk8L3RpdGxlPjxzZWNvbmRhcnkt
dGl0bGU+SiBWaXJhbCBIZXBhdDwvc2Vjb25kYXJ5LXRpdGxlPjwvdGl0bGVzPjxwZXJpb2RpY2Fs
PjxmdWxsLXRpdGxlPkogVmlyYWwgSGVwYXQ8L2Z1bGwtdGl0bGU+PC9wZXJpb2RpY2FsPjxwYWdl
cz4xMjU2LTEyNjQ8L3BhZ2VzPjx2b2x1bWU+Mjg8L3ZvbHVtZT48bnVtYmVyPjk8L251bWJlcj48
ZWRpdGlvbj4yMDIxLzA1LzE5PC9lZGl0aW9uPjxrZXl3b3Jkcz48a2V5d29yZD5kaXJlY3QtYWN0
aW5nIGFudGl2aXJhbHM8L2tleXdvcmQ+PGtleXdvcmQ+aGVwYXRpdGlzIEMgdmlydXM8L2tleXdv
cmQ+PGtleXdvcmQ+cmVzaXN0YW5jZS1hc3NvY2lhdGVkIHN1YnN0aXR1dGlvbnM8L2tleXdvcmQ+
PGtleXdvcmQ+cmV0cmVhdG1lbnQ8L2tleXdvcmQ+PC9rZXl3b3Jkcz48ZGF0ZXM+PHllYXI+MjAy
MTwveWVhcj48cHViLWRhdGVzPjxkYXRlPlNlcDwvZGF0ZT48L3B1Yi1kYXRlcz48L2RhdGVzPjxp
c2JuPjEzNTItMDUwNDwvaXNibj48YWNjZXNzaW9uLW51bT4zNDAwMzU1NjwvYWNjZXNzaW9uLW51
bT48dXJscz48L3VybHM+PGVsZWN0cm9uaWMtcmVzb3VyY2UtbnVtPjEwLjExMTEvanZoLjEzNTQ5
PC9lbGVjdHJvbmljLXJlc291cmNlLW51bT48cmVtb3RlLWRhdGFiYXNlLXByb3ZpZGVyPk5MTTwv
cmVtb3RlLWRhdGFiYXNlLXByb3ZpZGVyPjxsYW5ndWFnZT5lbmc8L2xhbmd1YWdlPjwvcmVjb3Jk
PjwvQ2l0ZT48L0VuZE5vdGU+AG==
</w:fldData>
              </w:fldChar>
            </w:r>
            <w:r w:rsidR="00C948F6">
              <w:rPr>
                <w:rFonts w:ascii="Times New Roman" w:hAnsi="Times New Roman" w:cs="Times New Roman"/>
                <w:sz w:val="18"/>
                <w:szCs w:val="18"/>
              </w:rPr>
              <w:instrText xml:space="preserve"> ADDIN EN.CITE </w:instrText>
            </w:r>
            <w:r w:rsidR="00C948F6">
              <w:rPr>
                <w:rFonts w:ascii="Times New Roman" w:hAnsi="Times New Roman" w:cs="Times New Roman"/>
                <w:sz w:val="18"/>
                <w:szCs w:val="18"/>
              </w:rPr>
              <w:fldChar w:fldCharType="begin">
                <w:fldData xml:space="preserve">PEVuZE5vdGU+PENpdGUgRXhjbHVkZVllYXI9IjEiPjxBdXRob3I+U21pdGg8L0F1dGhvcj48WWVh
cj4yMDIxPC9ZZWFyPjxSZWNOdW0+MTA5PC9SZWNOdW0+PERpc3BsYXlUZXh0PlsyMl08L0Rpc3Bs
YXlUZXh0PjxyZWNvcmQ+PHJlYy1udW1iZXI+MTA5PC9yZWMtbnVtYmVyPjxmb3JlaWduLWtleXM+
PGtleSBhcHA9IkVOIiBkYi1pZD0idHAwcno1YTJ2MnMwdjNlZHJmbXBkMnBmdHYycmZ3cmU1OWF6
IiB0aW1lc3RhbXA9IjE2Mjk4MTAwMTIiPjEwOTwva2V5PjwvZm9yZWlnbi1rZXlzPjxyZWYtdHlw
ZSBuYW1lPSJKb3VybmFsIEFydGljbGUiPjE3PC9yZWYtdHlwZT48Y29udHJpYnV0b3JzPjxhdXRo
b3JzPjxhdXRob3I+U21pdGgsIEQuIEEuPC9hdXRob3I+PGF1dGhvcj5CcmFkc2hhdywgRC48L2F1
dGhvcj48YXV0aG9yPk1iaXNhLCBKLiBMLjwvYXV0aG9yPjxhdXRob3I+TWFuc28sIEMuIEYuPC9h
dXRob3I+PGF1dGhvcj5CaWJieSwgRC4gRi48L2F1dGhvcj48YXV0aG9yPlNpbmdlciwgSi4gQi48
L2F1dGhvcj48YXV0aG9yPlRob21zb24sIEUuIEMuPC9hdXRob3I+PGF1dGhvcj5kYSBTaWx2YSBG
aWxpcGUsIEEuPC9hdXRob3I+PGF1dGhvcj5BcmFuZGF5LUNvcnRlcywgRS48L2F1dGhvcj48YXV0
aG9yPkFuc2FyaSwgTS4gQS48L2F1dGhvcj48YXV0aG9yPkJyb3duLCBBLjwvYXV0aG9yPjxhdXRo
b3I+SHVkc29uLCBFLjwvYXV0aG9yPjxhdXRob3I+QmVuc2VsaW4sIEouPC9hdXRob3I+PGF1dGhv
cj5IZWFseSwgQi48L2F1dGhvcj48YXV0aG9yPlRyb2tlLCBQLjwvYXV0aG9yPjxhdXRob3I+TWNM
YXVjaGxhbiwgSi48L2F1dGhvcj48YXV0aG9yPkJhcm5lcywgRS48L2F1dGhvcj48YXV0aG9yPkly
dmluZywgVy4gTC48L2F1dGhvcj48L2F1dGhvcnM+PC9jb250cmlidXRvcnM+PGF1dGgtYWRkcmVz
cz5OdWZmaWVsZCBEZXBhcnRtZW50IG9mIE1lZGljaW5lLCBQZXRlciBNZWRhd2FyIEJ1aWxkaW5n
IGZvciBQYXRob2dlbiBSZXNlYXJjaCwgVW5pdmVyc2l0eSBvZiBPeGZvcmQsIE94Zm9yZCwgVUsu
JiN4RDtOSUhSIE94Zm9yZCBCaW9tZWRpY2FsIFJlc2VhcmNoIENlbnRyZSwgT3hmb3JkLCBVSy4m
I3hEO05hdGlvbmFsIEluZmVjdGlvbiBTZXJ2aWNlLCBQdWJsaWMgSGVhbHRoIEVuZ2xhbmQsIExv
bmRvbiwgVUsuJiN4RDtNUkMtVW5pdmVyc2l0eSBvZiBHbGFzZ293IENlbnRyZSBmb3IgVmlydXMg
UmVzZWFyY2gsIEdsYXNnb3csIFVLLiYjeEQ7TklIUiBCaW9tZWRpY2FsIFJlc2VhcmNoIENlbnRy
ZSAoQlJDKSwgTm90dGluZ2hhbSBVbml2ZXJzaXR5IEhvc3BpdGFscyBOSFMgVHJ1c3QgYW5kIHRo
ZSBVbml2ZXJzaXR5IG9mIE5vdHRpbmdoYW0sIE5vdHRpbmdoYW0sIFVLLiYjeEQ7UHVibGljIEhl
YWx0aCBXYWxlcyBNaWNyb2Jpb2xvZ3kgQ2FyZGlmZiwgVW5pdmVyc2l0eSBIb3NwaXRhbCBvZiBX
YWxlcywgQ2FyZGlmZiwgVUsuJiN4RDtHaWxlYWQgU2NpZW5jZXMgTHRkLCBMb25kb24sIFVLLjwv
YXV0aC1hZGRyZXNzPjx0aXRsZXM+PHRpdGxlPlJlYWwgd29ybGQgU09GL1ZFTC9WT1ggcmV0cmVh
dG1lbnQgb3V0Y29tZXMgYW5kIHZpcmFsIHJlc2lzdGFuY2UgYW5hbHlzaXMgZm9yIEhDViBwYXRp
ZW50cyB3aXRoIHByaW9yIGZhaWx1cmUgdG8gREFBIHRoZXJhcHk8L3RpdGxlPjxzZWNvbmRhcnkt
dGl0bGU+SiBWaXJhbCBIZXBhdDwvc2Vjb25kYXJ5LXRpdGxlPjwvdGl0bGVzPjxwZXJpb2RpY2Fs
PjxmdWxsLXRpdGxlPkogVmlyYWwgSGVwYXQ8L2Z1bGwtdGl0bGU+PC9wZXJpb2RpY2FsPjxwYWdl
cz4xMjU2LTEyNjQ8L3BhZ2VzPjx2b2x1bWU+Mjg8L3ZvbHVtZT48bnVtYmVyPjk8L251bWJlcj48
ZWRpdGlvbj4yMDIxLzA1LzE5PC9lZGl0aW9uPjxrZXl3b3Jkcz48a2V5d29yZD5kaXJlY3QtYWN0
aW5nIGFudGl2aXJhbHM8L2tleXdvcmQ+PGtleXdvcmQ+aGVwYXRpdGlzIEMgdmlydXM8L2tleXdv
cmQ+PGtleXdvcmQ+cmVzaXN0YW5jZS1hc3NvY2lhdGVkIHN1YnN0aXR1dGlvbnM8L2tleXdvcmQ+
PGtleXdvcmQ+cmV0cmVhdG1lbnQ8L2tleXdvcmQ+PC9rZXl3b3Jkcz48ZGF0ZXM+PHllYXI+MjAy
MTwveWVhcj48cHViLWRhdGVzPjxkYXRlPlNlcDwvZGF0ZT48L3B1Yi1kYXRlcz48L2RhdGVzPjxp
c2JuPjEzNTItMDUwNDwvaXNibj48YWNjZXNzaW9uLW51bT4zNDAwMzU1NjwvYWNjZXNzaW9uLW51
bT48dXJscz48L3VybHM+PGVsZWN0cm9uaWMtcmVzb3VyY2UtbnVtPjEwLjExMTEvanZoLjEzNTQ5
PC9lbGVjdHJvbmljLXJlc291cmNlLW51bT48cmVtb3RlLWRhdGFiYXNlLXByb3ZpZGVyPk5MTTwv
cmVtb3RlLWRhdGFiYXNlLXByb3ZpZGVyPjxsYW5ndWFnZT5lbmc8L2xhbmd1YWdlPjwvcmVjb3Jk
PjwvQ2l0ZT48L0VuZE5vdGU+AG==
</w:fldData>
              </w:fldChar>
            </w:r>
            <w:r w:rsidR="00C948F6">
              <w:rPr>
                <w:rFonts w:ascii="Times New Roman" w:hAnsi="Times New Roman" w:cs="Times New Roman"/>
                <w:sz w:val="18"/>
                <w:szCs w:val="18"/>
              </w:rPr>
              <w:instrText xml:space="preserve"> ADDIN EN.CITE.DATA </w:instrText>
            </w:r>
            <w:r w:rsidR="00C948F6">
              <w:rPr>
                <w:rFonts w:ascii="Times New Roman" w:hAnsi="Times New Roman" w:cs="Times New Roman"/>
                <w:sz w:val="18"/>
                <w:szCs w:val="18"/>
              </w:rPr>
            </w:r>
            <w:r w:rsidR="00C948F6">
              <w:rPr>
                <w:rFonts w:ascii="Times New Roman" w:hAnsi="Times New Roman" w:cs="Times New Roman"/>
                <w:sz w:val="18"/>
                <w:szCs w:val="18"/>
              </w:rPr>
              <w:fldChar w:fldCharType="end"/>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[22]</w:t>
            </w:r>
            <w:r w:rsidRPr="001C7F25">
              <w:rPr>
                <w:rFonts w:ascii="Times New Roman" w:hAnsi="Times New Roman" w:cs="Times New Roman"/>
                <w:sz w:val="18"/>
                <w:szCs w:val="18"/>
              </w:rPr>
              <w:fldChar w:fldCharType="end"/>
            </w:r>
          </w:p>
        </w:tc>
      </w:tr>
    </w:tbl>
    <w:p w14:paraId="19F48BA6" w14:textId="1EE01679" w:rsidR="00A84C62" w:rsidRPr="001C7F25" w:rsidRDefault="00A84C62">
      <w:pPr>
        <w:rPr>
          <w:rFonts w:ascii="Times New Roman" w:hAnsi="Times New Roman" w:cs="Times New Roman"/>
        </w:rPr>
      </w:pPr>
    </w:p>
    <w:p w14:paraId="2E1ABF1F" w14:textId="77777777" w:rsidR="00A84C62" w:rsidRPr="001C7F25" w:rsidRDefault="00A84C62">
      <w:pPr>
        <w:rPr>
          <w:rFonts w:ascii="Times New Roman" w:hAnsi="Times New Roman" w:cs="Times New Roman"/>
        </w:rPr>
      </w:pPr>
    </w:p>
    <w:p w14:paraId="1FEE42E2" w14:textId="48B0B3A2" w:rsidR="00327340" w:rsidRPr="001C7F25" w:rsidRDefault="00230EC9">
      <w:pPr>
        <w:rPr>
          <w:rFonts w:ascii="Times New Roman" w:hAnsi="Times New Roman" w:cs="Times New Roman"/>
        </w:rPr>
      </w:pPr>
      <w:r w:rsidRPr="001C7F25">
        <w:rPr>
          <w:rFonts w:ascii="Times New Roman" w:hAnsi="Times New Roman" w:cs="Times New Roman"/>
        </w:rPr>
        <w:fldChar w:fldCharType="begin"/>
      </w:r>
      <w:r w:rsidRPr="001C7F25">
        <w:rPr>
          <w:rFonts w:ascii="Times New Roman" w:hAnsi="Times New Roman" w:cs="Times New Roman"/>
        </w:rPr>
        <w:instrText xml:space="preserve"> ADDIN EN.SECTION.REFLIST </w:instrText>
      </w:r>
      <w:r w:rsidR="004043D5">
        <w:rPr>
          <w:rFonts w:ascii="Times New Roman" w:hAnsi="Times New Roman" w:cs="Times New Roman"/>
        </w:rPr>
        <w:fldChar w:fldCharType="separate"/>
      </w:r>
      <w:r w:rsidRPr="001C7F25">
        <w:rPr>
          <w:rFonts w:ascii="Times New Roman" w:hAnsi="Times New Roman" w:cs="Times New Roman"/>
        </w:rPr>
        <w:fldChar w:fldCharType="end"/>
      </w:r>
    </w:p>
    <w:p w14:paraId="356C649B" w14:textId="62FA5D5A" w:rsidR="00327340" w:rsidRPr="001C7F25" w:rsidRDefault="00327340" w:rsidP="00327340">
      <w:pPr>
        <w:rPr>
          <w:rFonts w:ascii="Times New Roman" w:hAnsi="Times New Roman" w:cs="Times New Roman"/>
        </w:rPr>
        <w:sectPr w:rsidR="00327340" w:rsidRPr="001C7F25" w:rsidSect="00746C36">
          <w:pgSz w:w="11906" w:h="16838"/>
          <w:pgMar w:top="1440" w:right="1440" w:bottom="1440" w:left="1440" w:header="708" w:footer="708" w:gutter="0"/>
          <w:cols w:space="708"/>
          <w:docGrid w:linePitch="360"/>
        </w:sectPr>
      </w:pPr>
    </w:p>
    <w:p w14:paraId="1BA33782" w14:textId="374323D5" w:rsidR="00327340" w:rsidRPr="001C7F25" w:rsidRDefault="008D15ED" w:rsidP="00327340">
      <w:pPr>
        <w:pStyle w:val="Caption"/>
        <w:keepNext/>
        <w:rPr>
          <w:rFonts w:ascii="Times New Roman" w:hAnsi="Times New Roman" w:cs="Times New Roman"/>
        </w:rPr>
      </w:pPr>
      <w:bookmarkStart w:id="2" w:name="_Ref81415265"/>
      <w:r w:rsidRPr="001C7F25">
        <w:rPr>
          <w:rFonts w:ascii="Times New Roman" w:hAnsi="Times New Roman" w:cs="Times New Roman"/>
        </w:rPr>
        <w:lastRenderedPageBreak/>
        <w:t xml:space="preserve">Appendix </w:t>
      </w:r>
      <w:r w:rsidR="00327340"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5</w:t>
      </w:r>
      <w:r w:rsidR="00230EC9" w:rsidRPr="001C7F25">
        <w:rPr>
          <w:rFonts w:ascii="Times New Roman" w:hAnsi="Times New Roman" w:cs="Times New Roman"/>
          <w:noProof/>
        </w:rPr>
        <w:fldChar w:fldCharType="end"/>
      </w:r>
      <w:bookmarkEnd w:id="2"/>
      <w:r w:rsidR="00327340" w:rsidRPr="001C7F25">
        <w:rPr>
          <w:rFonts w:ascii="Times New Roman" w:hAnsi="Times New Roman" w:cs="Times New Roman"/>
        </w:rPr>
        <w:t xml:space="preserve">: </w:t>
      </w:r>
      <w:r w:rsidR="0013430E" w:rsidRPr="001C7F25">
        <w:rPr>
          <w:rFonts w:ascii="Times New Roman" w:hAnsi="Times New Roman" w:cs="Times New Roman"/>
        </w:rPr>
        <w:t>H</w:t>
      </w:r>
      <w:r w:rsidR="00327340" w:rsidRPr="001C7F25">
        <w:rPr>
          <w:rFonts w:ascii="Times New Roman" w:hAnsi="Times New Roman" w:cs="Times New Roman"/>
        </w:rPr>
        <w:t>ealth state costs</w:t>
      </w:r>
    </w:p>
    <w:tbl>
      <w:tblPr>
        <w:tblStyle w:val="TableGrid"/>
        <w:tblW w:w="4966" w:type="pct"/>
        <w:tblLayout w:type="fixed"/>
        <w:tblLook w:val="04A0" w:firstRow="1" w:lastRow="0" w:firstColumn="1" w:lastColumn="0" w:noHBand="0" w:noVBand="1"/>
      </w:tblPr>
      <w:tblGrid>
        <w:gridCol w:w="2730"/>
        <w:gridCol w:w="1094"/>
        <w:gridCol w:w="849"/>
        <w:gridCol w:w="3544"/>
        <w:gridCol w:w="738"/>
      </w:tblGrid>
      <w:tr w:rsidR="00327340" w:rsidRPr="001C7F25" w14:paraId="52BD6F97" w14:textId="77777777" w:rsidTr="00A9627E">
        <w:tc>
          <w:tcPr>
            <w:tcW w:w="1524" w:type="pct"/>
          </w:tcPr>
          <w:p w14:paraId="5F953F48" w14:textId="77777777" w:rsidR="00327340" w:rsidRPr="001C7F25" w:rsidRDefault="00327340" w:rsidP="00A9627E">
            <w:pPr>
              <w:spacing w:line="360" w:lineRule="auto"/>
              <w:rPr>
                <w:rFonts w:ascii="Times New Roman" w:hAnsi="Times New Roman" w:cs="Times New Roman"/>
                <w:b/>
                <w:sz w:val="18"/>
                <w:szCs w:val="18"/>
              </w:rPr>
            </w:pPr>
            <w:r w:rsidRPr="001C7F25">
              <w:rPr>
                <w:rFonts w:ascii="Times New Roman" w:hAnsi="Times New Roman" w:cs="Times New Roman"/>
                <w:b/>
                <w:sz w:val="18"/>
                <w:szCs w:val="18"/>
              </w:rPr>
              <w:t>Costs (per year, except where noted)</w:t>
            </w:r>
          </w:p>
        </w:tc>
        <w:tc>
          <w:tcPr>
            <w:tcW w:w="611" w:type="pct"/>
          </w:tcPr>
          <w:p w14:paraId="7BA98AD0" w14:textId="77777777" w:rsidR="00327340" w:rsidRPr="001C7F25" w:rsidRDefault="00327340" w:rsidP="00A9627E">
            <w:pPr>
              <w:spacing w:line="360" w:lineRule="auto"/>
              <w:rPr>
                <w:rFonts w:ascii="Times New Roman" w:hAnsi="Times New Roman" w:cs="Times New Roman"/>
                <w:b/>
                <w:sz w:val="18"/>
                <w:szCs w:val="18"/>
              </w:rPr>
            </w:pPr>
            <w:r w:rsidRPr="001C7F25">
              <w:rPr>
                <w:rFonts w:ascii="Times New Roman" w:hAnsi="Times New Roman" w:cs="Times New Roman"/>
                <w:b/>
                <w:sz w:val="18"/>
                <w:szCs w:val="18"/>
              </w:rPr>
              <w:t>Inflated cost</w:t>
            </w:r>
          </w:p>
        </w:tc>
        <w:tc>
          <w:tcPr>
            <w:tcW w:w="474" w:type="pct"/>
          </w:tcPr>
          <w:p w14:paraId="323F4FB7" w14:textId="77777777" w:rsidR="00327340" w:rsidRPr="001C7F25" w:rsidRDefault="00327340" w:rsidP="00A9627E">
            <w:pPr>
              <w:spacing w:line="360" w:lineRule="auto"/>
              <w:rPr>
                <w:rFonts w:ascii="Times New Roman" w:hAnsi="Times New Roman" w:cs="Times New Roman"/>
                <w:b/>
                <w:sz w:val="18"/>
                <w:szCs w:val="18"/>
              </w:rPr>
            </w:pPr>
            <w:r w:rsidRPr="001C7F25">
              <w:rPr>
                <w:rFonts w:ascii="Times New Roman" w:hAnsi="Times New Roman" w:cs="Times New Roman"/>
                <w:b/>
                <w:sz w:val="18"/>
                <w:szCs w:val="18"/>
              </w:rPr>
              <w:t>Cost year</w:t>
            </w:r>
          </w:p>
        </w:tc>
        <w:tc>
          <w:tcPr>
            <w:tcW w:w="1979" w:type="pct"/>
          </w:tcPr>
          <w:p w14:paraId="41E1E696" w14:textId="77777777" w:rsidR="00327340" w:rsidRPr="001C7F25" w:rsidRDefault="00327340" w:rsidP="00A9627E">
            <w:pPr>
              <w:spacing w:line="360" w:lineRule="auto"/>
              <w:rPr>
                <w:rFonts w:ascii="Times New Roman" w:hAnsi="Times New Roman" w:cs="Times New Roman"/>
                <w:b/>
                <w:sz w:val="18"/>
                <w:szCs w:val="18"/>
              </w:rPr>
            </w:pPr>
            <w:r w:rsidRPr="001C7F25">
              <w:rPr>
                <w:rFonts w:ascii="Times New Roman" w:hAnsi="Times New Roman" w:cs="Times New Roman"/>
                <w:b/>
                <w:sz w:val="18"/>
                <w:szCs w:val="18"/>
              </w:rPr>
              <w:t>Distribution</w:t>
            </w:r>
          </w:p>
        </w:tc>
        <w:tc>
          <w:tcPr>
            <w:tcW w:w="412" w:type="pct"/>
          </w:tcPr>
          <w:p w14:paraId="1257F0CC" w14:textId="77777777" w:rsidR="00327340" w:rsidRPr="001C7F25" w:rsidRDefault="00327340" w:rsidP="00A9627E">
            <w:pPr>
              <w:spacing w:line="360" w:lineRule="auto"/>
              <w:rPr>
                <w:rFonts w:ascii="Times New Roman" w:hAnsi="Times New Roman" w:cs="Times New Roman"/>
                <w:b/>
                <w:sz w:val="18"/>
                <w:szCs w:val="18"/>
              </w:rPr>
            </w:pPr>
            <w:r w:rsidRPr="001C7F25">
              <w:rPr>
                <w:rFonts w:ascii="Times New Roman" w:hAnsi="Times New Roman" w:cs="Times New Roman"/>
                <w:b/>
                <w:sz w:val="18"/>
                <w:szCs w:val="18"/>
              </w:rPr>
              <w:t>Source</w:t>
            </w:r>
          </w:p>
        </w:tc>
      </w:tr>
      <w:tr w:rsidR="0013430E" w:rsidRPr="001C7F25" w14:paraId="22751637" w14:textId="77777777" w:rsidTr="0013430E">
        <w:tc>
          <w:tcPr>
            <w:tcW w:w="1524" w:type="pct"/>
            <w:shd w:val="clear" w:color="auto" w:fill="D9D9D9" w:themeFill="background1" w:themeFillShade="D9"/>
            <w:vAlign w:val="bottom"/>
          </w:tcPr>
          <w:p w14:paraId="1BF4987A" w14:textId="6C477812" w:rsidR="0013430E" w:rsidRPr="001C7F25" w:rsidRDefault="0013430E" w:rsidP="00A9627E">
            <w:pPr>
              <w:spacing w:line="360" w:lineRule="auto"/>
              <w:rPr>
                <w:rFonts w:ascii="Times New Roman" w:hAnsi="Times New Roman" w:cs="Times New Roman"/>
                <w:color w:val="000000"/>
                <w:sz w:val="18"/>
                <w:szCs w:val="18"/>
              </w:rPr>
            </w:pPr>
            <w:r w:rsidRPr="001C7F25">
              <w:rPr>
                <w:rFonts w:ascii="Times New Roman" w:hAnsi="Times New Roman" w:cs="Times New Roman"/>
                <w:b/>
                <w:bCs/>
                <w:color w:val="000000"/>
                <w:sz w:val="18"/>
                <w:szCs w:val="18"/>
              </w:rPr>
              <w:t>HBV Model</w:t>
            </w:r>
          </w:p>
        </w:tc>
        <w:tc>
          <w:tcPr>
            <w:tcW w:w="611" w:type="pct"/>
            <w:shd w:val="clear" w:color="auto" w:fill="D9D9D9" w:themeFill="background1" w:themeFillShade="D9"/>
          </w:tcPr>
          <w:p w14:paraId="118A329A" w14:textId="77777777" w:rsidR="0013430E" w:rsidRPr="001C7F25" w:rsidRDefault="0013430E" w:rsidP="00A9627E">
            <w:pPr>
              <w:spacing w:line="360" w:lineRule="auto"/>
              <w:rPr>
                <w:rFonts w:ascii="Times New Roman" w:hAnsi="Times New Roman" w:cs="Times New Roman"/>
                <w:color w:val="000000"/>
                <w:sz w:val="18"/>
                <w:szCs w:val="18"/>
              </w:rPr>
            </w:pPr>
          </w:p>
        </w:tc>
        <w:tc>
          <w:tcPr>
            <w:tcW w:w="474" w:type="pct"/>
            <w:shd w:val="clear" w:color="auto" w:fill="D9D9D9" w:themeFill="background1" w:themeFillShade="D9"/>
            <w:vAlign w:val="bottom"/>
          </w:tcPr>
          <w:p w14:paraId="7DC3ECD9" w14:textId="77777777" w:rsidR="0013430E" w:rsidRPr="001C7F25" w:rsidRDefault="0013430E" w:rsidP="00A9627E">
            <w:pPr>
              <w:spacing w:line="360" w:lineRule="auto"/>
              <w:rPr>
                <w:rFonts w:ascii="Times New Roman" w:hAnsi="Times New Roman" w:cs="Times New Roman"/>
                <w:color w:val="000000"/>
                <w:sz w:val="18"/>
                <w:szCs w:val="18"/>
              </w:rPr>
            </w:pPr>
          </w:p>
        </w:tc>
        <w:tc>
          <w:tcPr>
            <w:tcW w:w="1979" w:type="pct"/>
            <w:shd w:val="clear" w:color="auto" w:fill="D9D9D9" w:themeFill="background1" w:themeFillShade="D9"/>
          </w:tcPr>
          <w:p w14:paraId="606235CB" w14:textId="77777777" w:rsidR="0013430E" w:rsidRPr="001C7F25" w:rsidRDefault="0013430E" w:rsidP="00A9627E">
            <w:pPr>
              <w:spacing w:line="360" w:lineRule="auto"/>
              <w:rPr>
                <w:rFonts w:ascii="Times New Roman" w:hAnsi="Times New Roman" w:cs="Times New Roman"/>
                <w:color w:val="000000"/>
                <w:sz w:val="18"/>
                <w:szCs w:val="18"/>
              </w:rPr>
            </w:pPr>
          </w:p>
        </w:tc>
        <w:tc>
          <w:tcPr>
            <w:tcW w:w="412" w:type="pct"/>
            <w:shd w:val="clear" w:color="auto" w:fill="D9D9D9" w:themeFill="background1" w:themeFillShade="D9"/>
          </w:tcPr>
          <w:p w14:paraId="32B69B6B" w14:textId="77777777" w:rsidR="0013430E" w:rsidRPr="001C7F25" w:rsidRDefault="0013430E" w:rsidP="00A9627E">
            <w:pPr>
              <w:spacing w:line="360" w:lineRule="auto"/>
              <w:rPr>
                <w:rFonts w:ascii="Times New Roman" w:hAnsi="Times New Roman" w:cs="Times New Roman"/>
                <w:sz w:val="18"/>
                <w:szCs w:val="18"/>
              </w:rPr>
            </w:pPr>
          </w:p>
        </w:tc>
      </w:tr>
      <w:tr w:rsidR="0013430E" w:rsidRPr="001C7F25" w14:paraId="6F196762" w14:textId="77777777" w:rsidTr="00A9627E">
        <w:tc>
          <w:tcPr>
            <w:tcW w:w="1524" w:type="pct"/>
            <w:vAlign w:val="bottom"/>
          </w:tcPr>
          <w:p w14:paraId="00E1F441" w14:textId="342E8652"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sz w:val="18"/>
                <w:szCs w:val="18"/>
              </w:rPr>
              <w:t>HBsAg seroconverted</w:t>
            </w:r>
          </w:p>
        </w:tc>
        <w:tc>
          <w:tcPr>
            <w:tcW w:w="611" w:type="pct"/>
          </w:tcPr>
          <w:p w14:paraId="776424E5" w14:textId="77E3BCCC"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w:t>
            </w:r>
          </w:p>
        </w:tc>
        <w:tc>
          <w:tcPr>
            <w:tcW w:w="474" w:type="pct"/>
            <w:vAlign w:val="bottom"/>
          </w:tcPr>
          <w:p w14:paraId="57E869BD" w14:textId="76CEC31C"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N/A</w:t>
            </w:r>
          </w:p>
        </w:tc>
        <w:tc>
          <w:tcPr>
            <w:tcW w:w="1979" w:type="pct"/>
          </w:tcPr>
          <w:p w14:paraId="0A2D697B" w14:textId="752003AD"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N/A</w:t>
            </w:r>
          </w:p>
        </w:tc>
        <w:tc>
          <w:tcPr>
            <w:tcW w:w="412" w:type="pct"/>
          </w:tcPr>
          <w:p w14:paraId="0B3443CB" w14:textId="370E6EDB"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J&lt;/Author&gt;&lt;Year&gt;2006&lt;/Year&gt;&lt;RecNum&gt;26&lt;/RecNum&gt;&lt;DisplayText&gt;[1]&lt;/DisplayText&gt;&lt;record&gt;&lt;rec-number&gt;26&lt;/rec-number&gt;&lt;foreign-keys&gt;&lt;key app="EN" db-id="tp0rz5a2v2s0v3edrfmpd2pftv2rfwre59az" timestamp="1536338777"&gt;26&lt;/key&gt;&lt;/foreign-keys&gt;&lt;ref-type name="Journal Article"&gt;17&lt;/ref-type&gt;&lt;contributors&gt;&lt;authors&gt;&lt;author&gt;Shepherd J, &lt;/author&gt;&lt;author&gt;Jones J, &lt;/author&gt;&lt;author&gt;Takeda A, &lt;/author&gt;&lt;author&gt;Davidson P, &lt;/author&gt;&lt;author&gt;Price A&lt;/author&gt;&lt;/authors&gt;&lt;/contributors&gt;&lt;titles&gt;&lt;title&gt;Adefovir dipivoxil and pegylated interferon alfa-2a for the treatment of chronic hepatitis B: a systematic review and economic evaluation.&lt;/title&gt;&lt;secondary-title&gt;Health Technol Assess&lt;/secondary-title&gt;&lt;/titles&gt;&lt;periodical&gt;&lt;full-title&gt;Health Technol Assess&lt;/full-title&gt;&lt;/periodical&gt;&lt;volume&gt;10&lt;/volume&gt;&lt;number&gt;28&lt;/number&gt;&lt;dates&gt;&lt;year&gt;2006&lt;/year&gt;&lt;/dates&gt;&lt;urls&gt;&lt;/urls&gt;&lt;electronic-resource-num&gt;https://doi.org/10.3310/hta10280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w:t>
            </w:r>
            <w:r w:rsidRPr="001C7F25">
              <w:rPr>
                <w:rFonts w:ascii="Times New Roman" w:hAnsi="Times New Roman" w:cs="Times New Roman"/>
                <w:sz w:val="18"/>
                <w:szCs w:val="18"/>
              </w:rPr>
              <w:fldChar w:fldCharType="end"/>
            </w:r>
          </w:p>
        </w:tc>
      </w:tr>
      <w:tr w:rsidR="0013430E" w:rsidRPr="001C7F25" w14:paraId="5AF12519" w14:textId="77777777" w:rsidTr="00A9627E">
        <w:tc>
          <w:tcPr>
            <w:tcW w:w="1524" w:type="pct"/>
            <w:vAlign w:val="bottom"/>
          </w:tcPr>
          <w:p w14:paraId="3CA013FC" w14:textId="14A33982"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sz w:val="18"/>
                <w:szCs w:val="18"/>
              </w:rPr>
              <w:t>HBeAg seroconverted / inactive disease</w:t>
            </w:r>
          </w:p>
        </w:tc>
        <w:tc>
          <w:tcPr>
            <w:tcW w:w="611" w:type="pct"/>
          </w:tcPr>
          <w:p w14:paraId="642B8E46" w14:textId="54E1E4D3"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£397 </w:t>
            </w:r>
          </w:p>
        </w:tc>
        <w:tc>
          <w:tcPr>
            <w:tcW w:w="474" w:type="pct"/>
            <w:vAlign w:val="bottom"/>
          </w:tcPr>
          <w:p w14:paraId="75FE0A90" w14:textId="7914601F"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2DE82F2C" w14:textId="4504853D"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(k=25, θ= 10.6708) × PPI</w:t>
            </w:r>
            <w:r w:rsidR="00101854" w:rsidRPr="001C7F25">
              <w:rPr>
                <w:rFonts w:ascii="Times New Roman" w:hAnsi="Times New Roman" w:cs="Times New Roman"/>
                <w:sz w:val="18"/>
                <w:szCs w:val="18"/>
                <w:vertAlign w:val="superscript"/>
              </w:rPr>
              <w:t>†</w:t>
            </w:r>
          </w:p>
        </w:tc>
        <w:tc>
          <w:tcPr>
            <w:tcW w:w="412" w:type="pct"/>
          </w:tcPr>
          <w:p w14:paraId="3F668460" w14:textId="310B338C"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J&lt;/Author&gt;&lt;Year&gt;2006&lt;/Year&gt;&lt;RecNum&gt;26&lt;/RecNum&gt;&lt;DisplayText&gt;[1]&lt;/DisplayText&gt;&lt;record&gt;&lt;rec-number&gt;26&lt;/rec-number&gt;&lt;foreign-keys&gt;&lt;key app="EN" db-id="tp0rz5a2v2s0v3edrfmpd2pftv2rfwre59az" timestamp="1536338777"&gt;26&lt;/key&gt;&lt;/foreign-keys&gt;&lt;ref-type name="Journal Article"&gt;17&lt;/ref-type&gt;&lt;contributors&gt;&lt;authors&gt;&lt;author&gt;Shepherd J, &lt;/author&gt;&lt;author&gt;Jones J, &lt;/author&gt;&lt;author&gt;Takeda A, &lt;/author&gt;&lt;author&gt;Davidson P, &lt;/author&gt;&lt;author&gt;Price A&lt;/author&gt;&lt;/authors&gt;&lt;/contributors&gt;&lt;titles&gt;&lt;title&gt;Adefovir dipivoxil and pegylated interferon alfa-2a for the treatment of chronic hepatitis B: a systematic review and economic evaluation.&lt;/title&gt;&lt;secondary-title&gt;Health Technol Assess&lt;/secondary-title&gt;&lt;/titles&gt;&lt;periodical&gt;&lt;full-title&gt;Health Technol Assess&lt;/full-title&gt;&lt;/periodical&gt;&lt;volume&gt;10&lt;/volume&gt;&lt;number&gt;28&lt;/number&gt;&lt;dates&gt;&lt;year&gt;2006&lt;/year&gt;&lt;/dates&gt;&lt;urls&gt;&lt;/urls&gt;&lt;electronic-resource-num&gt;https://doi.org/10.3310/hta10280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w:t>
            </w:r>
            <w:r w:rsidRPr="001C7F25">
              <w:rPr>
                <w:rFonts w:ascii="Times New Roman" w:hAnsi="Times New Roman" w:cs="Times New Roman"/>
                <w:sz w:val="18"/>
                <w:szCs w:val="18"/>
              </w:rPr>
              <w:fldChar w:fldCharType="end"/>
            </w:r>
          </w:p>
        </w:tc>
      </w:tr>
      <w:tr w:rsidR="0013430E" w:rsidRPr="001C7F25" w14:paraId="17572C7A" w14:textId="77777777" w:rsidTr="00A9627E">
        <w:tc>
          <w:tcPr>
            <w:tcW w:w="1524" w:type="pct"/>
            <w:vAlign w:val="bottom"/>
          </w:tcPr>
          <w:p w14:paraId="70292232" w14:textId="27DC5E92"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HBeAg+ or HBeAg- active disease</w:t>
            </w:r>
          </w:p>
        </w:tc>
        <w:tc>
          <w:tcPr>
            <w:tcW w:w="611" w:type="pct"/>
          </w:tcPr>
          <w:p w14:paraId="7511CA80" w14:textId="0C09DE3F"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£799 </w:t>
            </w:r>
          </w:p>
        </w:tc>
        <w:tc>
          <w:tcPr>
            <w:tcW w:w="474" w:type="pct"/>
            <w:vAlign w:val="bottom"/>
          </w:tcPr>
          <w:p w14:paraId="469297E5" w14:textId="719FC723"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00DA0EBA" w14:textId="3E22A8FF"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(k=25, θ=21.4992) × PPI</w:t>
            </w:r>
            <w:r w:rsidR="00101854" w:rsidRPr="001C7F25">
              <w:rPr>
                <w:rFonts w:ascii="Times New Roman" w:hAnsi="Times New Roman" w:cs="Times New Roman"/>
                <w:sz w:val="18"/>
                <w:szCs w:val="18"/>
                <w:vertAlign w:val="superscript"/>
              </w:rPr>
              <w:t>†</w:t>
            </w:r>
          </w:p>
        </w:tc>
        <w:tc>
          <w:tcPr>
            <w:tcW w:w="412" w:type="pct"/>
          </w:tcPr>
          <w:p w14:paraId="4873A393" w14:textId="29DA52DA"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J&lt;/Author&gt;&lt;Year&gt;2006&lt;/Year&gt;&lt;RecNum&gt;26&lt;/RecNum&gt;&lt;DisplayText&gt;[1]&lt;/DisplayText&gt;&lt;record&gt;&lt;rec-number&gt;26&lt;/rec-number&gt;&lt;foreign-keys&gt;&lt;key app="EN" db-id="tp0rz5a2v2s0v3edrfmpd2pftv2rfwre59az" timestamp="1536338777"&gt;26&lt;/key&gt;&lt;/foreign-keys&gt;&lt;ref-type name="Journal Article"&gt;17&lt;/ref-type&gt;&lt;contributors&gt;&lt;authors&gt;&lt;author&gt;Shepherd J, &lt;/author&gt;&lt;author&gt;Jones J, &lt;/author&gt;&lt;author&gt;Takeda A, &lt;/author&gt;&lt;author&gt;Davidson P, &lt;/author&gt;&lt;author&gt;Price A&lt;/author&gt;&lt;/authors&gt;&lt;/contributors&gt;&lt;titles&gt;&lt;title&gt;Adefovir dipivoxil and pegylated interferon alfa-2a for the treatment of chronic hepatitis B: a systematic review and economic evaluation.&lt;/title&gt;&lt;secondary-title&gt;Health Technol Assess&lt;/secondary-title&gt;&lt;/titles&gt;&lt;periodical&gt;&lt;full-title&gt;Health Technol Assess&lt;/full-title&gt;&lt;/periodical&gt;&lt;volume&gt;10&lt;/volume&gt;&lt;number&gt;28&lt;/number&gt;&lt;dates&gt;&lt;year&gt;2006&lt;/year&gt;&lt;/dates&gt;&lt;urls&gt;&lt;/urls&gt;&lt;electronic-resource-num&gt;https://doi.org/10.3310/hta10280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w:t>
            </w:r>
            <w:r w:rsidRPr="001C7F25">
              <w:rPr>
                <w:rFonts w:ascii="Times New Roman" w:hAnsi="Times New Roman" w:cs="Times New Roman"/>
                <w:sz w:val="18"/>
                <w:szCs w:val="18"/>
              </w:rPr>
              <w:fldChar w:fldCharType="end"/>
            </w:r>
          </w:p>
        </w:tc>
      </w:tr>
      <w:tr w:rsidR="0013430E" w:rsidRPr="001C7F25" w14:paraId="706A5045" w14:textId="77777777" w:rsidTr="0013430E">
        <w:tc>
          <w:tcPr>
            <w:tcW w:w="1524" w:type="pct"/>
            <w:shd w:val="clear" w:color="auto" w:fill="D9D9D9" w:themeFill="background1" w:themeFillShade="D9"/>
            <w:vAlign w:val="bottom"/>
          </w:tcPr>
          <w:p w14:paraId="3A62F7F7" w14:textId="4E7C4D1A"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b/>
                <w:bCs/>
                <w:color w:val="000000"/>
                <w:sz w:val="18"/>
                <w:szCs w:val="18"/>
              </w:rPr>
              <w:t>HCV Model</w:t>
            </w:r>
          </w:p>
        </w:tc>
        <w:tc>
          <w:tcPr>
            <w:tcW w:w="611" w:type="pct"/>
            <w:shd w:val="clear" w:color="auto" w:fill="D9D9D9" w:themeFill="background1" w:themeFillShade="D9"/>
          </w:tcPr>
          <w:p w14:paraId="01CF87F1" w14:textId="77777777" w:rsidR="0013430E" w:rsidRPr="001C7F25" w:rsidRDefault="0013430E" w:rsidP="0013430E">
            <w:pPr>
              <w:spacing w:line="360" w:lineRule="auto"/>
              <w:rPr>
                <w:rFonts w:ascii="Times New Roman" w:hAnsi="Times New Roman" w:cs="Times New Roman"/>
                <w:color w:val="000000"/>
                <w:sz w:val="18"/>
                <w:szCs w:val="18"/>
              </w:rPr>
            </w:pPr>
          </w:p>
        </w:tc>
        <w:tc>
          <w:tcPr>
            <w:tcW w:w="474" w:type="pct"/>
            <w:shd w:val="clear" w:color="auto" w:fill="D9D9D9" w:themeFill="background1" w:themeFillShade="D9"/>
            <w:vAlign w:val="bottom"/>
          </w:tcPr>
          <w:p w14:paraId="119EC76D" w14:textId="77777777" w:rsidR="0013430E" w:rsidRPr="001C7F25" w:rsidRDefault="0013430E" w:rsidP="0013430E">
            <w:pPr>
              <w:spacing w:line="360" w:lineRule="auto"/>
              <w:rPr>
                <w:rFonts w:ascii="Times New Roman" w:hAnsi="Times New Roman" w:cs="Times New Roman"/>
                <w:color w:val="000000"/>
                <w:sz w:val="18"/>
                <w:szCs w:val="18"/>
              </w:rPr>
            </w:pPr>
          </w:p>
        </w:tc>
        <w:tc>
          <w:tcPr>
            <w:tcW w:w="1979" w:type="pct"/>
            <w:shd w:val="clear" w:color="auto" w:fill="D9D9D9" w:themeFill="background1" w:themeFillShade="D9"/>
          </w:tcPr>
          <w:p w14:paraId="13554DC9" w14:textId="77777777" w:rsidR="0013430E" w:rsidRPr="001C7F25" w:rsidRDefault="0013430E" w:rsidP="0013430E">
            <w:pPr>
              <w:spacing w:line="360" w:lineRule="auto"/>
              <w:rPr>
                <w:rFonts w:ascii="Times New Roman" w:hAnsi="Times New Roman" w:cs="Times New Roman"/>
                <w:color w:val="000000"/>
                <w:sz w:val="18"/>
                <w:szCs w:val="18"/>
              </w:rPr>
            </w:pPr>
          </w:p>
        </w:tc>
        <w:tc>
          <w:tcPr>
            <w:tcW w:w="412" w:type="pct"/>
            <w:shd w:val="clear" w:color="auto" w:fill="D9D9D9" w:themeFill="background1" w:themeFillShade="D9"/>
          </w:tcPr>
          <w:p w14:paraId="4A95D071" w14:textId="77777777" w:rsidR="0013430E" w:rsidRPr="001C7F25" w:rsidRDefault="0013430E" w:rsidP="0013430E">
            <w:pPr>
              <w:spacing w:line="360" w:lineRule="auto"/>
              <w:rPr>
                <w:rFonts w:ascii="Times New Roman" w:hAnsi="Times New Roman" w:cs="Times New Roman"/>
                <w:sz w:val="18"/>
                <w:szCs w:val="18"/>
              </w:rPr>
            </w:pPr>
          </w:p>
        </w:tc>
      </w:tr>
      <w:tr w:rsidR="0013430E" w:rsidRPr="001C7F25" w14:paraId="584F5789" w14:textId="77777777" w:rsidTr="00A9627E">
        <w:tc>
          <w:tcPr>
            <w:tcW w:w="1524" w:type="pct"/>
            <w:vAlign w:val="bottom"/>
          </w:tcPr>
          <w:p w14:paraId="486ED783" w14:textId="77777777"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color w:val="000000"/>
                <w:sz w:val="18"/>
                <w:szCs w:val="18"/>
              </w:rPr>
              <w:t>Mild (F0/F1) diagnosed</w:t>
            </w:r>
          </w:p>
        </w:tc>
        <w:tc>
          <w:tcPr>
            <w:tcW w:w="611" w:type="pct"/>
          </w:tcPr>
          <w:p w14:paraId="5F4E8665"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£205 </w:t>
            </w:r>
          </w:p>
        </w:tc>
        <w:tc>
          <w:tcPr>
            <w:tcW w:w="474" w:type="pct"/>
            <w:vAlign w:val="bottom"/>
          </w:tcPr>
          <w:p w14:paraId="6286A74F"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62CD5AA3" w14:textId="0DCB4822"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(k=25.6995, θ=5.3698) × PPI</w:t>
            </w:r>
            <w:r w:rsidR="00101854" w:rsidRPr="001C7F25">
              <w:rPr>
                <w:rFonts w:ascii="Times New Roman" w:hAnsi="Times New Roman" w:cs="Times New Roman"/>
                <w:sz w:val="18"/>
                <w:szCs w:val="18"/>
                <w:vertAlign w:val="superscript"/>
              </w:rPr>
              <w:t>†</w:t>
            </w:r>
          </w:p>
        </w:tc>
        <w:tc>
          <w:tcPr>
            <w:tcW w:w="412" w:type="pct"/>
          </w:tcPr>
          <w:p w14:paraId="7B1B105A" w14:textId="5BFAAF9C"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13430E" w:rsidRPr="001C7F25" w14:paraId="0379035E" w14:textId="77777777" w:rsidTr="00A9627E">
        <w:tc>
          <w:tcPr>
            <w:tcW w:w="1524" w:type="pct"/>
            <w:vAlign w:val="bottom"/>
          </w:tcPr>
          <w:p w14:paraId="76DE12EF" w14:textId="77777777"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color w:val="000000"/>
                <w:sz w:val="18"/>
                <w:szCs w:val="18"/>
              </w:rPr>
              <w:t>Moderate (F2/F3) diagnosed</w:t>
            </w:r>
          </w:p>
        </w:tc>
        <w:tc>
          <w:tcPr>
            <w:tcW w:w="611" w:type="pct"/>
          </w:tcPr>
          <w:p w14:paraId="408957CE"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£1,066 </w:t>
            </w:r>
          </w:p>
        </w:tc>
        <w:tc>
          <w:tcPr>
            <w:tcW w:w="474" w:type="pct"/>
            <w:vAlign w:val="bottom"/>
          </w:tcPr>
          <w:p w14:paraId="6FFA52C6"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71466712" w14:textId="539F5C35"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(k=88.8502, θ=8.0698) × PPI</w:t>
            </w:r>
            <w:r w:rsidR="00101854" w:rsidRPr="001C7F25">
              <w:rPr>
                <w:rFonts w:ascii="Times New Roman" w:hAnsi="Times New Roman" w:cs="Times New Roman"/>
                <w:sz w:val="18"/>
                <w:szCs w:val="18"/>
                <w:vertAlign w:val="superscript"/>
              </w:rPr>
              <w:t>†</w:t>
            </w:r>
          </w:p>
        </w:tc>
        <w:tc>
          <w:tcPr>
            <w:tcW w:w="412" w:type="pct"/>
          </w:tcPr>
          <w:p w14:paraId="34ED022B" w14:textId="59E7809F"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13430E" w:rsidRPr="001C7F25" w14:paraId="0E5BAC35" w14:textId="77777777" w:rsidTr="00A9627E">
        <w:tc>
          <w:tcPr>
            <w:tcW w:w="1524" w:type="pct"/>
          </w:tcPr>
          <w:p w14:paraId="12A4A45C" w14:textId="51251730"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sz w:val="18"/>
                <w:szCs w:val="18"/>
              </w:rPr>
              <w:t>Mild SVR</w:t>
            </w:r>
          </w:p>
        </w:tc>
        <w:tc>
          <w:tcPr>
            <w:tcW w:w="611" w:type="pct"/>
          </w:tcPr>
          <w:p w14:paraId="51420954" w14:textId="16F77770"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£257 </w:t>
            </w:r>
          </w:p>
        </w:tc>
        <w:tc>
          <w:tcPr>
            <w:tcW w:w="474" w:type="pct"/>
          </w:tcPr>
          <w:p w14:paraId="6D6CC649" w14:textId="2EADC5DA"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2006/07</w:t>
            </w:r>
          </w:p>
        </w:tc>
        <w:tc>
          <w:tcPr>
            <w:tcW w:w="1979" w:type="pct"/>
            <w:vAlign w:val="bottom"/>
          </w:tcPr>
          <w:p w14:paraId="00FFD882" w14:textId="646B240E"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(k=25, θ=8.08) × PPI</w:t>
            </w:r>
            <w:r w:rsidR="00101854" w:rsidRPr="001C7F25">
              <w:rPr>
                <w:rFonts w:ascii="Times New Roman" w:hAnsi="Times New Roman" w:cs="Times New Roman"/>
                <w:sz w:val="18"/>
                <w:szCs w:val="18"/>
                <w:vertAlign w:val="superscript"/>
              </w:rPr>
              <w:t>†</w:t>
            </w:r>
          </w:p>
        </w:tc>
        <w:tc>
          <w:tcPr>
            <w:tcW w:w="412" w:type="pct"/>
          </w:tcPr>
          <w:p w14:paraId="72219B9C" w14:textId="1DA07A5F"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ExcludeYear="1"&gt;&lt;Author&gt;Grishchenko M&lt;/Author&gt;&lt;Year&gt;2009&lt;/Year&gt;&lt;RecNum&gt;36&lt;/RecNum&gt;&lt;DisplayText&gt;[23]&lt;/DisplayText&gt;&lt;record&gt;&lt;rec-number&gt;36&lt;/rec-number&gt;&lt;foreign-keys&gt;&lt;key app="EN" db-id="tp0rz5a2v2s0v3edrfmpd2pftv2rfwre59az" timestamp="1536341384"&gt;36&lt;/key&gt;&lt;/foreign-keys&gt;&lt;ref-type name="Journal Article"&gt;17&lt;/ref-type&gt;&lt;contributors&gt;&lt;authors&gt;&lt;author&gt;Grishchenko M,&lt;/author&gt;&lt;author&gt;Grieve R,&lt;/author&gt;&lt;author&gt;Sweeting M,&lt;/author&gt;&lt;author&gt;De Angelis D,&lt;/author&gt;&lt;author&gt;Thomson B,&lt;/author&gt;&lt;author&gt;Ryder S,&lt;/author&gt;&lt;author&gt;Irving W,&lt;/author&gt;&lt;/authors&gt;&lt;/contributors&gt;&lt;titles&gt;&lt;title&gt;Cost-effectiveness of pegylated interferon and ribavirin for patients with chronic hepatitis C treated in routine clinical practice.&lt;/title&gt;&lt;secondary-title&gt;Int J Technol Assess Health Care&lt;/secondary-title&gt;&lt;/titles&gt;&lt;periodical&gt;&lt;full-title&gt;Int J Technol Assess Health Care&lt;/full-title&gt;&lt;/periodical&gt;&lt;pages&gt;171-180&lt;/pages&gt;&lt;volume&gt;25&lt;/volume&gt;&lt;number&gt;2&lt;/number&gt;&lt;dates&gt;&lt;year&gt;2009&lt;/year&gt;&lt;/dates&gt;&lt;urls&gt;&lt;/urls&gt;&lt;electronic-resource-num&gt;https://doi.org/10.1017/s0266462309090229&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[23]</w:t>
            </w:r>
            <w:r w:rsidRPr="001C7F25">
              <w:rPr>
                <w:rFonts w:ascii="Times New Roman" w:hAnsi="Times New Roman" w:cs="Times New Roman"/>
                <w:sz w:val="18"/>
                <w:szCs w:val="18"/>
              </w:rPr>
              <w:fldChar w:fldCharType="end"/>
            </w:r>
          </w:p>
        </w:tc>
      </w:tr>
      <w:tr w:rsidR="0013430E" w:rsidRPr="001C7F25" w14:paraId="76314D8C" w14:textId="77777777" w:rsidTr="00A9627E">
        <w:tc>
          <w:tcPr>
            <w:tcW w:w="1524" w:type="pct"/>
          </w:tcPr>
          <w:p w14:paraId="6DEA27EC" w14:textId="6CB60729"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sz w:val="18"/>
                <w:szCs w:val="18"/>
              </w:rPr>
              <w:t>Moderate SVR</w:t>
            </w:r>
          </w:p>
        </w:tc>
        <w:tc>
          <w:tcPr>
            <w:tcW w:w="611" w:type="pct"/>
          </w:tcPr>
          <w:p w14:paraId="4B0A6B31" w14:textId="1E3DA250"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£314 </w:t>
            </w:r>
          </w:p>
        </w:tc>
        <w:tc>
          <w:tcPr>
            <w:tcW w:w="474" w:type="pct"/>
          </w:tcPr>
          <w:p w14:paraId="69BF0459" w14:textId="3D8898A0"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2006/07</w:t>
            </w:r>
          </w:p>
        </w:tc>
        <w:tc>
          <w:tcPr>
            <w:tcW w:w="1979" w:type="pct"/>
            <w:vAlign w:val="bottom"/>
          </w:tcPr>
          <w:p w14:paraId="6016CA75" w14:textId="56A881EA"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(k=25, θ=9.88) × PPI</w:t>
            </w:r>
            <w:r w:rsidR="00101854" w:rsidRPr="001C7F25">
              <w:rPr>
                <w:rFonts w:ascii="Times New Roman" w:hAnsi="Times New Roman" w:cs="Times New Roman"/>
                <w:sz w:val="18"/>
                <w:szCs w:val="18"/>
                <w:vertAlign w:val="superscript"/>
              </w:rPr>
              <w:t>†</w:t>
            </w:r>
          </w:p>
        </w:tc>
        <w:tc>
          <w:tcPr>
            <w:tcW w:w="412" w:type="pct"/>
          </w:tcPr>
          <w:p w14:paraId="6561DB92" w14:textId="7F5DF051"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ExcludeYear="1"&gt;&lt;Author&gt;Grishchenko M&lt;/Author&gt;&lt;Year&gt;2009&lt;/Year&gt;&lt;RecNum&gt;36&lt;/RecNum&gt;&lt;DisplayText&gt;[23]&lt;/DisplayText&gt;&lt;record&gt;&lt;rec-number&gt;36&lt;/rec-number&gt;&lt;foreign-keys&gt;&lt;key app="EN" db-id="tp0rz5a2v2s0v3edrfmpd2pftv2rfwre59az" timestamp="1536341384"&gt;36&lt;/key&gt;&lt;/foreign-keys&gt;&lt;ref-type name="Journal Article"&gt;17&lt;/ref-type&gt;&lt;contributors&gt;&lt;authors&gt;&lt;author&gt;Grishchenko M,&lt;/author&gt;&lt;author&gt;Grieve R,&lt;/author&gt;&lt;author&gt;Sweeting M,&lt;/author&gt;&lt;author&gt;De Angelis D,&lt;/author&gt;&lt;author&gt;Thomson B,&lt;/author&gt;&lt;author&gt;Ryder S,&lt;/author&gt;&lt;author&gt;Irving W,&lt;/author&gt;&lt;/authors&gt;&lt;/contributors&gt;&lt;titles&gt;&lt;title&gt;Cost-effectiveness of pegylated interferon and ribavirin for patients with chronic hepatitis C treated in routine clinical practice.&lt;/title&gt;&lt;secondary-title&gt;Int J Technol Assess Health Care&lt;/secondary-title&gt;&lt;/titles&gt;&lt;periodical&gt;&lt;full-title&gt;Int J Technol Assess Health Care&lt;/full-title&gt;&lt;/periodical&gt;&lt;pages&gt;171-180&lt;/pages&gt;&lt;volume&gt;25&lt;/volume&gt;&lt;number&gt;2&lt;/number&gt;&lt;dates&gt;&lt;year&gt;2009&lt;/year&gt;&lt;/dates&gt;&lt;urls&gt;&lt;/urls&gt;&lt;electronic-resource-num&gt;https://doi.org/10.1017/s0266462309090229&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[23]</w:t>
            </w:r>
            <w:r w:rsidRPr="001C7F25">
              <w:rPr>
                <w:rFonts w:ascii="Times New Roman" w:hAnsi="Times New Roman" w:cs="Times New Roman"/>
                <w:sz w:val="18"/>
                <w:szCs w:val="18"/>
              </w:rPr>
              <w:fldChar w:fldCharType="end"/>
            </w:r>
          </w:p>
        </w:tc>
      </w:tr>
      <w:tr w:rsidR="0013430E" w:rsidRPr="001C7F25" w14:paraId="0628AE29" w14:textId="77777777" w:rsidTr="00A9627E">
        <w:tc>
          <w:tcPr>
            <w:tcW w:w="1524" w:type="pct"/>
          </w:tcPr>
          <w:p w14:paraId="5C78E812" w14:textId="49DCA66A"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sz w:val="18"/>
                <w:szCs w:val="18"/>
              </w:rPr>
              <w:t>Cirrhosis SVR</w:t>
            </w:r>
          </w:p>
        </w:tc>
        <w:tc>
          <w:tcPr>
            <w:tcW w:w="611" w:type="pct"/>
          </w:tcPr>
          <w:p w14:paraId="256BF041" w14:textId="30E918BC"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£556 </w:t>
            </w:r>
          </w:p>
        </w:tc>
        <w:tc>
          <w:tcPr>
            <w:tcW w:w="474" w:type="pct"/>
          </w:tcPr>
          <w:p w14:paraId="38ECAECD" w14:textId="7966B12C"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2006/07</w:t>
            </w:r>
          </w:p>
        </w:tc>
        <w:tc>
          <w:tcPr>
            <w:tcW w:w="1979" w:type="pct"/>
            <w:vAlign w:val="bottom"/>
          </w:tcPr>
          <w:p w14:paraId="6AFAC95C" w14:textId="5BC70822"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(k=25, θ=17.48) × PPI</w:t>
            </w:r>
            <w:r w:rsidR="00101854" w:rsidRPr="001C7F25">
              <w:rPr>
                <w:rFonts w:ascii="Times New Roman" w:hAnsi="Times New Roman" w:cs="Times New Roman"/>
                <w:sz w:val="18"/>
                <w:szCs w:val="18"/>
                <w:vertAlign w:val="superscript"/>
              </w:rPr>
              <w:t>†</w:t>
            </w:r>
          </w:p>
        </w:tc>
        <w:tc>
          <w:tcPr>
            <w:tcW w:w="412" w:type="pct"/>
          </w:tcPr>
          <w:p w14:paraId="320BB4ED" w14:textId="3AE393D8"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ExcludeYear="1"&gt;&lt;Author&gt;Grishchenko M&lt;/Author&gt;&lt;Year&gt;2009&lt;/Year&gt;&lt;RecNum&gt;36&lt;/RecNum&gt;&lt;DisplayText&gt;[23]&lt;/DisplayText&gt;&lt;record&gt;&lt;rec-number&gt;36&lt;/rec-number&gt;&lt;foreign-keys&gt;&lt;key app="EN" db-id="tp0rz5a2v2s0v3edrfmpd2pftv2rfwre59az" timestamp="1536341384"&gt;36&lt;/key&gt;&lt;/foreign-keys&gt;&lt;ref-type name="Journal Article"&gt;17&lt;/ref-type&gt;&lt;contributors&gt;&lt;authors&gt;&lt;author&gt;Grishchenko M,&lt;/author&gt;&lt;author&gt;Grieve R,&lt;/author&gt;&lt;author&gt;Sweeting M,&lt;/author&gt;&lt;author&gt;De Angelis D,&lt;/author&gt;&lt;author&gt;Thomson B,&lt;/author&gt;&lt;author&gt;Ryder S,&lt;/author&gt;&lt;author&gt;Irving W,&lt;/author&gt;&lt;/authors&gt;&lt;/contributors&gt;&lt;titles&gt;&lt;title&gt;Cost-effectiveness of pegylated interferon and ribavirin for patients with chronic hepatitis C treated in routine clinical practice.&lt;/title&gt;&lt;secondary-title&gt;Int J Technol Assess Health Care&lt;/secondary-title&gt;&lt;/titles&gt;&lt;periodical&gt;&lt;full-title&gt;Int J Technol Assess Health Care&lt;/full-title&gt;&lt;/periodical&gt;&lt;pages&gt;171-180&lt;/pages&gt;&lt;volume&gt;25&lt;/volume&gt;&lt;number&gt;2&lt;/number&gt;&lt;dates&gt;&lt;year&gt;2009&lt;/year&gt;&lt;/dates&gt;&lt;urls&gt;&lt;/urls&gt;&lt;electronic-resource-num&gt;https://doi.org/10.1017/s0266462309090229&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[23]</w:t>
            </w:r>
            <w:r w:rsidRPr="001C7F25">
              <w:rPr>
                <w:rFonts w:ascii="Times New Roman" w:hAnsi="Times New Roman" w:cs="Times New Roman"/>
                <w:sz w:val="18"/>
                <w:szCs w:val="18"/>
              </w:rPr>
              <w:fldChar w:fldCharType="end"/>
            </w:r>
          </w:p>
        </w:tc>
      </w:tr>
      <w:tr w:rsidR="0013430E" w:rsidRPr="001C7F25" w14:paraId="0EE67591" w14:textId="77777777" w:rsidTr="0013430E">
        <w:tc>
          <w:tcPr>
            <w:tcW w:w="1524" w:type="pct"/>
            <w:shd w:val="clear" w:color="auto" w:fill="D9D9D9" w:themeFill="background1" w:themeFillShade="D9"/>
            <w:vAlign w:val="bottom"/>
          </w:tcPr>
          <w:p w14:paraId="79491D0F" w14:textId="2E335C75" w:rsidR="0013430E" w:rsidRPr="001C7F25" w:rsidRDefault="0013430E" w:rsidP="0013430E">
            <w:pPr>
              <w:spacing w:line="360" w:lineRule="auto"/>
              <w:rPr>
                <w:rFonts w:ascii="Times New Roman" w:hAnsi="Times New Roman" w:cs="Times New Roman"/>
                <w:b/>
                <w:bCs/>
                <w:color w:val="000000"/>
                <w:sz w:val="18"/>
                <w:szCs w:val="18"/>
              </w:rPr>
            </w:pPr>
            <w:r w:rsidRPr="001C7F25">
              <w:rPr>
                <w:rFonts w:ascii="Times New Roman" w:hAnsi="Times New Roman" w:cs="Times New Roman"/>
                <w:b/>
                <w:bCs/>
                <w:color w:val="000000"/>
                <w:sz w:val="18"/>
                <w:szCs w:val="18"/>
              </w:rPr>
              <w:t xml:space="preserve">Both Models </w:t>
            </w:r>
          </w:p>
        </w:tc>
        <w:tc>
          <w:tcPr>
            <w:tcW w:w="611" w:type="pct"/>
            <w:shd w:val="clear" w:color="auto" w:fill="D9D9D9" w:themeFill="background1" w:themeFillShade="D9"/>
          </w:tcPr>
          <w:p w14:paraId="04ECB600" w14:textId="77777777" w:rsidR="0013430E" w:rsidRPr="001C7F25" w:rsidRDefault="0013430E" w:rsidP="0013430E">
            <w:pPr>
              <w:spacing w:line="360" w:lineRule="auto"/>
              <w:rPr>
                <w:rFonts w:ascii="Times New Roman" w:hAnsi="Times New Roman" w:cs="Times New Roman"/>
                <w:b/>
                <w:bCs/>
                <w:color w:val="000000"/>
                <w:sz w:val="18"/>
                <w:szCs w:val="18"/>
              </w:rPr>
            </w:pPr>
          </w:p>
        </w:tc>
        <w:tc>
          <w:tcPr>
            <w:tcW w:w="474" w:type="pct"/>
            <w:shd w:val="clear" w:color="auto" w:fill="D9D9D9" w:themeFill="background1" w:themeFillShade="D9"/>
            <w:vAlign w:val="bottom"/>
          </w:tcPr>
          <w:p w14:paraId="080EC0B2" w14:textId="77777777" w:rsidR="0013430E" w:rsidRPr="001C7F25" w:rsidRDefault="0013430E" w:rsidP="0013430E">
            <w:pPr>
              <w:spacing w:line="360" w:lineRule="auto"/>
              <w:rPr>
                <w:rFonts w:ascii="Times New Roman" w:hAnsi="Times New Roman" w:cs="Times New Roman"/>
                <w:b/>
                <w:bCs/>
                <w:color w:val="000000"/>
                <w:sz w:val="18"/>
                <w:szCs w:val="18"/>
              </w:rPr>
            </w:pPr>
          </w:p>
        </w:tc>
        <w:tc>
          <w:tcPr>
            <w:tcW w:w="1979" w:type="pct"/>
            <w:shd w:val="clear" w:color="auto" w:fill="D9D9D9" w:themeFill="background1" w:themeFillShade="D9"/>
          </w:tcPr>
          <w:p w14:paraId="390323F6" w14:textId="77777777" w:rsidR="0013430E" w:rsidRPr="001C7F25" w:rsidRDefault="0013430E" w:rsidP="0013430E">
            <w:pPr>
              <w:spacing w:line="360" w:lineRule="auto"/>
              <w:rPr>
                <w:rFonts w:ascii="Times New Roman" w:hAnsi="Times New Roman" w:cs="Times New Roman"/>
                <w:b/>
                <w:bCs/>
                <w:color w:val="000000"/>
                <w:sz w:val="18"/>
                <w:szCs w:val="18"/>
              </w:rPr>
            </w:pPr>
          </w:p>
        </w:tc>
        <w:tc>
          <w:tcPr>
            <w:tcW w:w="412" w:type="pct"/>
            <w:shd w:val="clear" w:color="auto" w:fill="D9D9D9" w:themeFill="background1" w:themeFillShade="D9"/>
          </w:tcPr>
          <w:p w14:paraId="48877027" w14:textId="77777777" w:rsidR="0013430E" w:rsidRPr="001C7F25" w:rsidRDefault="0013430E" w:rsidP="0013430E">
            <w:pPr>
              <w:spacing w:line="360" w:lineRule="auto"/>
              <w:rPr>
                <w:rFonts w:ascii="Times New Roman" w:hAnsi="Times New Roman" w:cs="Times New Roman"/>
                <w:b/>
                <w:bCs/>
                <w:sz w:val="18"/>
                <w:szCs w:val="18"/>
              </w:rPr>
            </w:pPr>
          </w:p>
        </w:tc>
      </w:tr>
      <w:tr w:rsidR="0013430E" w:rsidRPr="001C7F25" w14:paraId="77ADAFD9" w14:textId="77777777" w:rsidTr="00A9627E">
        <w:tc>
          <w:tcPr>
            <w:tcW w:w="1524" w:type="pct"/>
            <w:vAlign w:val="bottom"/>
          </w:tcPr>
          <w:p w14:paraId="61AE0800" w14:textId="7C73F62D"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Cirrhosis (F4) diagnosed</w:t>
            </w:r>
          </w:p>
        </w:tc>
        <w:tc>
          <w:tcPr>
            <w:tcW w:w="611" w:type="pct"/>
          </w:tcPr>
          <w:p w14:paraId="6C75CF2D" w14:textId="07B80A7F"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£1,693 </w:t>
            </w:r>
          </w:p>
        </w:tc>
        <w:tc>
          <w:tcPr>
            <w:tcW w:w="474" w:type="pct"/>
            <w:vAlign w:val="bottom"/>
          </w:tcPr>
          <w:p w14:paraId="7E99CFC1" w14:textId="3A775E36"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6DC41A38" w14:textId="3D46C570"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(k=24.2342, θ=46.9584) × PPI</w:t>
            </w:r>
            <w:r w:rsidR="00101854" w:rsidRPr="001C7F25">
              <w:rPr>
                <w:rFonts w:ascii="Times New Roman" w:hAnsi="Times New Roman" w:cs="Times New Roman"/>
                <w:sz w:val="18"/>
                <w:szCs w:val="18"/>
                <w:vertAlign w:val="superscript"/>
              </w:rPr>
              <w:t>†</w:t>
            </w:r>
          </w:p>
        </w:tc>
        <w:tc>
          <w:tcPr>
            <w:tcW w:w="412" w:type="pct"/>
          </w:tcPr>
          <w:p w14:paraId="172EC0F8" w14:textId="4C67DD04" w:rsidR="0013430E" w:rsidRPr="001C7F25" w:rsidRDefault="0013430E" w:rsidP="0013430E">
            <w:pPr>
              <w:spacing w:line="360" w:lineRule="auto"/>
              <w:rPr>
                <w:rFonts w:ascii="Times New Roman" w:hAnsi="Times New Roman" w:cs="Times New Roman"/>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13430E" w:rsidRPr="001C7F25" w14:paraId="2DDB50EF" w14:textId="77777777" w:rsidTr="00A9627E">
        <w:tc>
          <w:tcPr>
            <w:tcW w:w="1524" w:type="pct"/>
            <w:vAlign w:val="bottom"/>
          </w:tcPr>
          <w:p w14:paraId="66D6203D" w14:textId="77777777"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color w:val="000000"/>
                <w:sz w:val="18"/>
                <w:szCs w:val="18"/>
              </w:rPr>
              <w:t xml:space="preserve">Decompensated cirrhosis </w:t>
            </w:r>
          </w:p>
        </w:tc>
        <w:tc>
          <w:tcPr>
            <w:tcW w:w="611" w:type="pct"/>
          </w:tcPr>
          <w:p w14:paraId="3F9FA14C"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£13,557 </w:t>
            </w:r>
          </w:p>
        </w:tc>
        <w:tc>
          <w:tcPr>
            <w:tcW w:w="474" w:type="pct"/>
            <w:vAlign w:val="bottom"/>
          </w:tcPr>
          <w:p w14:paraId="69FBB1FB"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77E7CE0F" w14:textId="0F4770FB"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(k=36.0249, θ=253.1582) × PPI</w:t>
            </w:r>
            <w:r w:rsidR="00101854" w:rsidRPr="001C7F25">
              <w:rPr>
                <w:rFonts w:ascii="Times New Roman" w:hAnsi="Times New Roman" w:cs="Times New Roman"/>
                <w:sz w:val="18"/>
                <w:szCs w:val="18"/>
                <w:vertAlign w:val="superscript"/>
              </w:rPr>
              <w:t>†</w:t>
            </w:r>
          </w:p>
        </w:tc>
        <w:tc>
          <w:tcPr>
            <w:tcW w:w="412" w:type="pct"/>
          </w:tcPr>
          <w:p w14:paraId="12D91A86" w14:textId="3957D0CF"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13430E" w:rsidRPr="001C7F25" w14:paraId="04E8651C" w14:textId="77777777" w:rsidTr="00A9627E">
        <w:tc>
          <w:tcPr>
            <w:tcW w:w="1524" w:type="pct"/>
            <w:vAlign w:val="bottom"/>
          </w:tcPr>
          <w:p w14:paraId="51BCBAE3" w14:textId="77777777"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color w:val="000000"/>
                <w:sz w:val="18"/>
                <w:szCs w:val="18"/>
              </w:rPr>
              <w:t>Hepatocellular carcinoma</w:t>
            </w:r>
          </w:p>
        </w:tc>
        <w:tc>
          <w:tcPr>
            <w:tcW w:w="611" w:type="pct"/>
          </w:tcPr>
          <w:p w14:paraId="505A7D0A"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£12,081 </w:t>
            </w:r>
          </w:p>
        </w:tc>
        <w:tc>
          <w:tcPr>
            <w:tcW w:w="474" w:type="pct"/>
            <w:vAlign w:val="bottom"/>
          </w:tcPr>
          <w:p w14:paraId="3A7BDC06"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3CB4A187" w14:textId="0122404B"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(k=18.1081, θ=448.8045) × PPI</w:t>
            </w:r>
            <w:r w:rsidR="00101854" w:rsidRPr="001C7F25">
              <w:rPr>
                <w:rFonts w:ascii="Times New Roman" w:hAnsi="Times New Roman" w:cs="Times New Roman"/>
                <w:sz w:val="18"/>
                <w:szCs w:val="18"/>
                <w:vertAlign w:val="superscript"/>
              </w:rPr>
              <w:t>†</w:t>
            </w:r>
          </w:p>
        </w:tc>
        <w:tc>
          <w:tcPr>
            <w:tcW w:w="412" w:type="pct"/>
          </w:tcPr>
          <w:p w14:paraId="78A59F97" w14:textId="39E80CD6"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13430E" w:rsidRPr="001C7F25" w14:paraId="6B24C2DA" w14:textId="77777777" w:rsidTr="00A9627E">
        <w:tc>
          <w:tcPr>
            <w:tcW w:w="1524" w:type="pct"/>
            <w:vAlign w:val="bottom"/>
          </w:tcPr>
          <w:p w14:paraId="627BA362" w14:textId="77777777"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color w:val="000000"/>
                <w:sz w:val="18"/>
                <w:szCs w:val="18"/>
              </w:rPr>
              <w:t>Liver transplant (per transplant)</w:t>
            </w:r>
          </w:p>
        </w:tc>
        <w:tc>
          <w:tcPr>
            <w:tcW w:w="611" w:type="pct"/>
          </w:tcPr>
          <w:p w14:paraId="3C37D9FE"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£40,627 </w:t>
            </w:r>
          </w:p>
        </w:tc>
        <w:tc>
          <w:tcPr>
            <w:tcW w:w="474" w:type="pct"/>
            <w:vAlign w:val="bottom"/>
          </w:tcPr>
          <w:p w14:paraId="45B2B49F"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73C81F4F" w14:textId="5CE95005"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(k=89.7536, θ=304.5004) × PPI</w:t>
            </w:r>
            <w:r w:rsidR="00101854" w:rsidRPr="001C7F25">
              <w:rPr>
                <w:rFonts w:ascii="Times New Roman" w:hAnsi="Times New Roman" w:cs="Times New Roman"/>
                <w:sz w:val="18"/>
                <w:szCs w:val="18"/>
                <w:vertAlign w:val="superscript"/>
              </w:rPr>
              <w:t>†</w:t>
            </w:r>
          </w:p>
        </w:tc>
        <w:tc>
          <w:tcPr>
            <w:tcW w:w="412" w:type="pct"/>
          </w:tcPr>
          <w:p w14:paraId="5F661AF3" w14:textId="66F19B51"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13430E" w:rsidRPr="001C7F25" w14:paraId="3B0B1BA3" w14:textId="77777777" w:rsidTr="00A9627E">
        <w:tc>
          <w:tcPr>
            <w:tcW w:w="1524" w:type="pct"/>
          </w:tcPr>
          <w:p w14:paraId="7C541895" w14:textId="77777777"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color w:val="000000"/>
                <w:sz w:val="18"/>
                <w:szCs w:val="18"/>
              </w:rPr>
              <w:t>Cost of care in year of liver transplant</w:t>
            </w:r>
          </w:p>
        </w:tc>
        <w:tc>
          <w:tcPr>
            <w:tcW w:w="611" w:type="pct"/>
          </w:tcPr>
          <w:p w14:paraId="414001D7"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£14,060 </w:t>
            </w:r>
          </w:p>
        </w:tc>
        <w:tc>
          <w:tcPr>
            <w:tcW w:w="474" w:type="pct"/>
          </w:tcPr>
          <w:p w14:paraId="4F937CBB"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6824F3CA" w14:textId="5505B7A3"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(k=13.7788, θ=686.4168) × PPI</w:t>
            </w:r>
            <w:r w:rsidR="00101854" w:rsidRPr="001C7F25">
              <w:rPr>
                <w:rFonts w:ascii="Times New Roman" w:hAnsi="Times New Roman" w:cs="Times New Roman"/>
                <w:sz w:val="18"/>
                <w:szCs w:val="18"/>
                <w:vertAlign w:val="superscript"/>
              </w:rPr>
              <w:t>†</w:t>
            </w:r>
          </w:p>
        </w:tc>
        <w:tc>
          <w:tcPr>
            <w:tcW w:w="412" w:type="pct"/>
          </w:tcPr>
          <w:p w14:paraId="6CA96EC3" w14:textId="6BDB03AF"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r w:rsidR="0013430E" w:rsidRPr="001C7F25" w14:paraId="34DC2851" w14:textId="77777777" w:rsidTr="00A9627E">
        <w:tc>
          <w:tcPr>
            <w:tcW w:w="1524" w:type="pct"/>
            <w:vAlign w:val="bottom"/>
          </w:tcPr>
          <w:p w14:paraId="34300C2A" w14:textId="77777777"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color w:val="000000"/>
                <w:sz w:val="18"/>
                <w:szCs w:val="18"/>
              </w:rPr>
              <w:t>Cost of care post liver transplant</w:t>
            </w:r>
          </w:p>
        </w:tc>
        <w:tc>
          <w:tcPr>
            <w:tcW w:w="611" w:type="pct"/>
          </w:tcPr>
          <w:p w14:paraId="324F79D4"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 £2,059 </w:t>
            </w:r>
          </w:p>
        </w:tc>
        <w:tc>
          <w:tcPr>
            <w:tcW w:w="474" w:type="pct"/>
            <w:vAlign w:val="bottom"/>
          </w:tcPr>
          <w:p w14:paraId="2E019A4D" w14:textId="77777777"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2002/03</w:t>
            </w:r>
          </w:p>
        </w:tc>
        <w:tc>
          <w:tcPr>
            <w:tcW w:w="1979" w:type="pct"/>
          </w:tcPr>
          <w:p w14:paraId="0E893F1D" w14:textId="49B723AF" w:rsidR="0013430E" w:rsidRPr="001C7F25" w:rsidRDefault="0013430E" w:rsidP="0013430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Gamma (k=15.2189, θ=91.0053) × PPI</w:t>
            </w:r>
            <w:r w:rsidR="00101854" w:rsidRPr="001C7F25">
              <w:rPr>
                <w:rFonts w:ascii="Times New Roman" w:hAnsi="Times New Roman" w:cs="Times New Roman"/>
                <w:sz w:val="18"/>
                <w:szCs w:val="18"/>
                <w:vertAlign w:val="superscript"/>
              </w:rPr>
              <w:t>†</w:t>
            </w:r>
          </w:p>
        </w:tc>
        <w:tc>
          <w:tcPr>
            <w:tcW w:w="412" w:type="pct"/>
          </w:tcPr>
          <w:p w14:paraId="4246E56C" w14:textId="66FA0891" w:rsidR="0013430E" w:rsidRPr="001C7F25" w:rsidRDefault="0013430E" w:rsidP="0013430E">
            <w:pPr>
              <w:spacing w:line="360" w:lineRule="auto"/>
              <w:rPr>
                <w:rFonts w:ascii="Times New Roman" w:hAnsi="Times New Roman" w:cs="Times New Roman"/>
                <w:b/>
                <w:sz w:val="18"/>
                <w:szCs w:val="18"/>
              </w:rPr>
            </w:pPr>
            <w:r w:rsidRPr="001C7F25">
              <w:rPr>
                <w:rFonts w:ascii="Times New Roman" w:hAnsi="Times New Roman" w:cs="Times New Roman"/>
                <w:sz w:val="18"/>
                <w:szCs w:val="18"/>
              </w:rPr>
              <w:fldChar w:fldCharType="begin"/>
            </w:r>
            <w:r w:rsidR="00C948F6">
              <w:rPr>
                <w:rFonts w:ascii="Times New Roman" w:hAnsi="Times New Roman" w:cs="Times New Roman"/>
                <w:sz w:val="18"/>
                <w:szCs w:val="18"/>
              </w:rPr>
              <w:instrText xml:space="preserve"> ADDIN EN.CITE &lt;EndNote&gt;&lt;Cite ExcludeYear="1"&gt;&lt;Author&gt;Shepherd J&lt;/Author&gt;&lt;Year&gt;2006&lt;/Year&gt;&lt;RecNum&gt;1&lt;/RecNum&gt;&lt;DisplayText&gt;[18]&lt;/DisplayText&gt;&lt;record&gt;&lt;rec-number&gt;1&lt;/rec-number&gt;&lt;foreign-keys&gt;&lt;key app="EN" db-id="tp0rz5a2v2s0v3edrfmpd2pftv2rfwre59az" timestamp="1534263490"&gt;1&lt;/key&gt;&lt;/foreign-keys&gt;&lt;ref-type name="Journal Article"&gt;17&lt;/ref-type&gt;&lt;contributors&gt;&lt;authors&gt;&lt;author&gt;Shepherd J,&lt;/author&gt;&lt;author&gt;Jones J,&lt;/author&gt;&lt;author&gt;Hartwell D,&lt;/author&gt;&lt;author&gt;Davidson P,&lt;/author&gt;&lt;author&gt;Price A,&lt;/author&gt;&lt;author&gt;Waugh N,&lt;/author&gt;&lt;/authors&gt;&lt;/contributors&gt;&lt;titles&gt;&lt;title&gt;Interferon alfa (pegylated and non-pegylated) and ribavirin for the treatment of mild chronic hepatitis C: a systematic review and economic evaluation&lt;/title&gt;&lt;secondary-title&gt;Health Technol Assess&lt;/secondary-title&gt;&lt;/titles&gt;&lt;periodical&gt;&lt;full-title&gt;Health Technol Assess&lt;/full-title&gt;&lt;/periodical&gt;&lt;volume&gt;11&lt;/volume&gt;&lt;number&gt;11&lt;/number&gt;&lt;dates&gt;&lt;year&gt;2006&lt;/year&gt;&lt;/dates&gt;&lt;urls&gt;&lt;/urls&gt;&lt;electronic-resource-num&gt;https://doi.org/10.3310/hta11110&lt;/electronic-resource-num&gt;&lt;/record&gt;&lt;/Cite&gt;&lt;/EndNote&gt;</w:instrText>
            </w:r>
            <w:r w:rsidRPr="001C7F25">
              <w:rPr>
                <w:rFonts w:ascii="Times New Roman" w:hAnsi="Times New Roman" w:cs="Times New Roman"/>
                <w:sz w:val="18"/>
                <w:szCs w:val="18"/>
              </w:rPr>
              <w:fldChar w:fldCharType="separate"/>
            </w:r>
            <w:r w:rsidR="00C948F6">
              <w:rPr>
                <w:rFonts w:ascii="Times New Roman" w:hAnsi="Times New Roman" w:cs="Times New Roman"/>
                <w:noProof/>
                <w:sz w:val="18"/>
                <w:szCs w:val="18"/>
              </w:rPr>
              <w:t>[18]</w:t>
            </w:r>
            <w:r w:rsidRPr="001C7F25">
              <w:rPr>
                <w:rFonts w:ascii="Times New Roman" w:hAnsi="Times New Roman" w:cs="Times New Roman"/>
                <w:sz w:val="18"/>
                <w:szCs w:val="18"/>
              </w:rPr>
              <w:fldChar w:fldCharType="end"/>
            </w:r>
          </w:p>
        </w:tc>
      </w:tr>
    </w:tbl>
    <w:p w14:paraId="5AFF7BB6" w14:textId="587BD186" w:rsidR="00327340" w:rsidRPr="001C7F25" w:rsidRDefault="00101854" w:rsidP="00327340">
      <w:pPr>
        <w:spacing w:line="360" w:lineRule="auto"/>
        <w:rPr>
          <w:rFonts w:ascii="Times New Roman" w:hAnsi="Times New Roman" w:cs="Times New Roman"/>
          <w:sz w:val="18"/>
          <w:szCs w:val="18"/>
        </w:rPr>
      </w:pPr>
      <w:r w:rsidRPr="001C7F25">
        <w:rPr>
          <w:rFonts w:ascii="Times New Roman" w:hAnsi="Times New Roman" w:cs="Times New Roman"/>
          <w:sz w:val="18"/>
          <w:szCs w:val="18"/>
          <w:vertAlign w:val="superscript"/>
        </w:rPr>
        <w:t>†</w:t>
      </w:r>
      <w:r w:rsidR="00327340" w:rsidRPr="001C7F25">
        <w:rPr>
          <w:rFonts w:ascii="Times New Roman" w:hAnsi="Times New Roman" w:cs="Times New Roman"/>
          <w:sz w:val="18"/>
          <w:szCs w:val="18"/>
        </w:rPr>
        <w:t xml:space="preserve">PPI = </w:t>
      </w:r>
      <w:r w:rsidR="00FD6283" w:rsidRPr="001C7F25">
        <w:rPr>
          <w:rFonts w:ascii="Times New Roman" w:hAnsi="Times New Roman" w:cs="Times New Roman"/>
          <w:sz w:val="18"/>
          <w:szCs w:val="18"/>
        </w:rPr>
        <w:t>NHS cost</w:t>
      </w:r>
      <w:r w:rsidR="00327340" w:rsidRPr="001C7F25">
        <w:rPr>
          <w:rFonts w:ascii="Times New Roman" w:hAnsi="Times New Roman" w:cs="Times New Roman"/>
          <w:sz w:val="18"/>
          <w:szCs w:val="18"/>
        </w:rPr>
        <w:t xml:space="preserve"> inflation </w:t>
      </w:r>
      <w:r w:rsidR="00FD6283" w:rsidRPr="001C7F25">
        <w:rPr>
          <w:rFonts w:ascii="Times New Roman" w:hAnsi="Times New Roman" w:cs="Times New Roman"/>
          <w:sz w:val="18"/>
          <w:szCs w:val="18"/>
        </w:rPr>
        <w:t xml:space="preserve">index </w:t>
      </w:r>
      <w:r w:rsidR="00327340" w:rsidRPr="001C7F25">
        <w:rPr>
          <w:rFonts w:ascii="Times New Roman" w:hAnsi="Times New Roman" w:cs="Times New Roman"/>
          <w:sz w:val="18"/>
          <w:szCs w:val="18"/>
        </w:rPr>
        <w:t>to 2019/20 (2002/03 = 1.487, 2006/07 = 1.272)</w:t>
      </w:r>
    </w:p>
    <w:p w14:paraId="1639ECA1" w14:textId="77777777" w:rsidR="00327340" w:rsidRPr="001C7F25" w:rsidRDefault="00327340" w:rsidP="00327340">
      <w:pPr>
        <w:spacing w:line="360" w:lineRule="auto"/>
        <w:rPr>
          <w:rFonts w:ascii="Times New Roman" w:hAnsi="Times New Roman" w:cs="Times New Roman"/>
        </w:rPr>
      </w:pPr>
    </w:p>
    <w:p w14:paraId="4E0B6BE5" w14:textId="27370A42" w:rsidR="00FB3C83" w:rsidRPr="001C7F25" w:rsidRDefault="00FB3C83" w:rsidP="00327340">
      <w:pPr>
        <w:spacing w:line="360" w:lineRule="auto"/>
        <w:rPr>
          <w:rFonts w:ascii="Times New Roman" w:hAnsi="Times New Roman" w:cs="Times New Roman"/>
        </w:rPr>
      </w:pPr>
    </w:p>
    <w:p w14:paraId="05914632" w14:textId="0CD648DF" w:rsidR="0013430E" w:rsidRPr="001C7F25" w:rsidRDefault="0013430E">
      <w:pPr>
        <w:rPr>
          <w:rFonts w:ascii="Times New Roman" w:hAnsi="Times New Roman" w:cs="Times New Roman"/>
        </w:rPr>
      </w:pPr>
      <w:r w:rsidRPr="001C7F25">
        <w:rPr>
          <w:rFonts w:ascii="Times New Roman" w:hAnsi="Times New Roman" w:cs="Times New Roman"/>
        </w:rPr>
        <w:br w:type="page"/>
      </w:r>
    </w:p>
    <w:p w14:paraId="18E75397" w14:textId="17A5A602" w:rsidR="00FB3C83" w:rsidRPr="001C7F25" w:rsidRDefault="008D15ED" w:rsidP="00FB3C83">
      <w:pPr>
        <w:pStyle w:val="Caption"/>
        <w:keepNext/>
        <w:rPr>
          <w:rFonts w:ascii="Times New Roman" w:hAnsi="Times New Roman" w:cs="Times New Roman"/>
        </w:rPr>
      </w:pPr>
      <w:r w:rsidRPr="001C7F25">
        <w:rPr>
          <w:rFonts w:ascii="Times New Roman" w:hAnsi="Times New Roman" w:cs="Times New Roman"/>
        </w:rPr>
        <w:lastRenderedPageBreak/>
        <w:t xml:space="preserve">Appendix </w:t>
      </w:r>
      <w:r w:rsidR="00FB3C83"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6</w:t>
      </w:r>
      <w:r w:rsidR="00230EC9" w:rsidRPr="001C7F25">
        <w:rPr>
          <w:rFonts w:ascii="Times New Roman" w:hAnsi="Times New Roman" w:cs="Times New Roman"/>
          <w:noProof/>
        </w:rPr>
        <w:fldChar w:fldCharType="end"/>
      </w:r>
      <w:r w:rsidR="00FB3C83" w:rsidRPr="001C7F25">
        <w:rPr>
          <w:rFonts w:ascii="Times New Roman" w:hAnsi="Times New Roman" w:cs="Times New Roman"/>
        </w:rPr>
        <w:t>: Base case utility values</w:t>
      </w:r>
    </w:p>
    <w:tbl>
      <w:tblPr>
        <w:tblStyle w:val="TableGrid"/>
        <w:tblW w:w="5000" w:type="pct"/>
        <w:tblLook w:val="04A0" w:firstRow="1" w:lastRow="0" w:firstColumn="1" w:lastColumn="0" w:noHBand="0" w:noVBand="1"/>
      </w:tblPr>
      <w:tblGrid>
        <w:gridCol w:w="2114"/>
        <w:gridCol w:w="1005"/>
        <w:gridCol w:w="2332"/>
        <w:gridCol w:w="1461"/>
        <w:gridCol w:w="1017"/>
        <w:gridCol w:w="1087"/>
      </w:tblGrid>
      <w:tr w:rsidR="00FB3C83" w:rsidRPr="001C7F25" w14:paraId="4BE9189A" w14:textId="77777777" w:rsidTr="00765003">
        <w:tc>
          <w:tcPr>
            <w:tcW w:w="1183" w:type="pct"/>
          </w:tcPr>
          <w:p w14:paraId="7D7E7688" w14:textId="31BFFF21" w:rsidR="00FB3C83" w:rsidRPr="001C7F25" w:rsidRDefault="0013430E" w:rsidP="00A9627E">
            <w:pPr>
              <w:spacing w:line="360" w:lineRule="auto"/>
              <w:rPr>
                <w:rFonts w:ascii="Times New Roman" w:hAnsi="Times New Roman" w:cs="Times New Roman"/>
                <w:b/>
                <w:sz w:val="20"/>
                <w:szCs w:val="18"/>
              </w:rPr>
            </w:pPr>
            <w:r w:rsidRPr="001C7F25">
              <w:rPr>
                <w:rFonts w:ascii="Times New Roman" w:hAnsi="Times New Roman" w:cs="Times New Roman"/>
                <w:b/>
                <w:sz w:val="20"/>
                <w:szCs w:val="18"/>
              </w:rPr>
              <w:t xml:space="preserve">Health state </w:t>
            </w:r>
          </w:p>
        </w:tc>
        <w:tc>
          <w:tcPr>
            <w:tcW w:w="568" w:type="pct"/>
          </w:tcPr>
          <w:p w14:paraId="779645D3" w14:textId="77777777" w:rsidR="00FB3C83" w:rsidRPr="001C7F25" w:rsidRDefault="00FB3C83" w:rsidP="00A9627E">
            <w:pPr>
              <w:spacing w:line="360" w:lineRule="auto"/>
              <w:rPr>
                <w:rFonts w:ascii="Times New Roman" w:hAnsi="Times New Roman" w:cs="Times New Roman"/>
                <w:b/>
                <w:sz w:val="20"/>
                <w:szCs w:val="18"/>
              </w:rPr>
            </w:pPr>
            <w:r w:rsidRPr="001C7F25">
              <w:rPr>
                <w:rFonts w:ascii="Times New Roman" w:hAnsi="Times New Roman" w:cs="Times New Roman"/>
                <w:b/>
                <w:color w:val="000000"/>
                <w:sz w:val="20"/>
                <w:szCs w:val="18"/>
              </w:rPr>
              <w:t>Mean</w:t>
            </w:r>
          </w:p>
        </w:tc>
        <w:tc>
          <w:tcPr>
            <w:tcW w:w="1304" w:type="pct"/>
          </w:tcPr>
          <w:p w14:paraId="5B01AAC2" w14:textId="77777777" w:rsidR="00FB3C83" w:rsidRPr="001C7F25" w:rsidRDefault="00FB3C83" w:rsidP="00A9627E">
            <w:pPr>
              <w:spacing w:line="360" w:lineRule="auto"/>
              <w:rPr>
                <w:rFonts w:ascii="Times New Roman" w:hAnsi="Times New Roman" w:cs="Times New Roman"/>
                <w:b/>
                <w:sz w:val="20"/>
                <w:szCs w:val="18"/>
              </w:rPr>
            </w:pPr>
            <w:r w:rsidRPr="001C7F25">
              <w:rPr>
                <w:rFonts w:ascii="Times New Roman" w:hAnsi="Times New Roman" w:cs="Times New Roman"/>
                <w:b/>
                <w:sz w:val="20"/>
                <w:szCs w:val="18"/>
              </w:rPr>
              <w:t>Distribution</w:t>
            </w:r>
          </w:p>
        </w:tc>
        <w:tc>
          <w:tcPr>
            <w:tcW w:w="784" w:type="pct"/>
          </w:tcPr>
          <w:p w14:paraId="6A00BF19" w14:textId="77777777" w:rsidR="00FB3C83" w:rsidRPr="001C7F25" w:rsidRDefault="00FB3C83" w:rsidP="00A9627E">
            <w:pPr>
              <w:spacing w:line="360" w:lineRule="auto"/>
              <w:rPr>
                <w:rFonts w:ascii="Times New Roman" w:hAnsi="Times New Roman" w:cs="Times New Roman"/>
                <w:b/>
                <w:color w:val="000000"/>
                <w:sz w:val="20"/>
                <w:szCs w:val="18"/>
              </w:rPr>
            </w:pPr>
            <w:r w:rsidRPr="001C7F25">
              <w:rPr>
                <w:rFonts w:ascii="Times New Roman" w:hAnsi="Times New Roman" w:cs="Times New Roman"/>
                <w:b/>
                <w:color w:val="000000"/>
                <w:sz w:val="20"/>
                <w:szCs w:val="18"/>
              </w:rPr>
              <w:t>Denominator (multiplicative method)</w:t>
            </w:r>
          </w:p>
        </w:tc>
        <w:tc>
          <w:tcPr>
            <w:tcW w:w="574" w:type="pct"/>
          </w:tcPr>
          <w:p w14:paraId="39B00E21" w14:textId="2905090C" w:rsidR="00FB3C83" w:rsidRPr="001C7F25" w:rsidRDefault="00FB3C83" w:rsidP="00A9627E">
            <w:pPr>
              <w:spacing w:line="360" w:lineRule="auto"/>
              <w:rPr>
                <w:rFonts w:ascii="Times New Roman" w:hAnsi="Times New Roman" w:cs="Times New Roman"/>
                <w:b/>
                <w:color w:val="000000"/>
                <w:sz w:val="20"/>
                <w:szCs w:val="18"/>
              </w:rPr>
            </w:pPr>
            <w:r w:rsidRPr="001C7F25">
              <w:rPr>
                <w:rFonts w:ascii="Times New Roman" w:hAnsi="Times New Roman" w:cs="Times New Roman"/>
                <w:b/>
                <w:color w:val="000000"/>
                <w:sz w:val="20"/>
                <w:szCs w:val="18"/>
              </w:rPr>
              <w:t>Relative utility</w:t>
            </w:r>
            <w:r w:rsidR="0013640C" w:rsidRPr="001C7F25">
              <w:rPr>
                <w:rFonts w:ascii="Times New Roman" w:hAnsi="Times New Roman" w:cs="Times New Roman"/>
                <w:b/>
                <w:color w:val="000000"/>
                <w:sz w:val="20"/>
                <w:szCs w:val="18"/>
                <w:vertAlign w:val="superscript"/>
              </w:rPr>
              <w:t>†</w:t>
            </w:r>
          </w:p>
        </w:tc>
        <w:tc>
          <w:tcPr>
            <w:tcW w:w="587" w:type="pct"/>
          </w:tcPr>
          <w:p w14:paraId="321ADEFB" w14:textId="77777777" w:rsidR="00FB3C83" w:rsidRPr="001C7F25" w:rsidRDefault="00FB3C83" w:rsidP="00A9627E">
            <w:pPr>
              <w:spacing w:line="360" w:lineRule="auto"/>
              <w:rPr>
                <w:rFonts w:ascii="Times New Roman" w:hAnsi="Times New Roman" w:cs="Times New Roman"/>
                <w:b/>
                <w:sz w:val="20"/>
                <w:szCs w:val="18"/>
              </w:rPr>
            </w:pPr>
            <w:r w:rsidRPr="001C7F25">
              <w:rPr>
                <w:rFonts w:ascii="Times New Roman" w:hAnsi="Times New Roman" w:cs="Times New Roman"/>
                <w:b/>
                <w:color w:val="000000"/>
                <w:sz w:val="20"/>
                <w:szCs w:val="18"/>
              </w:rPr>
              <w:t>Source</w:t>
            </w:r>
          </w:p>
        </w:tc>
      </w:tr>
      <w:tr w:rsidR="0013430E" w:rsidRPr="001C7F25" w14:paraId="59C6593D" w14:textId="77777777" w:rsidTr="0013430E">
        <w:tc>
          <w:tcPr>
            <w:tcW w:w="1183" w:type="pct"/>
            <w:shd w:val="clear" w:color="auto" w:fill="D9D9D9" w:themeFill="background1" w:themeFillShade="D9"/>
          </w:tcPr>
          <w:p w14:paraId="52DFFED1" w14:textId="22D14BED" w:rsidR="0013430E" w:rsidRPr="001C7F25" w:rsidRDefault="0013430E" w:rsidP="00A9627E">
            <w:pPr>
              <w:spacing w:line="360" w:lineRule="auto"/>
              <w:rPr>
                <w:rFonts w:ascii="Times New Roman" w:hAnsi="Times New Roman" w:cs="Times New Roman"/>
                <w:b/>
                <w:sz w:val="20"/>
                <w:szCs w:val="18"/>
              </w:rPr>
            </w:pPr>
            <w:r w:rsidRPr="001C7F25">
              <w:rPr>
                <w:rFonts w:ascii="Times New Roman" w:hAnsi="Times New Roman" w:cs="Times New Roman"/>
                <w:b/>
                <w:sz w:val="20"/>
                <w:szCs w:val="18"/>
              </w:rPr>
              <w:t>HCV Utility estimates</w:t>
            </w:r>
          </w:p>
        </w:tc>
        <w:tc>
          <w:tcPr>
            <w:tcW w:w="568" w:type="pct"/>
            <w:shd w:val="clear" w:color="auto" w:fill="D9D9D9" w:themeFill="background1" w:themeFillShade="D9"/>
            <w:vAlign w:val="bottom"/>
          </w:tcPr>
          <w:p w14:paraId="763F6BC4" w14:textId="77777777" w:rsidR="0013430E" w:rsidRPr="001C7F25" w:rsidRDefault="0013430E" w:rsidP="00A9627E">
            <w:pPr>
              <w:spacing w:line="360" w:lineRule="auto"/>
              <w:rPr>
                <w:rFonts w:ascii="Times New Roman" w:hAnsi="Times New Roman" w:cs="Times New Roman"/>
                <w:b/>
                <w:color w:val="000000"/>
                <w:sz w:val="20"/>
                <w:szCs w:val="18"/>
              </w:rPr>
            </w:pPr>
          </w:p>
        </w:tc>
        <w:tc>
          <w:tcPr>
            <w:tcW w:w="1304" w:type="pct"/>
            <w:shd w:val="clear" w:color="auto" w:fill="D9D9D9" w:themeFill="background1" w:themeFillShade="D9"/>
          </w:tcPr>
          <w:p w14:paraId="7A164838" w14:textId="77777777" w:rsidR="0013430E" w:rsidRPr="001C7F25" w:rsidRDefault="0013430E" w:rsidP="00A9627E">
            <w:pPr>
              <w:spacing w:line="360" w:lineRule="auto"/>
              <w:rPr>
                <w:rFonts w:ascii="Times New Roman" w:hAnsi="Times New Roman" w:cs="Times New Roman"/>
                <w:b/>
                <w:sz w:val="20"/>
                <w:szCs w:val="18"/>
              </w:rPr>
            </w:pPr>
          </w:p>
        </w:tc>
        <w:tc>
          <w:tcPr>
            <w:tcW w:w="784" w:type="pct"/>
            <w:shd w:val="clear" w:color="auto" w:fill="D9D9D9" w:themeFill="background1" w:themeFillShade="D9"/>
          </w:tcPr>
          <w:p w14:paraId="43DD7CA9" w14:textId="77777777" w:rsidR="0013430E" w:rsidRPr="001C7F25" w:rsidRDefault="0013430E" w:rsidP="00A9627E">
            <w:pPr>
              <w:spacing w:line="360" w:lineRule="auto"/>
              <w:rPr>
                <w:rFonts w:ascii="Times New Roman" w:hAnsi="Times New Roman" w:cs="Times New Roman"/>
                <w:b/>
                <w:color w:val="000000"/>
                <w:sz w:val="20"/>
                <w:szCs w:val="18"/>
              </w:rPr>
            </w:pPr>
          </w:p>
        </w:tc>
        <w:tc>
          <w:tcPr>
            <w:tcW w:w="574" w:type="pct"/>
            <w:shd w:val="clear" w:color="auto" w:fill="D9D9D9" w:themeFill="background1" w:themeFillShade="D9"/>
          </w:tcPr>
          <w:p w14:paraId="23044406" w14:textId="77777777" w:rsidR="0013430E" w:rsidRPr="001C7F25" w:rsidRDefault="0013430E" w:rsidP="00A9627E">
            <w:pPr>
              <w:spacing w:line="360" w:lineRule="auto"/>
              <w:rPr>
                <w:rFonts w:ascii="Times New Roman" w:hAnsi="Times New Roman" w:cs="Times New Roman"/>
                <w:b/>
                <w:color w:val="000000"/>
                <w:sz w:val="20"/>
                <w:szCs w:val="18"/>
              </w:rPr>
            </w:pPr>
          </w:p>
        </w:tc>
        <w:tc>
          <w:tcPr>
            <w:tcW w:w="587" w:type="pct"/>
            <w:shd w:val="clear" w:color="auto" w:fill="D9D9D9" w:themeFill="background1" w:themeFillShade="D9"/>
            <w:vAlign w:val="bottom"/>
          </w:tcPr>
          <w:p w14:paraId="75B271D8" w14:textId="77777777" w:rsidR="0013430E" w:rsidRPr="001C7F25" w:rsidRDefault="0013430E" w:rsidP="00A9627E">
            <w:pPr>
              <w:spacing w:line="360" w:lineRule="auto"/>
              <w:rPr>
                <w:rFonts w:ascii="Times New Roman" w:hAnsi="Times New Roman" w:cs="Times New Roman"/>
                <w:b/>
                <w:color w:val="000000"/>
                <w:sz w:val="20"/>
                <w:szCs w:val="18"/>
              </w:rPr>
            </w:pPr>
          </w:p>
        </w:tc>
      </w:tr>
      <w:tr w:rsidR="00FB3C83" w:rsidRPr="001C7F25" w14:paraId="30678E70" w14:textId="77777777" w:rsidTr="00A9627E">
        <w:tc>
          <w:tcPr>
            <w:tcW w:w="1183" w:type="pct"/>
            <w:vAlign w:val="bottom"/>
          </w:tcPr>
          <w:p w14:paraId="4861A87B"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Chronic HCV (F0-F3)</w:t>
            </w:r>
          </w:p>
        </w:tc>
        <w:tc>
          <w:tcPr>
            <w:tcW w:w="568" w:type="pct"/>
          </w:tcPr>
          <w:p w14:paraId="65895D09"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0.751</w:t>
            </w:r>
          </w:p>
        </w:tc>
        <w:tc>
          <w:tcPr>
            <w:tcW w:w="1304" w:type="pct"/>
          </w:tcPr>
          <w:p w14:paraId="61C300C1"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Beta (479.98, 159.14)</w:t>
            </w:r>
          </w:p>
        </w:tc>
        <w:tc>
          <w:tcPr>
            <w:tcW w:w="784" w:type="pct"/>
          </w:tcPr>
          <w:p w14:paraId="1100C7D4"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0.869</w:t>
            </w:r>
          </w:p>
        </w:tc>
        <w:tc>
          <w:tcPr>
            <w:tcW w:w="574" w:type="pct"/>
          </w:tcPr>
          <w:p w14:paraId="65FED014"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0.864</w:t>
            </w:r>
          </w:p>
        </w:tc>
        <w:tc>
          <w:tcPr>
            <w:tcW w:w="587" w:type="pct"/>
            <w:vAlign w:val="bottom"/>
          </w:tcPr>
          <w:p w14:paraId="7B8174B7" w14:textId="27A7CF81" w:rsidR="00FB3C83" w:rsidRPr="001C7F25" w:rsidRDefault="0014537E"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fldChar w:fldCharType="begin"/>
            </w:r>
            <w:r w:rsidR="00C948F6">
              <w:rPr>
                <w:rFonts w:ascii="Times New Roman" w:hAnsi="Times New Roman" w:cs="Times New Roman"/>
                <w:color w:val="000000"/>
                <w:sz w:val="18"/>
                <w:szCs w:val="18"/>
              </w:rPr>
              <w:instrText xml:space="preserve"> ADDIN EN.CITE &lt;EndNote&gt;&lt;Cite ExcludeYear="1"&gt;&lt;Author&gt;Saeed&lt;/Author&gt;&lt;Year&gt;2020&lt;/Year&gt;&lt;RecNum&gt;98&lt;/RecNum&gt;&lt;DisplayText&gt;[24]&lt;/DisplayText&gt;&lt;record&gt;&lt;rec-number&gt;98&lt;/rec-number&gt;&lt;foreign-keys&gt;&lt;key app="EN" db-id="tp0rz5a2v2s0v3edrfmpd2pftv2rfwre59az" timestamp="1608052960"&gt;98&lt;/key&gt;&lt;/foreign-keys&gt;&lt;ref-type name="Journal Article"&gt;17&lt;/ref-type&gt;&lt;contributors&gt;&lt;authors&gt;&lt;author&gt;Saeed, Yasmin A.&lt;/author&gt;&lt;author&gt;Phoon, Arcturus&lt;/author&gt;&lt;author&gt;Bielecki, Joanna M.&lt;/author&gt;&lt;author&gt;Mitsakakis, Nicholas&lt;/author&gt;&lt;author&gt;Bremner, Karen E.&lt;/author&gt;&lt;author&gt;Abrahamyan, Lusine&lt;/author&gt;&lt;author&gt;Pechlivanoglou, Petros&lt;/author&gt;&lt;author&gt;Feld, Jordan J.&lt;/author&gt;&lt;author&gt;Krahn, Murray&lt;/author&gt;&lt;author&gt;Wong, William W. L.&lt;/author&gt;&lt;/authors&gt;&lt;/contributors&gt;&lt;titles&gt;&lt;title&gt;A Systematic Review and Meta-Analysis of Health Utilities in Patients With Chronic Hepatitis C&lt;/title&gt;&lt;secondary-title&gt;Value in Health&lt;/secondary-title&gt;&lt;/titles&gt;&lt;periodical&gt;&lt;full-title&gt;Value in Health&lt;/full-title&gt;&lt;/periodical&gt;&lt;pages&gt;127-137&lt;/pages&gt;&lt;volume&gt;23&lt;/volume&gt;&lt;number&gt;1&lt;/number&gt;&lt;keywords&gt;&lt;keyword&gt;hepatitis C&lt;/keyword&gt;&lt;keyword&gt;patient preferences&lt;/keyword&gt;&lt;keyword&gt;patient-reported outcomes&lt;/keyword&gt;&lt;keyword&gt;quality of life&lt;/keyword&gt;&lt;keyword&gt;viral hepatitis&lt;/keyword&gt;&lt;/keywords&gt;&lt;dates&gt;&lt;year&gt;2020&lt;/year&gt;&lt;pub-dates&gt;&lt;date&gt;2020/01/01/&lt;/date&gt;&lt;/pub-dates&gt;&lt;/dates&gt;&lt;isbn&gt;1098-3015&lt;/isbn&gt;&lt;urls&gt;&lt;related-urls&gt;&lt;url&gt;http://www.sciencedirect.com/science/article/pii/S1098301519323009&lt;/url&gt;&lt;/related-urls&gt;&lt;/urls&gt;&lt;electronic-resource-num&gt;https://doi.org/10.1016/j.jval.2019.07.005&lt;/electronic-resource-num&gt;&lt;/record&gt;&lt;/Cite&gt;&lt;/EndNote&gt;</w:instrText>
            </w:r>
            <w:r w:rsidRPr="001C7F25">
              <w:rPr>
                <w:rFonts w:ascii="Times New Roman" w:hAnsi="Times New Roman" w:cs="Times New Roman"/>
                <w:color w:val="000000"/>
                <w:sz w:val="18"/>
                <w:szCs w:val="18"/>
              </w:rPr>
              <w:fldChar w:fldCharType="separate"/>
            </w:r>
            <w:r w:rsidR="00C948F6">
              <w:rPr>
                <w:rFonts w:ascii="Times New Roman" w:hAnsi="Times New Roman" w:cs="Times New Roman"/>
                <w:noProof/>
                <w:color w:val="000000"/>
                <w:sz w:val="18"/>
                <w:szCs w:val="18"/>
              </w:rPr>
              <w:t>[24]</w:t>
            </w:r>
            <w:r w:rsidRPr="001C7F25">
              <w:rPr>
                <w:rFonts w:ascii="Times New Roman" w:hAnsi="Times New Roman" w:cs="Times New Roman"/>
                <w:color w:val="000000"/>
                <w:sz w:val="18"/>
                <w:szCs w:val="18"/>
              </w:rPr>
              <w:fldChar w:fldCharType="end"/>
            </w:r>
          </w:p>
        </w:tc>
      </w:tr>
      <w:tr w:rsidR="00FB3C83" w:rsidRPr="001C7F25" w14:paraId="55D38939" w14:textId="77777777" w:rsidTr="00A9627E">
        <w:tc>
          <w:tcPr>
            <w:tcW w:w="1183" w:type="pct"/>
            <w:vAlign w:val="bottom"/>
          </w:tcPr>
          <w:p w14:paraId="0FD01F34"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Chronic HCV (F0-F3) SVR increment</w:t>
            </w:r>
          </w:p>
        </w:tc>
        <w:tc>
          <w:tcPr>
            <w:tcW w:w="568" w:type="pct"/>
          </w:tcPr>
          <w:p w14:paraId="3E49D06D"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0.035</w:t>
            </w:r>
          </w:p>
        </w:tc>
        <w:tc>
          <w:tcPr>
            <w:tcW w:w="1304" w:type="pct"/>
          </w:tcPr>
          <w:p w14:paraId="30CDCAD4"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Beta (80.7, 2224.97)</w:t>
            </w:r>
          </w:p>
        </w:tc>
        <w:tc>
          <w:tcPr>
            <w:tcW w:w="784" w:type="pct"/>
          </w:tcPr>
          <w:p w14:paraId="61EAE9B3"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N/A</w:t>
            </w:r>
          </w:p>
        </w:tc>
        <w:tc>
          <w:tcPr>
            <w:tcW w:w="574" w:type="pct"/>
          </w:tcPr>
          <w:p w14:paraId="0C146B32" w14:textId="22E9EAFB" w:rsidR="00FB3C83" w:rsidRPr="001C7F25" w:rsidRDefault="0013640C"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N/A</w:t>
            </w:r>
          </w:p>
        </w:tc>
        <w:tc>
          <w:tcPr>
            <w:tcW w:w="587" w:type="pct"/>
            <w:vAlign w:val="bottom"/>
          </w:tcPr>
          <w:p w14:paraId="0661179D" w14:textId="032612A4" w:rsidR="00FB3C83" w:rsidRPr="001C7F25" w:rsidRDefault="0014537E"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fldChar w:fldCharType="begin"/>
            </w:r>
            <w:r w:rsidR="00C948F6">
              <w:rPr>
                <w:rFonts w:ascii="Times New Roman" w:hAnsi="Times New Roman" w:cs="Times New Roman"/>
                <w:color w:val="000000"/>
                <w:sz w:val="18"/>
                <w:szCs w:val="18"/>
              </w:rPr>
              <w:instrText xml:space="preserve"> ADDIN EN.CITE &lt;EndNote&gt;&lt;Cite ExcludeYear="1"&gt;&lt;Author&gt;Saeed&lt;/Author&gt;&lt;Year&gt;2020&lt;/Year&gt;&lt;RecNum&gt;98&lt;/RecNum&gt;&lt;DisplayText&gt;[24]&lt;/DisplayText&gt;&lt;record&gt;&lt;rec-number&gt;98&lt;/rec-number&gt;&lt;foreign-keys&gt;&lt;key app="EN" db-id="tp0rz5a2v2s0v3edrfmpd2pftv2rfwre59az" timestamp="1608052960"&gt;98&lt;/key&gt;&lt;/foreign-keys&gt;&lt;ref-type name="Journal Article"&gt;17&lt;/ref-type&gt;&lt;contributors&gt;&lt;authors&gt;&lt;author&gt;Saeed, Yasmin A.&lt;/author&gt;&lt;author&gt;Phoon, Arcturus&lt;/author&gt;&lt;author&gt;Bielecki, Joanna M.&lt;/author&gt;&lt;author&gt;Mitsakakis, Nicholas&lt;/author&gt;&lt;author&gt;Bremner, Karen E.&lt;/author&gt;&lt;author&gt;Abrahamyan, Lusine&lt;/author&gt;&lt;author&gt;Pechlivanoglou, Petros&lt;/author&gt;&lt;author&gt;Feld, Jordan J.&lt;/author&gt;&lt;author&gt;Krahn, Murray&lt;/author&gt;&lt;author&gt;Wong, William W. L.&lt;/author&gt;&lt;/authors&gt;&lt;/contributors&gt;&lt;titles&gt;&lt;title&gt;A Systematic Review and Meta-Analysis of Health Utilities in Patients With Chronic Hepatitis C&lt;/title&gt;&lt;secondary-title&gt;Value in Health&lt;/secondary-title&gt;&lt;/titles&gt;&lt;periodical&gt;&lt;full-title&gt;Value in Health&lt;/full-title&gt;&lt;/periodical&gt;&lt;pages&gt;127-137&lt;/pages&gt;&lt;volume&gt;23&lt;/volume&gt;&lt;number&gt;1&lt;/number&gt;&lt;keywords&gt;&lt;keyword&gt;hepatitis C&lt;/keyword&gt;&lt;keyword&gt;patient preferences&lt;/keyword&gt;&lt;keyword&gt;patient-reported outcomes&lt;/keyword&gt;&lt;keyword&gt;quality of life&lt;/keyword&gt;&lt;keyword&gt;viral hepatitis&lt;/keyword&gt;&lt;/keywords&gt;&lt;dates&gt;&lt;year&gt;2020&lt;/year&gt;&lt;pub-dates&gt;&lt;date&gt;2020/01/01/&lt;/date&gt;&lt;/pub-dates&gt;&lt;/dates&gt;&lt;isbn&gt;1098-3015&lt;/isbn&gt;&lt;urls&gt;&lt;related-urls&gt;&lt;url&gt;http://www.sciencedirect.com/science/article/pii/S1098301519323009&lt;/url&gt;&lt;/related-urls&gt;&lt;/urls&gt;&lt;electronic-resource-num&gt;https://doi.org/10.1016/j.jval.2019.07.005&lt;/electronic-resource-num&gt;&lt;/record&gt;&lt;/Cite&gt;&lt;/EndNote&gt;</w:instrText>
            </w:r>
            <w:r w:rsidRPr="001C7F25">
              <w:rPr>
                <w:rFonts w:ascii="Times New Roman" w:hAnsi="Times New Roman" w:cs="Times New Roman"/>
                <w:color w:val="000000"/>
                <w:sz w:val="18"/>
                <w:szCs w:val="18"/>
              </w:rPr>
              <w:fldChar w:fldCharType="separate"/>
            </w:r>
            <w:r w:rsidR="00C948F6">
              <w:rPr>
                <w:rFonts w:ascii="Times New Roman" w:hAnsi="Times New Roman" w:cs="Times New Roman"/>
                <w:noProof/>
                <w:color w:val="000000"/>
                <w:sz w:val="18"/>
                <w:szCs w:val="18"/>
              </w:rPr>
              <w:t>[24]</w:t>
            </w:r>
            <w:r w:rsidRPr="001C7F25">
              <w:rPr>
                <w:rFonts w:ascii="Times New Roman" w:hAnsi="Times New Roman" w:cs="Times New Roman"/>
                <w:color w:val="000000"/>
                <w:sz w:val="18"/>
                <w:szCs w:val="18"/>
              </w:rPr>
              <w:fldChar w:fldCharType="end"/>
            </w:r>
          </w:p>
        </w:tc>
      </w:tr>
      <w:tr w:rsidR="00FB3C83" w:rsidRPr="001C7F25" w14:paraId="55E416C3" w14:textId="77777777" w:rsidTr="0013430E">
        <w:tc>
          <w:tcPr>
            <w:tcW w:w="1183" w:type="pct"/>
            <w:shd w:val="clear" w:color="auto" w:fill="D9D9D9" w:themeFill="background1" w:themeFillShade="D9"/>
            <w:vAlign w:val="bottom"/>
          </w:tcPr>
          <w:p w14:paraId="2F442979" w14:textId="77777777" w:rsidR="00FB3C83" w:rsidRPr="001C7F25" w:rsidRDefault="00FB3C83" w:rsidP="00A9627E">
            <w:pPr>
              <w:spacing w:line="360" w:lineRule="auto"/>
              <w:rPr>
                <w:rFonts w:ascii="Times New Roman" w:hAnsi="Times New Roman" w:cs="Times New Roman"/>
                <w:sz w:val="20"/>
                <w:szCs w:val="18"/>
              </w:rPr>
            </w:pPr>
            <w:r w:rsidRPr="001C7F25">
              <w:rPr>
                <w:rFonts w:ascii="Times New Roman" w:hAnsi="Times New Roman" w:cs="Times New Roman"/>
                <w:b/>
                <w:sz w:val="20"/>
                <w:szCs w:val="18"/>
              </w:rPr>
              <w:t>HBV Utility estimates</w:t>
            </w:r>
          </w:p>
        </w:tc>
        <w:tc>
          <w:tcPr>
            <w:tcW w:w="568" w:type="pct"/>
            <w:shd w:val="clear" w:color="auto" w:fill="D9D9D9" w:themeFill="background1" w:themeFillShade="D9"/>
          </w:tcPr>
          <w:p w14:paraId="64F7D1A9" w14:textId="77777777" w:rsidR="00FB3C83" w:rsidRPr="001C7F25" w:rsidRDefault="00FB3C83" w:rsidP="00A9627E">
            <w:pPr>
              <w:spacing w:line="360" w:lineRule="auto"/>
              <w:rPr>
                <w:rFonts w:ascii="Times New Roman" w:hAnsi="Times New Roman" w:cs="Times New Roman"/>
                <w:sz w:val="20"/>
                <w:szCs w:val="18"/>
              </w:rPr>
            </w:pPr>
          </w:p>
        </w:tc>
        <w:tc>
          <w:tcPr>
            <w:tcW w:w="1304" w:type="pct"/>
            <w:shd w:val="clear" w:color="auto" w:fill="D9D9D9" w:themeFill="background1" w:themeFillShade="D9"/>
          </w:tcPr>
          <w:p w14:paraId="12331DE8" w14:textId="77777777" w:rsidR="00FB3C83" w:rsidRPr="001C7F25" w:rsidRDefault="00FB3C83" w:rsidP="00A9627E">
            <w:pPr>
              <w:spacing w:line="360" w:lineRule="auto"/>
              <w:rPr>
                <w:rFonts w:ascii="Times New Roman" w:hAnsi="Times New Roman" w:cs="Times New Roman"/>
                <w:sz w:val="20"/>
                <w:szCs w:val="18"/>
              </w:rPr>
            </w:pPr>
          </w:p>
        </w:tc>
        <w:tc>
          <w:tcPr>
            <w:tcW w:w="784" w:type="pct"/>
            <w:shd w:val="clear" w:color="auto" w:fill="D9D9D9" w:themeFill="background1" w:themeFillShade="D9"/>
          </w:tcPr>
          <w:p w14:paraId="4E0F1B22" w14:textId="77777777" w:rsidR="00FB3C83" w:rsidRPr="001C7F25" w:rsidRDefault="00FB3C83" w:rsidP="00A9627E">
            <w:pPr>
              <w:spacing w:line="360" w:lineRule="auto"/>
              <w:rPr>
                <w:rFonts w:ascii="Times New Roman" w:hAnsi="Times New Roman" w:cs="Times New Roman"/>
                <w:sz w:val="20"/>
                <w:szCs w:val="18"/>
              </w:rPr>
            </w:pPr>
          </w:p>
        </w:tc>
        <w:tc>
          <w:tcPr>
            <w:tcW w:w="574" w:type="pct"/>
            <w:shd w:val="clear" w:color="auto" w:fill="D9D9D9" w:themeFill="background1" w:themeFillShade="D9"/>
          </w:tcPr>
          <w:p w14:paraId="3490B6A0" w14:textId="77777777" w:rsidR="00FB3C83" w:rsidRPr="001C7F25" w:rsidRDefault="00FB3C83" w:rsidP="00A9627E">
            <w:pPr>
              <w:spacing w:line="360" w:lineRule="auto"/>
              <w:rPr>
                <w:rFonts w:ascii="Times New Roman" w:hAnsi="Times New Roman" w:cs="Times New Roman"/>
                <w:sz w:val="20"/>
                <w:szCs w:val="18"/>
              </w:rPr>
            </w:pPr>
          </w:p>
        </w:tc>
        <w:tc>
          <w:tcPr>
            <w:tcW w:w="587" w:type="pct"/>
            <w:shd w:val="clear" w:color="auto" w:fill="D9D9D9" w:themeFill="background1" w:themeFillShade="D9"/>
            <w:vAlign w:val="bottom"/>
          </w:tcPr>
          <w:p w14:paraId="2EBAF8B5" w14:textId="77777777" w:rsidR="00FB3C83" w:rsidRPr="001C7F25" w:rsidRDefault="00FB3C83" w:rsidP="00A9627E">
            <w:pPr>
              <w:spacing w:line="360" w:lineRule="auto"/>
              <w:rPr>
                <w:rFonts w:ascii="Times New Roman" w:hAnsi="Times New Roman" w:cs="Times New Roman"/>
                <w:sz w:val="20"/>
                <w:szCs w:val="18"/>
              </w:rPr>
            </w:pPr>
          </w:p>
        </w:tc>
      </w:tr>
      <w:tr w:rsidR="00FB3C83" w:rsidRPr="001C7F25" w14:paraId="299972D9" w14:textId="77777777" w:rsidTr="00A9627E">
        <w:tc>
          <w:tcPr>
            <w:tcW w:w="1183" w:type="pct"/>
            <w:vAlign w:val="bottom"/>
          </w:tcPr>
          <w:p w14:paraId="2A4A1CF8"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HBsAg seroconverted</w:t>
            </w:r>
          </w:p>
        </w:tc>
        <w:tc>
          <w:tcPr>
            <w:tcW w:w="568" w:type="pct"/>
          </w:tcPr>
          <w:p w14:paraId="78461FAC"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1</w:t>
            </w:r>
          </w:p>
        </w:tc>
        <w:tc>
          <w:tcPr>
            <w:tcW w:w="1304" w:type="pct"/>
          </w:tcPr>
          <w:p w14:paraId="3539F190"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N/A</w:t>
            </w:r>
          </w:p>
        </w:tc>
        <w:tc>
          <w:tcPr>
            <w:tcW w:w="784" w:type="pct"/>
          </w:tcPr>
          <w:p w14:paraId="0AF4E055"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1</w:t>
            </w:r>
          </w:p>
        </w:tc>
        <w:tc>
          <w:tcPr>
            <w:tcW w:w="574" w:type="pct"/>
          </w:tcPr>
          <w:p w14:paraId="6F4EC723"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1</w:t>
            </w:r>
          </w:p>
        </w:tc>
        <w:tc>
          <w:tcPr>
            <w:tcW w:w="587" w:type="pct"/>
            <w:vAlign w:val="bottom"/>
          </w:tcPr>
          <w:p w14:paraId="3C3A74A3"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Assumption</w:t>
            </w:r>
          </w:p>
        </w:tc>
      </w:tr>
      <w:tr w:rsidR="00FB3C83" w:rsidRPr="001C7F25" w14:paraId="658E5EED" w14:textId="77777777" w:rsidTr="00A9627E">
        <w:tc>
          <w:tcPr>
            <w:tcW w:w="1183" w:type="pct"/>
            <w:vAlign w:val="bottom"/>
          </w:tcPr>
          <w:p w14:paraId="7ED7BC4E"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Chronic HBV</w:t>
            </w:r>
          </w:p>
        </w:tc>
        <w:tc>
          <w:tcPr>
            <w:tcW w:w="568" w:type="pct"/>
          </w:tcPr>
          <w:p w14:paraId="355FF57F"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0.87</w:t>
            </w:r>
          </w:p>
        </w:tc>
        <w:tc>
          <w:tcPr>
            <w:tcW w:w="1304" w:type="pct"/>
          </w:tcPr>
          <w:p w14:paraId="3D59D809"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Beta (1679.14, 250.91)</w:t>
            </w:r>
          </w:p>
        </w:tc>
        <w:tc>
          <w:tcPr>
            <w:tcW w:w="784" w:type="pct"/>
          </w:tcPr>
          <w:p w14:paraId="3AC1B560"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0.93</w:t>
            </w:r>
          </w:p>
        </w:tc>
        <w:tc>
          <w:tcPr>
            <w:tcW w:w="574" w:type="pct"/>
          </w:tcPr>
          <w:p w14:paraId="3457F121"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0.935</w:t>
            </w:r>
          </w:p>
        </w:tc>
        <w:tc>
          <w:tcPr>
            <w:tcW w:w="587" w:type="pct"/>
            <w:vAlign w:val="bottom"/>
          </w:tcPr>
          <w:p w14:paraId="2CCA3CE1" w14:textId="37A71501" w:rsidR="00FB3C83" w:rsidRPr="001C7F25" w:rsidRDefault="0014537E"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fldChar w:fldCharType="begin"/>
            </w:r>
            <w:r w:rsidR="00C948F6">
              <w:rPr>
                <w:rFonts w:ascii="Times New Roman" w:hAnsi="Times New Roman" w:cs="Times New Roman"/>
                <w:color w:val="000000"/>
                <w:sz w:val="18"/>
                <w:szCs w:val="18"/>
              </w:rPr>
              <w:instrText xml:space="preserve"> ADDIN EN.CITE &lt;EndNote&gt;&lt;Cite ExcludeYear="1"&gt;&lt;Author&gt;Wong&lt;/Author&gt;&lt;Year&gt;2011&lt;/Year&gt;&lt;RecNum&gt;82&lt;/RecNum&gt;&lt;DisplayText&gt;[25]&lt;/DisplayText&gt;&lt;record&gt;&lt;rec-number&gt;82&lt;/rec-number&gt;&lt;foreign-keys&gt;&lt;key app="EN" db-id="tp0rz5a2v2s0v3edrfmpd2pftv2rfwre59az" timestamp="1559293413"&gt;82&lt;/key&gt;&lt;/foreign-keys&gt;&lt;ref-type name="Journal Article"&gt;17&lt;/ref-type&gt;&lt;contributors&gt;&lt;authors&gt;&lt;author&gt;Wong, William W. L.&lt;/author&gt;&lt;author&gt;Woo, Gloria&lt;/author&gt;&lt;author&gt;Jenny Heathcote, E.&lt;/author&gt;&lt;author&gt;Krahn, Murray&lt;/author&gt;&lt;/authors&gt;&lt;/contributors&gt;&lt;titles&gt;&lt;title&gt;Cost effectiveness of screening immigrants for hepatitis B&lt;/title&gt;&lt;secondary-title&gt;Liver Int&lt;/secondary-title&gt;&lt;/titles&gt;&lt;periodical&gt;&lt;full-title&gt;Liver Int&lt;/full-title&gt;&lt;/periodical&gt;&lt;pages&gt;1179-1190&lt;/pages&gt;&lt;volume&gt;31&lt;/volume&gt;&lt;number&gt;8&lt;/number&gt;&lt;dates&gt;&lt;year&gt;2011&lt;/year&gt;&lt;/dates&gt;&lt;isbn&gt;1478-3223&lt;/isbn&gt;&lt;urls&gt;&lt;related-urls&gt;&lt;url&gt;https://onlinelibrary.wiley.com/doi/abs/10.1111/j.1478-3231.2011.02559.x&lt;/url&gt;&lt;/related-urls&gt;&lt;/urls&gt;&lt;electronic-resource-num&gt;10.1111/j.1478-3231.2011.02559.x&lt;/electronic-resource-num&gt;&lt;/record&gt;&lt;/Cite&gt;&lt;/EndNote&gt;</w:instrText>
            </w:r>
            <w:r w:rsidRPr="001C7F25">
              <w:rPr>
                <w:rFonts w:ascii="Times New Roman" w:hAnsi="Times New Roman" w:cs="Times New Roman"/>
                <w:color w:val="000000"/>
                <w:sz w:val="18"/>
                <w:szCs w:val="18"/>
              </w:rPr>
              <w:fldChar w:fldCharType="separate"/>
            </w:r>
            <w:r w:rsidR="00C948F6">
              <w:rPr>
                <w:rFonts w:ascii="Times New Roman" w:hAnsi="Times New Roman" w:cs="Times New Roman"/>
                <w:noProof/>
                <w:color w:val="000000"/>
                <w:sz w:val="18"/>
                <w:szCs w:val="18"/>
              </w:rPr>
              <w:t>[25]</w:t>
            </w:r>
            <w:r w:rsidRPr="001C7F25">
              <w:rPr>
                <w:rFonts w:ascii="Times New Roman" w:hAnsi="Times New Roman" w:cs="Times New Roman"/>
                <w:color w:val="000000"/>
                <w:sz w:val="18"/>
                <w:szCs w:val="18"/>
              </w:rPr>
              <w:fldChar w:fldCharType="end"/>
            </w:r>
          </w:p>
        </w:tc>
      </w:tr>
      <w:tr w:rsidR="00FB3C83" w:rsidRPr="001C7F25" w14:paraId="6298AF29" w14:textId="77777777" w:rsidTr="0013430E">
        <w:tc>
          <w:tcPr>
            <w:tcW w:w="1183" w:type="pct"/>
            <w:shd w:val="clear" w:color="auto" w:fill="D9D9D9" w:themeFill="background1" w:themeFillShade="D9"/>
            <w:vAlign w:val="bottom"/>
          </w:tcPr>
          <w:p w14:paraId="21DC861D" w14:textId="77777777" w:rsidR="00FB3C83" w:rsidRPr="001C7F25" w:rsidRDefault="00FB3C83" w:rsidP="00A9627E">
            <w:pPr>
              <w:spacing w:line="360" w:lineRule="auto"/>
              <w:rPr>
                <w:rFonts w:ascii="Times New Roman" w:hAnsi="Times New Roman" w:cs="Times New Roman"/>
                <w:b/>
                <w:color w:val="000000"/>
                <w:sz w:val="18"/>
                <w:szCs w:val="18"/>
              </w:rPr>
            </w:pPr>
            <w:r w:rsidRPr="001C7F25">
              <w:rPr>
                <w:rFonts w:ascii="Times New Roman" w:hAnsi="Times New Roman" w:cs="Times New Roman"/>
                <w:b/>
                <w:color w:val="000000"/>
                <w:sz w:val="18"/>
                <w:szCs w:val="18"/>
              </w:rPr>
              <w:t xml:space="preserve">Both models </w:t>
            </w:r>
          </w:p>
        </w:tc>
        <w:tc>
          <w:tcPr>
            <w:tcW w:w="568" w:type="pct"/>
            <w:shd w:val="clear" w:color="auto" w:fill="D9D9D9" w:themeFill="background1" w:themeFillShade="D9"/>
          </w:tcPr>
          <w:p w14:paraId="2411BC1C" w14:textId="77777777" w:rsidR="00FB3C83" w:rsidRPr="001C7F25" w:rsidRDefault="00FB3C83" w:rsidP="00A9627E">
            <w:pPr>
              <w:spacing w:line="360" w:lineRule="auto"/>
              <w:rPr>
                <w:rFonts w:ascii="Times New Roman" w:hAnsi="Times New Roman" w:cs="Times New Roman"/>
                <w:color w:val="000000"/>
                <w:sz w:val="18"/>
                <w:szCs w:val="18"/>
              </w:rPr>
            </w:pPr>
          </w:p>
        </w:tc>
        <w:tc>
          <w:tcPr>
            <w:tcW w:w="1304" w:type="pct"/>
            <w:shd w:val="clear" w:color="auto" w:fill="D9D9D9" w:themeFill="background1" w:themeFillShade="D9"/>
          </w:tcPr>
          <w:p w14:paraId="576A5324" w14:textId="77777777" w:rsidR="00FB3C83" w:rsidRPr="001C7F25" w:rsidRDefault="00FB3C83" w:rsidP="00A9627E">
            <w:pPr>
              <w:spacing w:line="360" w:lineRule="auto"/>
              <w:rPr>
                <w:rFonts w:ascii="Times New Roman" w:hAnsi="Times New Roman" w:cs="Times New Roman"/>
                <w:color w:val="000000"/>
                <w:sz w:val="18"/>
                <w:szCs w:val="18"/>
              </w:rPr>
            </w:pPr>
          </w:p>
        </w:tc>
        <w:tc>
          <w:tcPr>
            <w:tcW w:w="784" w:type="pct"/>
            <w:shd w:val="clear" w:color="auto" w:fill="D9D9D9" w:themeFill="background1" w:themeFillShade="D9"/>
          </w:tcPr>
          <w:p w14:paraId="2504652B" w14:textId="77777777" w:rsidR="00FB3C83" w:rsidRPr="001C7F25" w:rsidRDefault="00FB3C83" w:rsidP="00A9627E">
            <w:pPr>
              <w:spacing w:line="360" w:lineRule="auto"/>
              <w:rPr>
                <w:rFonts w:ascii="Times New Roman" w:hAnsi="Times New Roman" w:cs="Times New Roman"/>
                <w:color w:val="000000"/>
                <w:sz w:val="18"/>
                <w:szCs w:val="18"/>
              </w:rPr>
            </w:pPr>
          </w:p>
        </w:tc>
        <w:tc>
          <w:tcPr>
            <w:tcW w:w="574" w:type="pct"/>
            <w:shd w:val="clear" w:color="auto" w:fill="D9D9D9" w:themeFill="background1" w:themeFillShade="D9"/>
          </w:tcPr>
          <w:p w14:paraId="34A9FB56" w14:textId="77777777" w:rsidR="00FB3C83" w:rsidRPr="001C7F25" w:rsidRDefault="00FB3C83" w:rsidP="00A9627E">
            <w:pPr>
              <w:spacing w:line="360" w:lineRule="auto"/>
              <w:rPr>
                <w:rFonts w:ascii="Times New Roman" w:hAnsi="Times New Roman" w:cs="Times New Roman"/>
                <w:color w:val="000000"/>
                <w:sz w:val="18"/>
                <w:szCs w:val="18"/>
              </w:rPr>
            </w:pPr>
          </w:p>
        </w:tc>
        <w:tc>
          <w:tcPr>
            <w:tcW w:w="587" w:type="pct"/>
            <w:shd w:val="clear" w:color="auto" w:fill="D9D9D9" w:themeFill="background1" w:themeFillShade="D9"/>
            <w:vAlign w:val="bottom"/>
          </w:tcPr>
          <w:p w14:paraId="781BEE7A" w14:textId="77777777" w:rsidR="00FB3C83" w:rsidRPr="001C7F25" w:rsidRDefault="00FB3C83" w:rsidP="00A9627E">
            <w:pPr>
              <w:spacing w:line="360" w:lineRule="auto"/>
              <w:rPr>
                <w:rFonts w:ascii="Times New Roman" w:hAnsi="Times New Roman" w:cs="Times New Roman"/>
                <w:color w:val="000000"/>
                <w:sz w:val="18"/>
                <w:szCs w:val="18"/>
              </w:rPr>
            </w:pPr>
          </w:p>
        </w:tc>
      </w:tr>
      <w:tr w:rsidR="00FB3C83" w:rsidRPr="001C7F25" w14:paraId="2A2B7FAD" w14:textId="77777777" w:rsidTr="00A9627E">
        <w:tc>
          <w:tcPr>
            <w:tcW w:w="1183" w:type="pct"/>
            <w:vAlign w:val="bottom"/>
          </w:tcPr>
          <w:p w14:paraId="1684A704" w14:textId="02E868B1"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Cirrhosis</w:t>
            </w:r>
            <w:r w:rsidR="0013640C" w:rsidRPr="001C7F25">
              <w:rPr>
                <w:rFonts w:ascii="Times New Roman" w:hAnsi="Times New Roman" w:cs="Times New Roman"/>
                <w:color w:val="000000"/>
                <w:sz w:val="18"/>
                <w:szCs w:val="18"/>
              </w:rPr>
              <w:t xml:space="preserve"> </w:t>
            </w:r>
          </w:p>
        </w:tc>
        <w:tc>
          <w:tcPr>
            <w:tcW w:w="568" w:type="pct"/>
          </w:tcPr>
          <w:p w14:paraId="7A08063D"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0.671</w:t>
            </w:r>
          </w:p>
        </w:tc>
        <w:tc>
          <w:tcPr>
            <w:tcW w:w="1304" w:type="pct"/>
          </w:tcPr>
          <w:p w14:paraId="20E43E6F"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Beta (329.74, 161.68)</w:t>
            </w:r>
          </w:p>
        </w:tc>
        <w:tc>
          <w:tcPr>
            <w:tcW w:w="784" w:type="pct"/>
          </w:tcPr>
          <w:p w14:paraId="6F3BEDEE"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0.869</w:t>
            </w:r>
          </w:p>
        </w:tc>
        <w:tc>
          <w:tcPr>
            <w:tcW w:w="574" w:type="pct"/>
          </w:tcPr>
          <w:p w14:paraId="6923B9D8"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0.772</w:t>
            </w:r>
          </w:p>
        </w:tc>
        <w:tc>
          <w:tcPr>
            <w:tcW w:w="587" w:type="pct"/>
            <w:vAlign w:val="bottom"/>
          </w:tcPr>
          <w:p w14:paraId="1A9D9360" w14:textId="3200DC77" w:rsidR="00FB3C83" w:rsidRPr="001C7F25" w:rsidRDefault="0014537E"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fldChar w:fldCharType="begin"/>
            </w:r>
            <w:r w:rsidR="00C948F6">
              <w:rPr>
                <w:rFonts w:ascii="Times New Roman" w:hAnsi="Times New Roman" w:cs="Times New Roman"/>
                <w:color w:val="000000"/>
                <w:sz w:val="18"/>
                <w:szCs w:val="18"/>
              </w:rPr>
              <w:instrText xml:space="preserve"> ADDIN EN.CITE &lt;EndNote&gt;&lt;Cite ExcludeYear="1"&gt;&lt;Author&gt;Saeed&lt;/Author&gt;&lt;Year&gt;2020&lt;/Year&gt;&lt;RecNum&gt;98&lt;/RecNum&gt;&lt;DisplayText&gt;[24]&lt;/DisplayText&gt;&lt;record&gt;&lt;rec-number&gt;98&lt;/rec-number&gt;&lt;foreign-keys&gt;&lt;key app="EN" db-id="tp0rz5a2v2s0v3edrfmpd2pftv2rfwre59az" timestamp="1608052960"&gt;98&lt;/key&gt;&lt;/foreign-keys&gt;&lt;ref-type name="Journal Article"&gt;17&lt;/ref-type&gt;&lt;contributors&gt;&lt;authors&gt;&lt;author&gt;Saeed, Yasmin A.&lt;/author&gt;&lt;author&gt;Phoon, Arcturus&lt;/author&gt;&lt;author&gt;Bielecki, Joanna M.&lt;/author&gt;&lt;author&gt;Mitsakakis, Nicholas&lt;/author&gt;&lt;author&gt;Bremner, Karen E.&lt;/author&gt;&lt;author&gt;Abrahamyan, Lusine&lt;/author&gt;&lt;author&gt;Pechlivanoglou, Petros&lt;/author&gt;&lt;author&gt;Feld, Jordan J.&lt;/author&gt;&lt;author&gt;Krahn, Murray&lt;/author&gt;&lt;author&gt;Wong, William W. L.&lt;/author&gt;&lt;/authors&gt;&lt;/contributors&gt;&lt;titles&gt;&lt;title&gt;A Systematic Review and Meta-Analysis of Health Utilities in Patients With Chronic Hepatitis C&lt;/title&gt;&lt;secondary-title&gt;Value in Health&lt;/secondary-title&gt;&lt;/titles&gt;&lt;periodical&gt;&lt;full-title&gt;Value in Health&lt;/full-title&gt;&lt;/periodical&gt;&lt;pages&gt;127-137&lt;/pages&gt;&lt;volume&gt;23&lt;/volume&gt;&lt;number&gt;1&lt;/number&gt;&lt;keywords&gt;&lt;keyword&gt;hepatitis C&lt;/keyword&gt;&lt;keyword&gt;patient preferences&lt;/keyword&gt;&lt;keyword&gt;patient-reported outcomes&lt;/keyword&gt;&lt;keyword&gt;quality of life&lt;/keyword&gt;&lt;keyword&gt;viral hepatitis&lt;/keyword&gt;&lt;/keywords&gt;&lt;dates&gt;&lt;year&gt;2020&lt;/year&gt;&lt;pub-dates&gt;&lt;date&gt;2020/01/01/&lt;/date&gt;&lt;/pub-dates&gt;&lt;/dates&gt;&lt;isbn&gt;1098-3015&lt;/isbn&gt;&lt;urls&gt;&lt;related-urls&gt;&lt;url&gt;http://www.sciencedirect.com/science/article/pii/S1098301519323009&lt;/url&gt;&lt;/related-urls&gt;&lt;/urls&gt;&lt;electronic-resource-num&gt;https://doi.org/10.1016/j.jval.2019.07.005&lt;/electronic-resource-num&gt;&lt;/record&gt;&lt;/Cite&gt;&lt;/EndNote&gt;</w:instrText>
            </w:r>
            <w:r w:rsidRPr="001C7F25">
              <w:rPr>
                <w:rFonts w:ascii="Times New Roman" w:hAnsi="Times New Roman" w:cs="Times New Roman"/>
                <w:color w:val="000000"/>
                <w:sz w:val="18"/>
                <w:szCs w:val="18"/>
              </w:rPr>
              <w:fldChar w:fldCharType="separate"/>
            </w:r>
            <w:r w:rsidR="00C948F6">
              <w:rPr>
                <w:rFonts w:ascii="Times New Roman" w:hAnsi="Times New Roman" w:cs="Times New Roman"/>
                <w:noProof/>
                <w:color w:val="000000"/>
                <w:sz w:val="18"/>
                <w:szCs w:val="18"/>
              </w:rPr>
              <w:t>[24]</w:t>
            </w:r>
            <w:r w:rsidRPr="001C7F25">
              <w:rPr>
                <w:rFonts w:ascii="Times New Roman" w:hAnsi="Times New Roman" w:cs="Times New Roman"/>
                <w:color w:val="000000"/>
                <w:sz w:val="18"/>
                <w:szCs w:val="18"/>
              </w:rPr>
              <w:fldChar w:fldCharType="end"/>
            </w:r>
          </w:p>
        </w:tc>
      </w:tr>
      <w:tr w:rsidR="00FB3C83" w:rsidRPr="001C7F25" w14:paraId="69162C67" w14:textId="77777777" w:rsidTr="00A9627E">
        <w:tc>
          <w:tcPr>
            <w:tcW w:w="1183" w:type="pct"/>
            <w:vAlign w:val="bottom"/>
          </w:tcPr>
          <w:p w14:paraId="61CDD35B"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 xml:space="preserve">Decompensated cirrhosis </w:t>
            </w:r>
          </w:p>
        </w:tc>
        <w:tc>
          <w:tcPr>
            <w:tcW w:w="568" w:type="pct"/>
          </w:tcPr>
          <w:p w14:paraId="30323D26"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0.602</w:t>
            </w:r>
          </w:p>
        </w:tc>
        <w:tc>
          <w:tcPr>
            <w:tcW w:w="1304" w:type="pct"/>
          </w:tcPr>
          <w:p w14:paraId="1260B4A6"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Beta (212.43, 140.44)</w:t>
            </w:r>
          </w:p>
        </w:tc>
        <w:tc>
          <w:tcPr>
            <w:tcW w:w="784" w:type="pct"/>
          </w:tcPr>
          <w:p w14:paraId="22FEEF9E"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0.869</w:t>
            </w:r>
          </w:p>
        </w:tc>
        <w:tc>
          <w:tcPr>
            <w:tcW w:w="574" w:type="pct"/>
          </w:tcPr>
          <w:p w14:paraId="293B336D"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0.693</w:t>
            </w:r>
          </w:p>
        </w:tc>
        <w:tc>
          <w:tcPr>
            <w:tcW w:w="587" w:type="pct"/>
            <w:vAlign w:val="bottom"/>
          </w:tcPr>
          <w:p w14:paraId="5F30AAD2" w14:textId="33A21F77" w:rsidR="00FB3C83" w:rsidRPr="001C7F25" w:rsidRDefault="0014537E"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fldChar w:fldCharType="begin"/>
            </w:r>
            <w:r w:rsidR="00C948F6">
              <w:rPr>
                <w:rFonts w:ascii="Times New Roman" w:hAnsi="Times New Roman" w:cs="Times New Roman"/>
                <w:color w:val="000000"/>
                <w:sz w:val="18"/>
                <w:szCs w:val="18"/>
              </w:rPr>
              <w:instrText xml:space="preserve"> ADDIN EN.CITE &lt;EndNote&gt;&lt;Cite ExcludeYear="1"&gt;&lt;Author&gt;Saeed&lt;/Author&gt;&lt;Year&gt;2020&lt;/Year&gt;&lt;RecNum&gt;98&lt;/RecNum&gt;&lt;DisplayText&gt;[24]&lt;/DisplayText&gt;&lt;record&gt;&lt;rec-number&gt;98&lt;/rec-number&gt;&lt;foreign-keys&gt;&lt;key app="EN" db-id="tp0rz5a2v2s0v3edrfmpd2pftv2rfwre59az" timestamp="1608052960"&gt;98&lt;/key&gt;&lt;/foreign-keys&gt;&lt;ref-type name="Journal Article"&gt;17&lt;/ref-type&gt;&lt;contributors&gt;&lt;authors&gt;&lt;author&gt;Saeed, Yasmin A.&lt;/author&gt;&lt;author&gt;Phoon, Arcturus&lt;/author&gt;&lt;author&gt;Bielecki, Joanna M.&lt;/author&gt;&lt;author&gt;Mitsakakis, Nicholas&lt;/author&gt;&lt;author&gt;Bremner, Karen E.&lt;/author&gt;&lt;author&gt;Abrahamyan, Lusine&lt;/author&gt;&lt;author&gt;Pechlivanoglou, Petros&lt;/author&gt;&lt;author&gt;Feld, Jordan J.&lt;/author&gt;&lt;author&gt;Krahn, Murray&lt;/author&gt;&lt;author&gt;Wong, William W. L.&lt;/author&gt;&lt;/authors&gt;&lt;/contributors&gt;&lt;titles&gt;&lt;title&gt;A Systematic Review and Meta-Analysis of Health Utilities in Patients With Chronic Hepatitis C&lt;/title&gt;&lt;secondary-title&gt;Value in Health&lt;/secondary-title&gt;&lt;/titles&gt;&lt;periodical&gt;&lt;full-title&gt;Value in Health&lt;/full-title&gt;&lt;/periodical&gt;&lt;pages&gt;127-137&lt;/pages&gt;&lt;volume&gt;23&lt;/volume&gt;&lt;number&gt;1&lt;/number&gt;&lt;keywords&gt;&lt;keyword&gt;hepatitis C&lt;/keyword&gt;&lt;keyword&gt;patient preferences&lt;/keyword&gt;&lt;keyword&gt;patient-reported outcomes&lt;/keyword&gt;&lt;keyword&gt;quality of life&lt;/keyword&gt;&lt;keyword&gt;viral hepatitis&lt;/keyword&gt;&lt;/keywords&gt;&lt;dates&gt;&lt;year&gt;2020&lt;/year&gt;&lt;pub-dates&gt;&lt;date&gt;2020/01/01/&lt;/date&gt;&lt;/pub-dates&gt;&lt;/dates&gt;&lt;isbn&gt;1098-3015&lt;/isbn&gt;&lt;urls&gt;&lt;related-urls&gt;&lt;url&gt;http://www.sciencedirect.com/science/article/pii/S1098301519323009&lt;/url&gt;&lt;/related-urls&gt;&lt;/urls&gt;&lt;electronic-resource-num&gt;https://doi.org/10.1016/j.jval.2019.07.005&lt;/electronic-resource-num&gt;&lt;/record&gt;&lt;/Cite&gt;&lt;/EndNote&gt;</w:instrText>
            </w:r>
            <w:r w:rsidRPr="001C7F25">
              <w:rPr>
                <w:rFonts w:ascii="Times New Roman" w:hAnsi="Times New Roman" w:cs="Times New Roman"/>
                <w:color w:val="000000"/>
                <w:sz w:val="18"/>
                <w:szCs w:val="18"/>
              </w:rPr>
              <w:fldChar w:fldCharType="separate"/>
            </w:r>
            <w:r w:rsidR="00C948F6">
              <w:rPr>
                <w:rFonts w:ascii="Times New Roman" w:hAnsi="Times New Roman" w:cs="Times New Roman"/>
                <w:noProof/>
                <w:color w:val="000000"/>
                <w:sz w:val="18"/>
                <w:szCs w:val="18"/>
              </w:rPr>
              <w:t>[24]</w:t>
            </w:r>
            <w:r w:rsidRPr="001C7F25">
              <w:rPr>
                <w:rFonts w:ascii="Times New Roman" w:hAnsi="Times New Roman" w:cs="Times New Roman"/>
                <w:color w:val="000000"/>
                <w:sz w:val="18"/>
                <w:szCs w:val="18"/>
              </w:rPr>
              <w:fldChar w:fldCharType="end"/>
            </w:r>
          </w:p>
        </w:tc>
      </w:tr>
      <w:tr w:rsidR="00FB3C83" w:rsidRPr="001C7F25" w14:paraId="10934818" w14:textId="77777777" w:rsidTr="00A9627E">
        <w:tc>
          <w:tcPr>
            <w:tcW w:w="1183" w:type="pct"/>
            <w:vAlign w:val="bottom"/>
          </w:tcPr>
          <w:p w14:paraId="12B25DC3"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HCC</w:t>
            </w:r>
          </w:p>
        </w:tc>
        <w:tc>
          <w:tcPr>
            <w:tcW w:w="568" w:type="pct"/>
          </w:tcPr>
          <w:p w14:paraId="5FC3BC5B"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0.662</w:t>
            </w:r>
          </w:p>
        </w:tc>
        <w:tc>
          <w:tcPr>
            <w:tcW w:w="1304" w:type="pct"/>
          </w:tcPr>
          <w:p w14:paraId="731DE9F0"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Beta (124.23, 63.43)</w:t>
            </w:r>
          </w:p>
        </w:tc>
        <w:tc>
          <w:tcPr>
            <w:tcW w:w="784" w:type="pct"/>
          </w:tcPr>
          <w:p w14:paraId="5DA49831"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0.869</w:t>
            </w:r>
          </w:p>
        </w:tc>
        <w:tc>
          <w:tcPr>
            <w:tcW w:w="574" w:type="pct"/>
          </w:tcPr>
          <w:p w14:paraId="0E6F8152"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0.762</w:t>
            </w:r>
          </w:p>
        </w:tc>
        <w:tc>
          <w:tcPr>
            <w:tcW w:w="587" w:type="pct"/>
            <w:vAlign w:val="bottom"/>
          </w:tcPr>
          <w:p w14:paraId="66C0E162" w14:textId="7CC216EA" w:rsidR="00FB3C83" w:rsidRPr="001C7F25" w:rsidRDefault="0014537E"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fldChar w:fldCharType="begin"/>
            </w:r>
            <w:r w:rsidR="00C948F6">
              <w:rPr>
                <w:rFonts w:ascii="Times New Roman" w:hAnsi="Times New Roman" w:cs="Times New Roman"/>
                <w:color w:val="000000"/>
                <w:sz w:val="18"/>
                <w:szCs w:val="18"/>
              </w:rPr>
              <w:instrText xml:space="preserve"> ADDIN EN.CITE &lt;EndNote&gt;&lt;Cite ExcludeYear="1"&gt;&lt;Author&gt;Saeed&lt;/Author&gt;&lt;Year&gt;2020&lt;/Year&gt;&lt;RecNum&gt;98&lt;/RecNum&gt;&lt;DisplayText&gt;[24]&lt;/DisplayText&gt;&lt;record&gt;&lt;rec-number&gt;98&lt;/rec-number&gt;&lt;foreign-keys&gt;&lt;key app="EN" db-id="tp0rz5a2v2s0v3edrfmpd2pftv2rfwre59az" timestamp="1608052960"&gt;98&lt;/key&gt;&lt;/foreign-keys&gt;&lt;ref-type name="Journal Article"&gt;17&lt;/ref-type&gt;&lt;contributors&gt;&lt;authors&gt;&lt;author&gt;Saeed, Yasmin A.&lt;/author&gt;&lt;author&gt;Phoon, Arcturus&lt;/author&gt;&lt;author&gt;Bielecki, Joanna M.&lt;/author&gt;&lt;author&gt;Mitsakakis, Nicholas&lt;/author&gt;&lt;author&gt;Bremner, Karen E.&lt;/author&gt;&lt;author&gt;Abrahamyan, Lusine&lt;/author&gt;&lt;author&gt;Pechlivanoglou, Petros&lt;/author&gt;&lt;author&gt;Feld, Jordan J.&lt;/author&gt;&lt;author&gt;Krahn, Murray&lt;/author&gt;&lt;author&gt;Wong, William W. L.&lt;/author&gt;&lt;/authors&gt;&lt;/contributors&gt;&lt;titles&gt;&lt;title&gt;A Systematic Review and Meta-Analysis of Health Utilities in Patients With Chronic Hepatitis C&lt;/title&gt;&lt;secondary-title&gt;Value in Health&lt;/secondary-title&gt;&lt;/titles&gt;&lt;periodical&gt;&lt;full-title&gt;Value in Health&lt;/full-title&gt;&lt;/periodical&gt;&lt;pages&gt;127-137&lt;/pages&gt;&lt;volume&gt;23&lt;/volume&gt;&lt;number&gt;1&lt;/number&gt;&lt;keywords&gt;&lt;keyword&gt;hepatitis C&lt;/keyword&gt;&lt;keyword&gt;patient preferences&lt;/keyword&gt;&lt;keyword&gt;patient-reported outcomes&lt;/keyword&gt;&lt;keyword&gt;quality of life&lt;/keyword&gt;&lt;keyword&gt;viral hepatitis&lt;/keyword&gt;&lt;/keywords&gt;&lt;dates&gt;&lt;year&gt;2020&lt;/year&gt;&lt;pub-dates&gt;&lt;date&gt;2020/01/01/&lt;/date&gt;&lt;/pub-dates&gt;&lt;/dates&gt;&lt;isbn&gt;1098-3015&lt;/isbn&gt;&lt;urls&gt;&lt;related-urls&gt;&lt;url&gt;http://www.sciencedirect.com/science/article/pii/S1098301519323009&lt;/url&gt;&lt;/related-urls&gt;&lt;/urls&gt;&lt;electronic-resource-num&gt;https://doi.org/10.1016/j.jval.2019.07.005&lt;/electronic-resource-num&gt;&lt;/record&gt;&lt;/Cite&gt;&lt;/EndNote&gt;</w:instrText>
            </w:r>
            <w:r w:rsidRPr="001C7F25">
              <w:rPr>
                <w:rFonts w:ascii="Times New Roman" w:hAnsi="Times New Roman" w:cs="Times New Roman"/>
                <w:color w:val="000000"/>
                <w:sz w:val="18"/>
                <w:szCs w:val="18"/>
              </w:rPr>
              <w:fldChar w:fldCharType="separate"/>
            </w:r>
            <w:r w:rsidR="00C948F6">
              <w:rPr>
                <w:rFonts w:ascii="Times New Roman" w:hAnsi="Times New Roman" w:cs="Times New Roman"/>
                <w:noProof/>
                <w:color w:val="000000"/>
                <w:sz w:val="18"/>
                <w:szCs w:val="18"/>
              </w:rPr>
              <w:t>[24]</w:t>
            </w:r>
            <w:r w:rsidRPr="001C7F25">
              <w:rPr>
                <w:rFonts w:ascii="Times New Roman" w:hAnsi="Times New Roman" w:cs="Times New Roman"/>
                <w:color w:val="000000"/>
                <w:sz w:val="18"/>
                <w:szCs w:val="18"/>
              </w:rPr>
              <w:fldChar w:fldCharType="end"/>
            </w:r>
          </w:p>
        </w:tc>
      </w:tr>
      <w:tr w:rsidR="00FB3C83" w:rsidRPr="001C7F25" w14:paraId="743B875A" w14:textId="77777777" w:rsidTr="00A9627E">
        <w:tc>
          <w:tcPr>
            <w:tcW w:w="1183" w:type="pct"/>
            <w:vAlign w:val="bottom"/>
          </w:tcPr>
          <w:p w14:paraId="7D416BE0"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Liver transplant (after first year)</w:t>
            </w:r>
          </w:p>
        </w:tc>
        <w:tc>
          <w:tcPr>
            <w:tcW w:w="568" w:type="pct"/>
          </w:tcPr>
          <w:p w14:paraId="51D46231"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0.657</w:t>
            </w:r>
          </w:p>
        </w:tc>
        <w:tc>
          <w:tcPr>
            <w:tcW w:w="1304" w:type="pct"/>
          </w:tcPr>
          <w:p w14:paraId="5BC7C857"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Beta (213.79, 111.61)</w:t>
            </w:r>
          </w:p>
        </w:tc>
        <w:tc>
          <w:tcPr>
            <w:tcW w:w="784" w:type="pct"/>
          </w:tcPr>
          <w:p w14:paraId="1A5DA9F1"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0.869</w:t>
            </w:r>
          </w:p>
        </w:tc>
        <w:tc>
          <w:tcPr>
            <w:tcW w:w="574" w:type="pct"/>
          </w:tcPr>
          <w:p w14:paraId="164D5174" w14:textId="77777777" w:rsidR="00FB3C83" w:rsidRPr="001C7F25" w:rsidRDefault="00FB3C83"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t>0.756</w:t>
            </w:r>
          </w:p>
        </w:tc>
        <w:tc>
          <w:tcPr>
            <w:tcW w:w="587" w:type="pct"/>
            <w:vAlign w:val="bottom"/>
          </w:tcPr>
          <w:p w14:paraId="2F3A8CE2" w14:textId="3350F3A8" w:rsidR="00FB3C83" w:rsidRPr="001C7F25" w:rsidRDefault="0014537E" w:rsidP="00A9627E">
            <w:pPr>
              <w:spacing w:line="360" w:lineRule="auto"/>
              <w:rPr>
                <w:rFonts w:ascii="Times New Roman" w:hAnsi="Times New Roman" w:cs="Times New Roman"/>
                <w:color w:val="000000"/>
                <w:sz w:val="18"/>
                <w:szCs w:val="18"/>
              </w:rPr>
            </w:pPr>
            <w:r w:rsidRPr="001C7F25">
              <w:rPr>
                <w:rFonts w:ascii="Times New Roman" w:hAnsi="Times New Roman" w:cs="Times New Roman"/>
                <w:color w:val="000000"/>
                <w:sz w:val="18"/>
                <w:szCs w:val="18"/>
              </w:rPr>
              <w:fldChar w:fldCharType="begin"/>
            </w:r>
            <w:r w:rsidR="00C948F6">
              <w:rPr>
                <w:rFonts w:ascii="Times New Roman" w:hAnsi="Times New Roman" w:cs="Times New Roman"/>
                <w:color w:val="000000"/>
                <w:sz w:val="18"/>
                <w:szCs w:val="18"/>
              </w:rPr>
              <w:instrText xml:space="preserve"> ADDIN EN.CITE &lt;EndNote&gt;&lt;Cite ExcludeYear="1"&gt;&lt;Author&gt;Saeed&lt;/Author&gt;&lt;Year&gt;2020&lt;/Year&gt;&lt;RecNum&gt;98&lt;/RecNum&gt;&lt;DisplayText&gt;[24]&lt;/DisplayText&gt;&lt;record&gt;&lt;rec-number&gt;98&lt;/rec-number&gt;&lt;foreign-keys&gt;&lt;key app="EN" db-id="tp0rz5a2v2s0v3edrfmpd2pftv2rfwre59az" timestamp="1608052960"&gt;98&lt;/key&gt;&lt;/foreign-keys&gt;&lt;ref-type name="Journal Article"&gt;17&lt;/ref-type&gt;&lt;contributors&gt;&lt;authors&gt;&lt;author&gt;Saeed, Yasmin A.&lt;/author&gt;&lt;author&gt;Phoon, Arcturus&lt;/author&gt;&lt;author&gt;Bielecki, Joanna M.&lt;/author&gt;&lt;author&gt;Mitsakakis, Nicholas&lt;/author&gt;&lt;author&gt;Bremner, Karen E.&lt;/author&gt;&lt;author&gt;Abrahamyan, Lusine&lt;/author&gt;&lt;author&gt;Pechlivanoglou, Petros&lt;/author&gt;&lt;author&gt;Feld, Jordan J.&lt;/author&gt;&lt;author&gt;Krahn, Murray&lt;/author&gt;&lt;author&gt;Wong, William W. L.&lt;/author&gt;&lt;/authors&gt;&lt;/contributors&gt;&lt;titles&gt;&lt;title&gt;A Systematic Review and Meta-Analysis of Health Utilities in Patients With Chronic Hepatitis C&lt;/title&gt;&lt;secondary-title&gt;Value in Health&lt;/secondary-title&gt;&lt;/titles&gt;&lt;periodical&gt;&lt;full-title&gt;Value in Health&lt;/full-title&gt;&lt;/periodical&gt;&lt;pages&gt;127-137&lt;/pages&gt;&lt;volume&gt;23&lt;/volume&gt;&lt;number&gt;1&lt;/number&gt;&lt;keywords&gt;&lt;keyword&gt;hepatitis C&lt;/keyword&gt;&lt;keyword&gt;patient preferences&lt;/keyword&gt;&lt;keyword&gt;patient-reported outcomes&lt;/keyword&gt;&lt;keyword&gt;quality of life&lt;/keyword&gt;&lt;keyword&gt;viral hepatitis&lt;/keyword&gt;&lt;/keywords&gt;&lt;dates&gt;&lt;year&gt;2020&lt;/year&gt;&lt;pub-dates&gt;&lt;date&gt;2020/01/01/&lt;/date&gt;&lt;/pub-dates&gt;&lt;/dates&gt;&lt;isbn&gt;1098-3015&lt;/isbn&gt;&lt;urls&gt;&lt;related-urls&gt;&lt;url&gt;http://www.sciencedirect.com/science/article/pii/S1098301519323009&lt;/url&gt;&lt;/related-urls&gt;&lt;/urls&gt;&lt;electronic-resource-num&gt;https://doi.org/10.1016/j.jval.2019.07.005&lt;/electronic-resource-num&gt;&lt;/record&gt;&lt;/Cite&gt;&lt;/EndNote&gt;</w:instrText>
            </w:r>
            <w:r w:rsidRPr="001C7F25">
              <w:rPr>
                <w:rFonts w:ascii="Times New Roman" w:hAnsi="Times New Roman" w:cs="Times New Roman"/>
                <w:color w:val="000000"/>
                <w:sz w:val="18"/>
                <w:szCs w:val="18"/>
              </w:rPr>
              <w:fldChar w:fldCharType="separate"/>
            </w:r>
            <w:r w:rsidR="00C948F6">
              <w:rPr>
                <w:rFonts w:ascii="Times New Roman" w:hAnsi="Times New Roman" w:cs="Times New Roman"/>
                <w:noProof/>
                <w:color w:val="000000"/>
                <w:sz w:val="18"/>
                <w:szCs w:val="18"/>
              </w:rPr>
              <w:t>[24]</w:t>
            </w:r>
            <w:r w:rsidRPr="001C7F25">
              <w:rPr>
                <w:rFonts w:ascii="Times New Roman" w:hAnsi="Times New Roman" w:cs="Times New Roman"/>
                <w:color w:val="000000"/>
                <w:sz w:val="18"/>
                <w:szCs w:val="18"/>
              </w:rPr>
              <w:fldChar w:fldCharType="end"/>
            </w:r>
          </w:p>
        </w:tc>
      </w:tr>
    </w:tbl>
    <w:p w14:paraId="5A6C28CF" w14:textId="5982C716" w:rsidR="00A84C62" w:rsidRPr="001C7F25" w:rsidRDefault="0013640C" w:rsidP="00AA4171">
      <w:pPr>
        <w:spacing w:line="360" w:lineRule="auto"/>
        <w:rPr>
          <w:rFonts w:ascii="Times New Roman" w:hAnsi="Times New Roman" w:cs="Times New Roman"/>
          <w:sz w:val="20"/>
          <w:szCs w:val="20"/>
        </w:rPr>
      </w:pPr>
      <w:r w:rsidRPr="001C7F25">
        <w:rPr>
          <w:rFonts w:ascii="Times New Roman" w:hAnsi="Times New Roman" w:cs="Times New Roman"/>
          <w:sz w:val="20"/>
          <w:szCs w:val="20"/>
          <w:vertAlign w:val="superscript"/>
        </w:rPr>
        <w:t>†</w:t>
      </w:r>
      <w:r w:rsidR="00FB3C83" w:rsidRPr="001C7F25">
        <w:rPr>
          <w:rFonts w:ascii="Times New Roman" w:hAnsi="Times New Roman" w:cs="Times New Roman"/>
          <w:sz w:val="20"/>
          <w:szCs w:val="20"/>
        </w:rPr>
        <w:t>Relative utility was estimated by dividing the health state utility by the age-matched general population utility value. The relative utility value was then multiplied by the age-based general population utility, calculated in each annual cycle, using the following formula, derived from Ara and Brazier 2010</w:t>
      </w:r>
      <w:r w:rsidR="0014537E" w:rsidRPr="001C7F25">
        <w:rPr>
          <w:rFonts w:ascii="Times New Roman" w:hAnsi="Times New Roman" w:cs="Times New Roman"/>
          <w:sz w:val="20"/>
          <w:szCs w:val="20"/>
        </w:rPr>
        <w:fldChar w:fldCharType="begin">
          <w:fldData xml:space="preserve">PEVuZE5vdGU+PENpdGUgRXhjbHVkZVllYXI9IjEiPjxBdXRob3I+QXJhPC9BdXRob3I+PFllYXI+
MjAxMDwvWWVhcj48UmVjTnVtPjk5PC9SZWNOdW0+PERpc3BsYXlUZXh0PlsyNl08L0Rpc3BsYXlU
ZXh0PjxyZWNvcmQ+PHJlYy1udW1iZXI+OTk8L3JlYy1udW1iZXI+PGZvcmVpZ24ta2V5cz48a2V5
IGFwcD0iRU4iIGRiLWlkPSJ0cDByejVhMnYyczB2M2VkcmZtcGQycGZ0djJyZndyZTU5YXoiIHRp
bWVzdGFtcD0iMTYxMTMyMjc0OCI+OTk8L2tleT48L2ZvcmVpZ24ta2V5cz48cmVmLXR5cGUgbmFt
ZT0iSm91cm5hbCBBcnRpY2xlIj4xNzwvcmVmLXR5cGU+PGNvbnRyaWJ1dG9ycz48YXV0aG9ycz48
YXV0aG9yPkFyYSwgUi48L2F1dGhvcj48YXV0aG9yPkJyYXppZXIsIEouIEUuPC9hdXRob3I+PC9h
dXRob3JzPjwvY29udHJpYnV0b3JzPjxhdXRoLWFkZHJlc3M+VW5pdmVyc2l0eSBvZiBTaGVmaWVs
ZCwgU2hlZmllbGQsIFVLLiByLm0uYXJhQHNoZWZmaWVsZC5hYy51azwvYXV0aC1hZGRyZXNzPjx0
aXRsZXM+PHRpdGxlPlBvcHVsYXRpbmcgYW4gZWNvbm9taWMgbW9kZWwgd2l0aCBoZWFsdGggc3Rh
dGUgdXRpbGl0eSB2YWx1ZXM6IG1vdmluZyB0b3dhcmQgYmV0dGVyIHByYWN0aWNlPC90aXRsZT48
c2Vjb25kYXJ5LXRpdGxlPlZhbHVlIEhlYWx0aDwvc2Vjb25kYXJ5LXRpdGxlPjxhbHQtdGl0bGU+
VmFsdWUgaW4gaGVhbHRoIDogdGhlIGpvdXJuYWwgb2YgdGhlIEludGVybmF0aW9uYWwgU29jaWV0
eSBmb3IgUGhhcm1hY29lY29ub21pY3MgYW5kIE91dGNvbWVzIFJlc2VhcmNoPC9hbHQtdGl0bGU+
PC90aXRsZXM+PHBlcmlvZGljYWw+PGZ1bGwtdGl0bGU+VmFsdWUgSGVhbHRoPC9mdWxsLXRpdGxl
PjwvcGVyaW9kaWNhbD48YWx0LXBlcmlvZGljYWw+PGZ1bGwtdGl0bGU+VmFsdWUgaW4gaGVhbHRo
IDogdGhlIGpvdXJuYWwgb2YgdGhlIEludGVybmF0aW9uYWwgU29jaWV0eSBmb3IgUGhhcm1hY29l
Y29ub21pY3MgYW5kIE91dGNvbWVzIFJlc2VhcmNoPC9mdWxsLXRpdGxlPjwvYWx0LXBlcmlvZGlj
YWw+PHBhZ2VzPjUwOS0xODwvcGFnZXM+PHZvbHVtZT4xMzwvdm9sdW1lPjxudW1iZXI+NTwvbnVt
YmVyPjxlZGl0aW9uPjIwMTAvMDMvMTc8L2VkaXRpb24+PGtleXdvcmRzPjxrZXl3b3JkPkFkb2xl
c2NlbnQ8L2tleXdvcmQ+PGtleXdvcmQ+QWR1bHQ8L2tleXdvcmQ+PGtleXdvcmQ+QWdlIEZhY3Rv
cnM8L2tleXdvcmQ+PGtleXdvcmQ+QWdlZDwva2V5d29yZD48a2V5d29yZD5BZ2VkLCA4MCBhbmQg
b3Zlcjwva2V5d29yZD48a2V5d29yZD5BbGdvcml0aG1zPC9rZXl3b3JkPjxrZXl3b3JkPkNhcmRp
b3Zhc2N1bGFyIERpc2Vhc2VzLyplY29ub21pY3MvcHN5Y2hvbG9neTwva2V5d29yZD48a2V5d29y
ZD5EYXRhIENvbGxlY3Rpb248L2tleXdvcmQ+PGtleXdvcmQ+RGVjaXNpb24gTWFraW5nPC9rZXl3
b3JkPjxrZXl3b3JkPkVuZ2xhbmQ8L2tleXdvcmQ+PGtleXdvcmQ+RmVtYWxlPC9rZXl3b3JkPjxr
ZXl3b3JkPkhlYWx0aCBTdGF0dXM8L2tleXdvcmQ+PGtleXdvcmQ+KkhlYWx0aCBTdGF0dXMgSW5k
aWNhdG9yczwva2V5d29yZD48a2V5d29yZD5IdW1hbnM8L2tleXdvcmQ+PGtleXdvcmQ+TWFsZTwv
a2V5d29yZD48a2V5d29yZD5NYXJrb3YgQ2hhaW5zPC9rZXl3b3JkPjxrZXl3b3JkPk1pZGRsZSBB
Z2VkPC9rZXl3b3JkPjxrZXl3b3JkPipNb2RlbHMsIEVjb25vbWljPC9rZXl3b3JkPjxrZXl3b3Jk
PlBpbG90IFByb2plY3RzPC9rZXl3b3JkPjxrZXl3b3JkPipRdWFsaXR5IG9mIExpZmU8L2tleXdv
cmQ+PGtleXdvcmQ+KlF1YWxpdHktQWRqdXN0ZWQgTGlmZSBZZWFyczwva2V5d29yZD48a2V5d29y
ZD5SZXNlYXJjaCBEZXNpZ248L2tleXdvcmQ+PGtleXdvcmQ+U3VydmV5cyBhbmQgUXVlc3Rpb25u
YWlyZXM8L2tleXdvcmQ+PGtleXdvcmQ+WW91bmcgQWR1bHQ8L2tleXdvcmQ+PC9rZXl3b3Jkcz48
ZGF0ZXM+PHllYXI+MjAxMDwveWVhcj48cHViLWRhdGVzPjxkYXRlPkF1ZzwvZGF0ZT48L3B1Yi1k
YXRlcz48L2RhdGVzPjxpc2JuPjEwOTgtMzAxNTwvaXNibj48YWNjZXNzaW9uLW51bT4yMDIzMDU0
NjwvYWNjZXNzaW9uLW51bT48dXJscz48L3VybHM+PGVsZWN0cm9uaWMtcmVzb3VyY2UtbnVtPjEw
LjExMTEvai4xNTI0LTQ3MzMuMjAxMC4wMDcwMC54PC9lbGVjdHJvbmljLXJlc291cmNlLW51bT48
cmVtb3RlLWRhdGFiYXNlLXByb3ZpZGVyPk5MTTwvcmVtb3RlLWRhdGFiYXNlLXByb3ZpZGVyPjxs
YW5ndWFnZT5lbmc8L2xhbmd1YWdlPjwvcmVjb3JkPjwvQ2l0ZT48L0VuZE5vdGU+AG==
</w:fldData>
        </w:fldChar>
      </w:r>
      <w:r w:rsidR="00C948F6">
        <w:rPr>
          <w:rFonts w:ascii="Times New Roman" w:hAnsi="Times New Roman" w:cs="Times New Roman"/>
          <w:sz w:val="20"/>
          <w:szCs w:val="20"/>
        </w:rPr>
        <w:instrText xml:space="preserve"> ADDIN EN.CITE </w:instrText>
      </w:r>
      <w:r w:rsidR="00C948F6">
        <w:rPr>
          <w:rFonts w:ascii="Times New Roman" w:hAnsi="Times New Roman" w:cs="Times New Roman"/>
          <w:sz w:val="20"/>
          <w:szCs w:val="20"/>
        </w:rPr>
        <w:fldChar w:fldCharType="begin">
          <w:fldData xml:space="preserve">PEVuZE5vdGU+PENpdGUgRXhjbHVkZVllYXI9IjEiPjxBdXRob3I+QXJhPC9BdXRob3I+PFllYXI+
MjAxMDwvWWVhcj48UmVjTnVtPjk5PC9SZWNOdW0+PERpc3BsYXlUZXh0PlsyNl08L0Rpc3BsYXlU
ZXh0PjxyZWNvcmQ+PHJlYy1udW1iZXI+OTk8L3JlYy1udW1iZXI+PGZvcmVpZ24ta2V5cz48a2V5
IGFwcD0iRU4iIGRiLWlkPSJ0cDByejVhMnYyczB2M2VkcmZtcGQycGZ0djJyZndyZTU5YXoiIHRp
bWVzdGFtcD0iMTYxMTMyMjc0OCI+OTk8L2tleT48L2ZvcmVpZ24ta2V5cz48cmVmLXR5cGUgbmFt
ZT0iSm91cm5hbCBBcnRpY2xlIj4xNzwvcmVmLXR5cGU+PGNvbnRyaWJ1dG9ycz48YXV0aG9ycz48
YXV0aG9yPkFyYSwgUi48L2F1dGhvcj48YXV0aG9yPkJyYXppZXIsIEouIEUuPC9hdXRob3I+PC9h
dXRob3JzPjwvY29udHJpYnV0b3JzPjxhdXRoLWFkZHJlc3M+VW5pdmVyc2l0eSBvZiBTaGVmaWVs
ZCwgU2hlZmllbGQsIFVLLiByLm0uYXJhQHNoZWZmaWVsZC5hYy51azwvYXV0aC1hZGRyZXNzPjx0
aXRsZXM+PHRpdGxlPlBvcHVsYXRpbmcgYW4gZWNvbm9taWMgbW9kZWwgd2l0aCBoZWFsdGggc3Rh
dGUgdXRpbGl0eSB2YWx1ZXM6IG1vdmluZyB0b3dhcmQgYmV0dGVyIHByYWN0aWNlPC90aXRsZT48
c2Vjb25kYXJ5LXRpdGxlPlZhbHVlIEhlYWx0aDwvc2Vjb25kYXJ5LXRpdGxlPjxhbHQtdGl0bGU+
VmFsdWUgaW4gaGVhbHRoIDogdGhlIGpvdXJuYWwgb2YgdGhlIEludGVybmF0aW9uYWwgU29jaWV0
eSBmb3IgUGhhcm1hY29lY29ub21pY3MgYW5kIE91dGNvbWVzIFJlc2VhcmNoPC9hbHQtdGl0bGU+
PC90aXRsZXM+PHBlcmlvZGljYWw+PGZ1bGwtdGl0bGU+VmFsdWUgSGVhbHRoPC9mdWxsLXRpdGxl
PjwvcGVyaW9kaWNhbD48YWx0LXBlcmlvZGljYWw+PGZ1bGwtdGl0bGU+VmFsdWUgaW4gaGVhbHRo
IDogdGhlIGpvdXJuYWwgb2YgdGhlIEludGVybmF0aW9uYWwgU29jaWV0eSBmb3IgUGhhcm1hY29l
Y29ub21pY3MgYW5kIE91dGNvbWVzIFJlc2VhcmNoPC9mdWxsLXRpdGxlPjwvYWx0LXBlcmlvZGlj
YWw+PHBhZ2VzPjUwOS0xODwvcGFnZXM+PHZvbHVtZT4xMzwvdm9sdW1lPjxudW1iZXI+NTwvbnVt
YmVyPjxlZGl0aW9uPjIwMTAvMDMvMTc8L2VkaXRpb24+PGtleXdvcmRzPjxrZXl3b3JkPkFkb2xl
c2NlbnQ8L2tleXdvcmQ+PGtleXdvcmQ+QWR1bHQ8L2tleXdvcmQ+PGtleXdvcmQ+QWdlIEZhY3Rv
cnM8L2tleXdvcmQ+PGtleXdvcmQ+QWdlZDwva2V5d29yZD48a2V5d29yZD5BZ2VkLCA4MCBhbmQg
b3Zlcjwva2V5d29yZD48a2V5d29yZD5BbGdvcml0aG1zPC9rZXl3b3JkPjxrZXl3b3JkPkNhcmRp
b3Zhc2N1bGFyIERpc2Vhc2VzLyplY29ub21pY3MvcHN5Y2hvbG9neTwva2V5d29yZD48a2V5d29y
ZD5EYXRhIENvbGxlY3Rpb248L2tleXdvcmQ+PGtleXdvcmQ+RGVjaXNpb24gTWFraW5nPC9rZXl3
b3JkPjxrZXl3b3JkPkVuZ2xhbmQ8L2tleXdvcmQ+PGtleXdvcmQ+RmVtYWxlPC9rZXl3b3JkPjxr
ZXl3b3JkPkhlYWx0aCBTdGF0dXM8L2tleXdvcmQ+PGtleXdvcmQ+KkhlYWx0aCBTdGF0dXMgSW5k
aWNhdG9yczwva2V5d29yZD48a2V5d29yZD5IdW1hbnM8L2tleXdvcmQ+PGtleXdvcmQ+TWFsZTwv
a2V5d29yZD48a2V5d29yZD5NYXJrb3YgQ2hhaW5zPC9rZXl3b3JkPjxrZXl3b3JkPk1pZGRsZSBB
Z2VkPC9rZXl3b3JkPjxrZXl3b3JkPipNb2RlbHMsIEVjb25vbWljPC9rZXl3b3JkPjxrZXl3b3Jk
PlBpbG90IFByb2plY3RzPC9rZXl3b3JkPjxrZXl3b3JkPipRdWFsaXR5IG9mIExpZmU8L2tleXdv
cmQ+PGtleXdvcmQ+KlF1YWxpdHktQWRqdXN0ZWQgTGlmZSBZZWFyczwva2V5d29yZD48a2V5d29y
ZD5SZXNlYXJjaCBEZXNpZ248L2tleXdvcmQ+PGtleXdvcmQ+U3VydmV5cyBhbmQgUXVlc3Rpb25u
YWlyZXM8L2tleXdvcmQ+PGtleXdvcmQ+WW91bmcgQWR1bHQ8L2tleXdvcmQ+PC9rZXl3b3Jkcz48
ZGF0ZXM+PHllYXI+MjAxMDwveWVhcj48cHViLWRhdGVzPjxkYXRlPkF1ZzwvZGF0ZT48L3B1Yi1k
YXRlcz48L2RhdGVzPjxpc2JuPjEwOTgtMzAxNTwvaXNibj48YWNjZXNzaW9uLW51bT4yMDIzMDU0
NjwvYWNjZXNzaW9uLW51bT48dXJscz48L3VybHM+PGVsZWN0cm9uaWMtcmVzb3VyY2UtbnVtPjEw
LjExMTEvai4xNTI0LTQ3MzMuMjAxMC4wMDcwMC54PC9lbGVjdHJvbmljLXJlc291cmNlLW51bT48
cmVtb3RlLWRhdGFiYXNlLXByb3ZpZGVyPk5MTTwvcmVtb3RlLWRhdGFiYXNlLXByb3ZpZGVyPjxs
YW5ndWFnZT5lbmc8L2xhbmd1YWdlPjwvcmVjb3JkPjwvQ2l0ZT48L0VuZE5vdGU+AG==
</w:fldData>
        </w:fldChar>
      </w:r>
      <w:r w:rsidR="00C948F6">
        <w:rPr>
          <w:rFonts w:ascii="Times New Roman" w:hAnsi="Times New Roman" w:cs="Times New Roman"/>
          <w:sz w:val="20"/>
          <w:szCs w:val="20"/>
        </w:rPr>
        <w:instrText xml:space="preserve"> ADDIN EN.CITE.DATA </w:instrText>
      </w:r>
      <w:r w:rsidR="00C948F6">
        <w:rPr>
          <w:rFonts w:ascii="Times New Roman" w:hAnsi="Times New Roman" w:cs="Times New Roman"/>
          <w:sz w:val="20"/>
          <w:szCs w:val="20"/>
        </w:rPr>
      </w:r>
      <w:r w:rsidR="00C948F6">
        <w:rPr>
          <w:rFonts w:ascii="Times New Roman" w:hAnsi="Times New Roman" w:cs="Times New Roman"/>
          <w:sz w:val="20"/>
          <w:szCs w:val="20"/>
        </w:rPr>
        <w:fldChar w:fldCharType="end"/>
      </w:r>
      <w:r w:rsidR="0014537E" w:rsidRPr="001C7F25">
        <w:rPr>
          <w:rFonts w:ascii="Times New Roman" w:hAnsi="Times New Roman" w:cs="Times New Roman"/>
          <w:sz w:val="20"/>
          <w:szCs w:val="20"/>
        </w:rPr>
        <w:fldChar w:fldCharType="separate"/>
      </w:r>
      <w:r w:rsidR="00C948F6">
        <w:rPr>
          <w:rFonts w:ascii="Times New Roman" w:hAnsi="Times New Roman" w:cs="Times New Roman"/>
          <w:noProof/>
          <w:sz w:val="20"/>
          <w:szCs w:val="20"/>
        </w:rPr>
        <w:t>[26]</w:t>
      </w:r>
      <w:r w:rsidR="0014537E" w:rsidRPr="001C7F25">
        <w:rPr>
          <w:rFonts w:ascii="Times New Roman" w:hAnsi="Times New Roman" w:cs="Times New Roman"/>
          <w:sz w:val="20"/>
          <w:szCs w:val="20"/>
        </w:rPr>
        <w:fldChar w:fldCharType="end"/>
      </w:r>
      <w:r w:rsidR="00FB3C83" w:rsidRPr="001C7F25">
        <w:rPr>
          <w:rFonts w:ascii="Times New Roman" w:hAnsi="Times New Roman" w:cs="Times New Roman"/>
          <w:sz w:val="20"/>
          <w:szCs w:val="20"/>
        </w:rPr>
        <w:t xml:space="preserve">: </w:t>
      </w:r>
      <w:r w:rsidR="00FB3C83" w:rsidRPr="001C7F25">
        <w:rPr>
          <w:rFonts w:ascii="Times New Roman" w:hAnsi="Times New Roman" w:cs="Times New Roman"/>
          <w:i/>
          <w:sz w:val="20"/>
          <w:szCs w:val="20"/>
        </w:rPr>
        <w:t xml:space="preserve">General Population, EQ-5D = 0.9508566 + 0.0212126*male </w:t>
      </w:r>
      <w:r w:rsidR="005828B3" w:rsidRPr="001C7F25">
        <w:rPr>
          <w:rFonts w:ascii="Times New Roman" w:hAnsi="Times New Roman" w:cs="Times New Roman"/>
          <w:i/>
          <w:sz w:val="20"/>
          <w:szCs w:val="20"/>
        </w:rPr>
        <w:t>–</w:t>
      </w:r>
      <w:r w:rsidR="00FB3C83" w:rsidRPr="001C7F25">
        <w:rPr>
          <w:rFonts w:ascii="Times New Roman" w:hAnsi="Times New Roman" w:cs="Times New Roman"/>
          <w:i/>
          <w:sz w:val="20"/>
          <w:szCs w:val="20"/>
        </w:rPr>
        <w:t xml:space="preserve"> 0.0002587*age </w:t>
      </w:r>
      <w:r w:rsidR="005828B3" w:rsidRPr="001C7F25">
        <w:rPr>
          <w:rFonts w:ascii="Times New Roman" w:hAnsi="Times New Roman" w:cs="Times New Roman"/>
          <w:i/>
          <w:sz w:val="20"/>
          <w:szCs w:val="20"/>
        </w:rPr>
        <w:t>–</w:t>
      </w:r>
      <w:r w:rsidR="00FB3C83" w:rsidRPr="001C7F25">
        <w:rPr>
          <w:rFonts w:ascii="Times New Roman" w:hAnsi="Times New Roman" w:cs="Times New Roman"/>
          <w:i/>
          <w:sz w:val="20"/>
          <w:szCs w:val="20"/>
        </w:rPr>
        <w:t xml:space="preserve"> 0.0000332*age^2</w:t>
      </w:r>
      <w:r w:rsidR="00FB3C83" w:rsidRPr="001C7F25">
        <w:rPr>
          <w:rFonts w:ascii="Times New Roman" w:hAnsi="Times New Roman" w:cs="Times New Roman"/>
          <w:sz w:val="20"/>
          <w:szCs w:val="20"/>
        </w:rPr>
        <w:t xml:space="preserve">.  </w:t>
      </w:r>
    </w:p>
    <w:p w14:paraId="2DC539B8" w14:textId="77777777" w:rsidR="00A84C62" w:rsidRPr="001C7F25" w:rsidRDefault="00A84C62" w:rsidP="00AA4171">
      <w:pPr>
        <w:spacing w:line="360" w:lineRule="auto"/>
        <w:rPr>
          <w:rFonts w:ascii="Times New Roman" w:hAnsi="Times New Roman" w:cs="Times New Roman"/>
          <w:sz w:val="20"/>
          <w:szCs w:val="20"/>
        </w:rPr>
      </w:pPr>
    </w:p>
    <w:p w14:paraId="3ABCBBCA" w14:textId="3DE83614" w:rsidR="00A84C62" w:rsidRPr="001C7F25" w:rsidRDefault="00A84C62" w:rsidP="00AA4171">
      <w:pPr>
        <w:spacing w:line="360" w:lineRule="auto"/>
        <w:rPr>
          <w:rFonts w:ascii="Times New Roman" w:hAnsi="Times New Roman" w:cs="Times New Roman"/>
          <w:sz w:val="20"/>
          <w:szCs w:val="20"/>
        </w:rPr>
      </w:pPr>
      <w:r w:rsidRPr="001C7F25">
        <w:rPr>
          <w:rFonts w:ascii="Times New Roman" w:hAnsi="Times New Roman" w:cs="Times New Roman"/>
          <w:noProof/>
          <w:sz w:val="20"/>
          <w:szCs w:val="20"/>
          <w:lang w:val="en-US"/>
        </w:rPr>
        <w:fldChar w:fldCharType="begin"/>
      </w:r>
      <w:r w:rsidRPr="001C7F25">
        <w:rPr>
          <w:rFonts w:ascii="Times New Roman" w:hAnsi="Times New Roman" w:cs="Times New Roman"/>
          <w:sz w:val="20"/>
          <w:szCs w:val="20"/>
        </w:rPr>
        <w:instrText xml:space="preserve"> ADDIN EN.SECTION.REFLIST </w:instrText>
      </w:r>
      <w:r w:rsidR="004043D5">
        <w:rPr>
          <w:rFonts w:ascii="Times New Roman" w:hAnsi="Times New Roman" w:cs="Times New Roman"/>
          <w:noProof/>
          <w:sz w:val="20"/>
          <w:szCs w:val="20"/>
          <w:lang w:val="en-US"/>
        </w:rPr>
        <w:fldChar w:fldCharType="separate"/>
      </w:r>
      <w:r w:rsidRPr="001C7F25">
        <w:rPr>
          <w:rFonts w:ascii="Times New Roman" w:hAnsi="Times New Roman" w:cs="Times New Roman"/>
          <w:sz w:val="20"/>
          <w:szCs w:val="20"/>
        </w:rPr>
        <w:fldChar w:fldCharType="end"/>
      </w:r>
    </w:p>
    <w:p w14:paraId="7715FD90" w14:textId="2BF03F64" w:rsidR="00AA4171" w:rsidRPr="001C7F25" w:rsidRDefault="00AA4171" w:rsidP="00AA4171">
      <w:pPr>
        <w:spacing w:line="360" w:lineRule="auto"/>
        <w:rPr>
          <w:rFonts w:ascii="Times New Roman" w:hAnsi="Times New Roman" w:cs="Times New Roman"/>
          <w:sz w:val="20"/>
          <w:szCs w:val="20"/>
        </w:rPr>
        <w:sectPr w:rsidR="00AA4171" w:rsidRPr="001C7F25" w:rsidSect="00746C36">
          <w:pgSz w:w="11906" w:h="16838"/>
          <w:pgMar w:top="1440" w:right="1440" w:bottom="1440" w:left="1440" w:header="708" w:footer="708" w:gutter="0"/>
          <w:cols w:space="708"/>
          <w:docGrid w:linePitch="360"/>
        </w:sectPr>
      </w:pPr>
    </w:p>
    <w:p w14:paraId="74F47C38" w14:textId="5AE6CA5B" w:rsidR="00751C97" w:rsidRPr="001C7F25" w:rsidRDefault="008D15ED" w:rsidP="00751C97">
      <w:pPr>
        <w:pStyle w:val="Caption"/>
        <w:keepNext/>
        <w:rPr>
          <w:rFonts w:ascii="Times New Roman" w:hAnsi="Times New Roman" w:cs="Times New Roman"/>
        </w:rPr>
      </w:pPr>
      <w:bookmarkStart w:id="3" w:name="_Ref83302787"/>
      <w:r w:rsidRPr="001C7F25">
        <w:rPr>
          <w:rFonts w:ascii="Times New Roman" w:hAnsi="Times New Roman" w:cs="Times New Roman"/>
        </w:rPr>
        <w:lastRenderedPageBreak/>
        <w:t xml:space="preserve">Appendix </w:t>
      </w:r>
      <w:r w:rsidR="00751C97"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7</w:t>
      </w:r>
      <w:r w:rsidR="00230EC9" w:rsidRPr="001C7F25">
        <w:rPr>
          <w:rFonts w:ascii="Times New Roman" w:hAnsi="Times New Roman" w:cs="Times New Roman"/>
          <w:noProof/>
        </w:rPr>
        <w:fldChar w:fldCharType="end"/>
      </w:r>
      <w:bookmarkEnd w:id="3"/>
      <w:r w:rsidR="00751C97" w:rsidRPr="001C7F25">
        <w:rPr>
          <w:rFonts w:ascii="Times New Roman" w:hAnsi="Times New Roman" w:cs="Times New Roman"/>
        </w:rPr>
        <w:t>: One-way deterministic sensitivity analyses of HBV testing, in</w:t>
      </w:r>
      <w:r w:rsidR="005828B3" w:rsidRPr="001C7F25">
        <w:rPr>
          <w:rFonts w:ascii="Times New Roman" w:hAnsi="Times New Roman" w:cs="Times New Roman"/>
        </w:rPr>
        <w:t xml:space="preserve"> LTHT</w:t>
      </w:r>
      <w:r w:rsidR="00751C97" w:rsidRPr="001C7F25">
        <w:rPr>
          <w:rFonts w:ascii="Times New Roman" w:hAnsi="Times New Roman" w:cs="Times New Roman"/>
        </w:rPr>
        <w:t xml:space="preserve"> Leeds and GSTT London</w:t>
      </w:r>
    </w:p>
    <w:tbl>
      <w:tblPr>
        <w:tblStyle w:val="TableGrid"/>
        <w:tblW w:w="0" w:type="auto"/>
        <w:tblLook w:val="04A0" w:firstRow="1" w:lastRow="0" w:firstColumn="1" w:lastColumn="0" w:noHBand="0" w:noVBand="1"/>
      </w:tblPr>
      <w:tblGrid>
        <w:gridCol w:w="8048"/>
        <w:gridCol w:w="2950"/>
        <w:gridCol w:w="2950"/>
      </w:tblGrid>
      <w:tr w:rsidR="00751C97" w:rsidRPr="001C7F25" w14:paraId="2AD2F123" w14:textId="77777777" w:rsidTr="00822332">
        <w:tc>
          <w:tcPr>
            <w:tcW w:w="8048" w:type="dxa"/>
          </w:tcPr>
          <w:p w14:paraId="624E7198" w14:textId="77777777" w:rsidR="00751C97" w:rsidRPr="001C7F25" w:rsidRDefault="00751C97" w:rsidP="00A9627E">
            <w:pPr>
              <w:rPr>
                <w:rFonts w:ascii="Times New Roman" w:hAnsi="Times New Roman" w:cs="Times New Roman"/>
                <w:sz w:val="20"/>
                <w:szCs w:val="20"/>
              </w:rPr>
            </w:pPr>
          </w:p>
        </w:tc>
        <w:tc>
          <w:tcPr>
            <w:tcW w:w="5900" w:type="dxa"/>
            <w:gridSpan w:val="2"/>
          </w:tcPr>
          <w:p w14:paraId="7668BACB" w14:textId="77777777" w:rsidR="00751C97" w:rsidRPr="001C7F25" w:rsidRDefault="00751C97" w:rsidP="00A9627E">
            <w:pPr>
              <w:jc w:val="center"/>
              <w:rPr>
                <w:rFonts w:ascii="Times New Roman" w:hAnsi="Times New Roman" w:cs="Times New Roman"/>
                <w:b/>
                <w:bCs/>
                <w:sz w:val="20"/>
                <w:szCs w:val="20"/>
              </w:rPr>
            </w:pPr>
            <w:r w:rsidRPr="001C7F25">
              <w:rPr>
                <w:rFonts w:ascii="Times New Roman" w:hAnsi="Times New Roman" w:cs="Times New Roman"/>
                <w:b/>
                <w:bCs/>
                <w:sz w:val="20"/>
                <w:szCs w:val="20"/>
              </w:rPr>
              <w:t>ICER</w:t>
            </w:r>
          </w:p>
        </w:tc>
      </w:tr>
      <w:tr w:rsidR="00751C97" w:rsidRPr="001C7F25" w14:paraId="0D384ABB" w14:textId="77777777" w:rsidTr="00822332">
        <w:tc>
          <w:tcPr>
            <w:tcW w:w="8048" w:type="dxa"/>
          </w:tcPr>
          <w:p w14:paraId="79799B10" w14:textId="77777777" w:rsidR="00751C97" w:rsidRPr="001C7F25" w:rsidRDefault="00751C97" w:rsidP="00A9627E">
            <w:pPr>
              <w:rPr>
                <w:rFonts w:ascii="Times New Roman" w:hAnsi="Times New Roman" w:cs="Times New Roman"/>
                <w:b/>
                <w:bCs/>
                <w:sz w:val="20"/>
                <w:szCs w:val="20"/>
              </w:rPr>
            </w:pPr>
            <w:r w:rsidRPr="001C7F25">
              <w:rPr>
                <w:rFonts w:ascii="Times New Roman" w:hAnsi="Times New Roman" w:cs="Times New Roman"/>
                <w:b/>
                <w:bCs/>
                <w:sz w:val="20"/>
                <w:szCs w:val="20"/>
              </w:rPr>
              <w:t>Deterministic sensitivity analysis</w:t>
            </w:r>
          </w:p>
        </w:tc>
        <w:tc>
          <w:tcPr>
            <w:tcW w:w="2950" w:type="dxa"/>
          </w:tcPr>
          <w:p w14:paraId="493E9C5D" w14:textId="46B9A262" w:rsidR="00751C97" w:rsidRPr="001C7F25" w:rsidRDefault="000E0263" w:rsidP="00A9627E">
            <w:pPr>
              <w:jc w:val="right"/>
              <w:rPr>
                <w:rFonts w:ascii="Times New Roman" w:hAnsi="Times New Roman" w:cs="Times New Roman"/>
                <w:b/>
                <w:bCs/>
                <w:sz w:val="20"/>
                <w:szCs w:val="20"/>
              </w:rPr>
            </w:pPr>
            <w:r w:rsidRPr="001C7F25">
              <w:rPr>
                <w:rFonts w:ascii="Times New Roman" w:hAnsi="Times New Roman" w:cs="Times New Roman"/>
                <w:b/>
                <w:bCs/>
                <w:sz w:val="20"/>
                <w:szCs w:val="20"/>
              </w:rPr>
              <w:t xml:space="preserve">LTHT, </w:t>
            </w:r>
            <w:r w:rsidR="00751C97" w:rsidRPr="001C7F25">
              <w:rPr>
                <w:rFonts w:ascii="Times New Roman" w:hAnsi="Times New Roman" w:cs="Times New Roman"/>
                <w:b/>
                <w:bCs/>
                <w:sz w:val="20"/>
                <w:szCs w:val="20"/>
              </w:rPr>
              <w:t>Leeds</w:t>
            </w:r>
          </w:p>
        </w:tc>
        <w:tc>
          <w:tcPr>
            <w:tcW w:w="2950" w:type="dxa"/>
          </w:tcPr>
          <w:p w14:paraId="020176D4" w14:textId="77777777" w:rsidR="00751C97" w:rsidRPr="001C7F25" w:rsidRDefault="00751C97" w:rsidP="00A9627E">
            <w:pPr>
              <w:jc w:val="right"/>
              <w:rPr>
                <w:rFonts w:ascii="Times New Roman" w:hAnsi="Times New Roman" w:cs="Times New Roman"/>
                <w:b/>
                <w:bCs/>
                <w:sz w:val="20"/>
                <w:szCs w:val="20"/>
              </w:rPr>
            </w:pPr>
            <w:r w:rsidRPr="001C7F25">
              <w:rPr>
                <w:rFonts w:ascii="Times New Roman" w:hAnsi="Times New Roman" w:cs="Times New Roman"/>
                <w:b/>
                <w:bCs/>
                <w:sz w:val="20"/>
                <w:szCs w:val="20"/>
              </w:rPr>
              <w:t>GSTT, London</w:t>
            </w:r>
          </w:p>
        </w:tc>
      </w:tr>
      <w:tr w:rsidR="008D4A83" w:rsidRPr="001C7F25" w14:paraId="14E2A3E2" w14:textId="77777777" w:rsidTr="00822332">
        <w:tc>
          <w:tcPr>
            <w:tcW w:w="8048" w:type="dxa"/>
          </w:tcPr>
          <w:p w14:paraId="4397A5C0" w14:textId="10B837DB"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Base case</w:t>
            </w:r>
          </w:p>
        </w:tc>
        <w:tc>
          <w:tcPr>
            <w:tcW w:w="2950" w:type="dxa"/>
          </w:tcPr>
          <w:p w14:paraId="2BBEA1F7" w14:textId="73E9E3D2"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£9,728</w:t>
            </w:r>
          </w:p>
        </w:tc>
        <w:tc>
          <w:tcPr>
            <w:tcW w:w="2950" w:type="dxa"/>
          </w:tcPr>
          <w:p w14:paraId="4B584883" w14:textId="1A89A63A"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£9,833</w:t>
            </w:r>
          </w:p>
        </w:tc>
      </w:tr>
      <w:tr w:rsidR="008D4A83" w:rsidRPr="001C7F25" w14:paraId="184E4FAD" w14:textId="77777777" w:rsidTr="00822332">
        <w:tc>
          <w:tcPr>
            <w:tcW w:w="8048" w:type="dxa"/>
          </w:tcPr>
          <w:p w14:paraId="1F8E36CA" w14:textId="7FC46487"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Full time band 6 nurse for contacting patients</w:t>
            </w:r>
            <w:r w:rsidRPr="001C7F25">
              <w:rPr>
                <w:rFonts w:ascii="Times New Roman" w:hAnsi="Times New Roman" w:cs="Times New Roman"/>
                <w:sz w:val="18"/>
                <w:szCs w:val="18"/>
                <w:vertAlign w:val="superscript"/>
              </w:rPr>
              <w:t>†</w:t>
            </w:r>
          </w:p>
        </w:tc>
        <w:tc>
          <w:tcPr>
            <w:tcW w:w="2950" w:type="dxa"/>
          </w:tcPr>
          <w:p w14:paraId="2DD8998F" w14:textId="4CC447C7"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£9,930</w:t>
            </w:r>
          </w:p>
        </w:tc>
        <w:tc>
          <w:tcPr>
            <w:tcW w:w="2950" w:type="dxa"/>
          </w:tcPr>
          <w:p w14:paraId="6987C2F0" w14:textId="2F86898D"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£9,945</w:t>
            </w:r>
          </w:p>
        </w:tc>
      </w:tr>
      <w:tr w:rsidR="008D4A83" w:rsidRPr="001C7F25" w14:paraId="112E7D78" w14:textId="77777777" w:rsidTr="00822332">
        <w:tc>
          <w:tcPr>
            <w:tcW w:w="8048" w:type="dxa"/>
          </w:tcPr>
          <w:p w14:paraId="6F4E4DAF" w14:textId="43E5A6E1"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Proportion attending referral (50% for both settings)</w:t>
            </w:r>
            <w:r w:rsidRPr="001C7F25">
              <w:rPr>
                <w:rFonts w:ascii="Times New Roman" w:hAnsi="Times New Roman" w:cs="Times New Roman"/>
                <w:sz w:val="20"/>
                <w:szCs w:val="20"/>
                <w:vertAlign w:val="superscript"/>
              </w:rPr>
              <w:t>‡</w:t>
            </w:r>
          </w:p>
        </w:tc>
        <w:tc>
          <w:tcPr>
            <w:tcW w:w="2950" w:type="dxa"/>
          </w:tcPr>
          <w:p w14:paraId="2A0726B7" w14:textId="623BC73F"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£13,598</w:t>
            </w:r>
          </w:p>
        </w:tc>
        <w:tc>
          <w:tcPr>
            <w:tcW w:w="2950" w:type="dxa"/>
          </w:tcPr>
          <w:p w14:paraId="6F6502EF" w14:textId="454DB217"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£13,064</w:t>
            </w:r>
          </w:p>
        </w:tc>
      </w:tr>
      <w:tr w:rsidR="008D4A83" w:rsidRPr="001C7F25" w14:paraId="561B511C" w14:textId="77777777" w:rsidTr="00822332">
        <w:tc>
          <w:tcPr>
            <w:tcW w:w="8048" w:type="dxa"/>
          </w:tcPr>
          <w:p w14:paraId="2FAFCEBF" w14:textId="48AC9775"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Proportion attending referral (90% for both settings)</w:t>
            </w:r>
            <w:r w:rsidRPr="001C7F25">
              <w:rPr>
                <w:rFonts w:ascii="Times New Roman" w:hAnsi="Times New Roman" w:cs="Times New Roman"/>
                <w:sz w:val="20"/>
                <w:szCs w:val="20"/>
                <w:vertAlign w:val="superscript"/>
              </w:rPr>
              <w:t>‡</w:t>
            </w:r>
          </w:p>
        </w:tc>
        <w:tc>
          <w:tcPr>
            <w:tcW w:w="2950" w:type="dxa"/>
          </w:tcPr>
          <w:p w14:paraId="069B4736" w14:textId="2DF79F6D"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£8,090</w:t>
            </w:r>
          </w:p>
        </w:tc>
        <w:tc>
          <w:tcPr>
            <w:tcW w:w="2950" w:type="dxa"/>
          </w:tcPr>
          <w:p w14:paraId="0E07A395" w14:textId="14CD46C3"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£8,592</w:t>
            </w:r>
          </w:p>
        </w:tc>
      </w:tr>
      <w:tr w:rsidR="008D4A83" w:rsidRPr="001C7F25" w14:paraId="79A209B7" w14:textId="77777777" w:rsidTr="00822332">
        <w:tc>
          <w:tcPr>
            <w:tcW w:w="8048" w:type="dxa"/>
          </w:tcPr>
          <w:p w14:paraId="55B5C3DB" w14:textId="0425CA93" w:rsidR="008D4A83" w:rsidRPr="001C7F25" w:rsidRDefault="008D4A83" w:rsidP="008D4A83">
            <w:pPr>
              <w:rPr>
                <w:rFonts w:ascii="Times New Roman" w:hAnsi="Times New Roman" w:cs="Times New Roman"/>
                <w:color w:val="000000"/>
                <w:sz w:val="20"/>
                <w:szCs w:val="20"/>
              </w:rPr>
            </w:pPr>
            <w:r w:rsidRPr="001C7F25">
              <w:rPr>
                <w:rFonts w:ascii="Times New Roman" w:hAnsi="Times New Roman" w:cs="Times New Roman"/>
                <w:sz w:val="20"/>
                <w:szCs w:val="20"/>
              </w:rPr>
              <w:t>Treatment adherence - 6.7% disengage each year</w:t>
            </w:r>
          </w:p>
        </w:tc>
        <w:tc>
          <w:tcPr>
            <w:tcW w:w="2950" w:type="dxa"/>
          </w:tcPr>
          <w:p w14:paraId="39278F96" w14:textId="68711A7F"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£12,407</w:t>
            </w:r>
          </w:p>
        </w:tc>
        <w:tc>
          <w:tcPr>
            <w:tcW w:w="2950" w:type="dxa"/>
          </w:tcPr>
          <w:p w14:paraId="3DBC3DF7" w14:textId="25D0610F"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£11,222</w:t>
            </w:r>
          </w:p>
        </w:tc>
      </w:tr>
      <w:tr w:rsidR="008D4A83" w:rsidRPr="001C7F25" w14:paraId="7FE3BF63" w14:textId="77777777" w:rsidTr="00822332">
        <w:tc>
          <w:tcPr>
            <w:tcW w:w="8048" w:type="dxa"/>
          </w:tcPr>
          <w:p w14:paraId="585B9B47" w14:textId="182064FF"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Background rate of testing - 50% lower</w:t>
            </w:r>
          </w:p>
        </w:tc>
        <w:tc>
          <w:tcPr>
            <w:tcW w:w="2950" w:type="dxa"/>
          </w:tcPr>
          <w:p w14:paraId="4D60DEEA" w14:textId="3056CEA9"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£9,134</w:t>
            </w:r>
          </w:p>
        </w:tc>
        <w:tc>
          <w:tcPr>
            <w:tcW w:w="2950" w:type="dxa"/>
          </w:tcPr>
          <w:p w14:paraId="185494F8" w14:textId="2B458B9A"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£9,665</w:t>
            </w:r>
          </w:p>
        </w:tc>
      </w:tr>
      <w:tr w:rsidR="008D4A83" w:rsidRPr="001C7F25" w14:paraId="187BC9C2" w14:textId="77777777" w:rsidTr="00822332">
        <w:tc>
          <w:tcPr>
            <w:tcW w:w="8048" w:type="dxa"/>
          </w:tcPr>
          <w:p w14:paraId="5F323C3D" w14:textId="309977CD"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Background rate of testing - 50% higher</w:t>
            </w:r>
          </w:p>
        </w:tc>
        <w:tc>
          <w:tcPr>
            <w:tcW w:w="2950" w:type="dxa"/>
          </w:tcPr>
          <w:p w14:paraId="253DD2FE" w14:textId="5277A795"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£10,589</w:t>
            </w:r>
          </w:p>
        </w:tc>
        <w:tc>
          <w:tcPr>
            <w:tcW w:w="2950" w:type="dxa"/>
          </w:tcPr>
          <w:p w14:paraId="4FD42427" w14:textId="72818DE6"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£10,080</w:t>
            </w:r>
          </w:p>
        </w:tc>
      </w:tr>
      <w:tr w:rsidR="008D4A83" w:rsidRPr="001C7F25" w14:paraId="26B5D4C8" w14:textId="77777777" w:rsidTr="00822332">
        <w:tc>
          <w:tcPr>
            <w:tcW w:w="8048" w:type="dxa"/>
          </w:tcPr>
          <w:p w14:paraId="5FF7C5EE" w14:textId="4F00DB1C"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Age of HBV+ case: 35 years</w:t>
            </w:r>
          </w:p>
        </w:tc>
        <w:tc>
          <w:tcPr>
            <w:tcW w:w="2950" w:type="dxa"/>
          </w:tcPr>
          <w:p w14:paraId="3F712CFA" w14:textId="41F644D5"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£9,575</w:t>
            </w:r>
          </w:p>
        </w:tc>
        <w:tc>
          <w:tcPr>
            <w:tcW w:w="2950" w:type="dxa"/>
          </w:tcPr>
          <w:p w14:paraId="73D753C6" w14:textId="79B63231"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£8,997</w:t>
            </w:r>
          </w:p>
        </w:tc>
      </w:tr>
      <w:tr w:rsidR="008D4A83" w:rsidRPr="001C7F25" w14:paraId="1D172DC7" w14:textId="77777777" w:rsidTr="00822332">
        <w:tc>
          <w:tcPr>
            <w:tcW w:w="8048" w:type="dxa"/>
          </w:tcPr>
          <w:p w14:paraId="28B0CE41" w14:textId="585D8D0B"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Age of HBV+ case: 55 years</w:t>
            </w:r>
          </w:p>
        </w:tc>
        <w:tc>
          <w:tcPr>
            <w:tcW w:w="2950" w:type="dxa"/>
          </w:tcPr>
          <w:p w14:paraId="21E56609" w14:textId="7DE5FB2F"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£10,804</w:t>
            </w:r>
          </w:p>
        </w:tc>
        <w:tc>
          <w:tcPr>
            <w:tcW w:w="2950" w:type="dxa"/>
          </w:tcPr>
          <w:p w14:paraId="7888399D" w14:textId="5663A977"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£10,721</w:t>
            </w:r>
          </w:p>
        </w:tc>
      </w:tr>
      <w:tr w:rsidR="008D4A83" w:rsidRPr="001C7F25" w14:paraId="1EFF49B1" w14:textId="77777777" w:rsidTr="00822332">
        <w:tc>
          <w:tcPr>
            <w:tcW w:w="8048" w:type="dxa"/>
          </w:tcPr>
          <w:p w14:paraId="1D43FAF2" w14:textId="4C07A05C"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Test costs equal to Leeds</w:t>
            </w:r>
          </w:p>
        </w:tc>
        <w:tc>
          <w:tcPr>
            <w:tcW w:w="2950" w:type="dxa"/>
          </w:tcPr>
          <w:p w14:paraId="53FECC9C" w14:textId="79540E5A"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w:t>
            </w:r>
          </w:p>
        </w:tc>
        <w:tc>
          <w:tcPr>
            <w:tcW w:w="2950" w:type="dxa"/>
          </w:tcPr>
          <w:p w14:paraId="70FC6D70" w14:textId="23D343D1"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£8,745</w:t>
            </w:r>
          </w:p>
        </w:tc>
      </w:tr>
    </w:tbl>
    <w:p w14:paraId="469F59F4" w14:textId="17324EC3" w:rsidR="008D4A83" w:rsidRPr="001C7F25" w:rsidRDefault="00AE165C" w:rsidP="002C67E4">
      <w:pPr>
        <w:spacing w:after="40" w:line="240" w:lineRule="auto"/>
        <w:rPr>
          <w:rFonts w:ascii="Times New Roman" w:hAnsi="Times New Roman" w:cs="Times New Roman"/>
          <w:sz w:val="18"/>
          <w:szCs w:val="18"/>
        </w:rPr>
      </w:pPr>
      <w:r w:rsidRPr="001C7F25">
        <w:rPr>
          <w:rFonts w:ascii="Times New Roman" w:hAnsi="Times New Roman" w:cs="Times New Roman"/>
          <w:sz w:val="18"/>
          <w:szCs w:val="18"/>
          <w:vertAlign w:val="superscript"/>
        </w:rPr>
        <w:t>†</w:t>
      </w:r>
      <w:r w:rsidR="008D4A83" w:rsidRPr="001C7F25">
        <w:rPr>
          <w:rFonts w:ascii="Times New Roman" w:hAnsi="Times New Roman" w:cs="Times New Roman"/>
          <w:sz w:val="18"/>
          <w:szCs w:val="18"/>
        </w:rPr>
        <w:t>Assumes cost to contact patients of £</w:t>
      </w:r>
      <w:r w:rsidR="00412221" w:rsidRPr="001C7F25">
        <w:rPr>
          <w:rFonts w:ascii="Times New Roman" w:hAnsi="Times New Roman" w:cs="Times New Roman"/>
          <w:sz w:val="18"/>
          <w:szCs w:val="18"/>
        </w:rPr>
        <w:t>110.83</w:t>
      </w:r>
      <w:r w:rsidR="008D4A83" w:rsidRPr="001C7F25">
        <w:rPr>
          <w:rFonts w:ascii="Times New Roman" w:hAnsi="Times New Roman" w:cs="Times New Roman"/>
          <w:sz w:val="18"/>
          <w:szCs w:val="18"/>
        </w:rPr>
        <w:t xml:space="preserve"> for LTHT in Leeds, and £</w:t>
      </w:r>
      <w:r w:rsidR="00412221" w:rsidRPr="001C7F25">
        <w:rPr>
          <w:rFonts w:ascii="Times New Roman" w:hAnsi="Times New Roman" w:cs="Times New Roman"/>
          <w:sz w:val="18"/>
          <w:szCs w:val="18"/>
        </w:rPr>
        <w:t>81.66</w:t>
      </w:r>
      <w:r w:rsidR="008D4A83" w:rsidRPr="001C7F25">
        <w:rPr>
          <w:rFonts w:ascii="Times New Roman" w:hAnsi="Times New Roman" w:cs="Times New Roman"/>
          <w:sz w:val="18"/>
          <w:szCs w:val="18"/>
        </w:rPr>
        <w:t xml:space="preserve"> for GSTT in London</w:t>
      </w:r>
      <w:r w:rsidR="00412221" w:rsidRPr="001C7F25">
        <w:rPr>
          <w:rFonts w:ascii="Times New Roman" w:hAnsi="Times New Roman" w:cs="Times New Roman"/>
          <w:sz w:val="18"/>
          <w:szCs w:val="18"/>
        </w:rPr>
        <w:t xml:space="preserve"> </w:t>
      </w:r>
    </w:p>
    <w:p w14:paraId="5B26EC73" w14:textId="5C04D7F5" w:rsidR="008D4A83" w:rsidRPr="001C7F25" w:rsidRDefault="008D4A83">
      <w:pPr>
        <w:rPr>
          <w:rFonts w:ascii="Times New Roman" w:hAnsi="Times New Roman" w:cs="Times New Roman"/>
          <w:sz w:val="18"/>
          <w:szCs w:val="18"/>
        </w:rPr>
      </w:pPr>
      <w:r w:rsidRPr="001C7F25">
        <w:rPr>
          <w:rFonts w:ascii="Times New Roman" w:hAnsi="Times New Roman" w:cs="Times New Roman"/>
          <w:sz w:val="18"/>
          <w:szCs w:val="18"/>
          <w:vertAlign w:val="superscript"/>
        </w:rPr>
        <w:t>‡</w:t>
      </w:r>
      <w:r w:rsidR="00AE165C" w:rsidRPr="001C7F25">
        <w:rPr>
          <w:rFonts w:ascii="Times New Roman" w:hAnsi="Times New Roman" w:cs="Times New Roman"/>
          <w:sz w:val="18"/>
          <w:szCs w:val="18"/>
        </w:rPr>
        <w:t xml:space="preserve">The proportion of patients contacted and attending their referral in the base case is 69.2% for LTHT in Leeds, and 71.1% for GSTT in London. </w:t>
      </w:r>
    </w:p>
    <w:p w14:paraId="78052AC2" w14:textId="1752B643" w:rsidR="00751C97" w:rsidRPr="001C7F25" w:rsidRDefault="00751C97">
      <w:pPr>
        <w:rPr>
          <w:rFonts w:ascii="Times New Roman" w:hAnsi="Times New Roman" w:cs="Times New Roman"/>
          <w:i/>
          <w:iCs/>
          <w:color w:val="44546A" w:themeColor="text2"/>
          <w:sz w:val="18"/>
          <w:szCs w:val="18"/>
        </w:rPr>
      </w:pPr>
      <w:r w:rsidRPr="001C7F25">
        <w:rPr>
          <w:rFonts w:ascii="Times New Roman" w:hAnsi="Times New Roman" w:cs="Times New Roman"/>
        </w:rPr>
        <w:br w:type="page"/>
      </w:r>
    </w:p>
    <w:p w14:paraId="330637A6" w14:textId="453F448B" w:rsidR="00AA4171" w:rsidRPr="001C7F25" w:rsidRDefault="008D15ED" w:rsidP="00AA4171">
      <w:pPr>
        <w:pStyle w:val="Caption"/>
        <w:keepNext/>
        <w:rPr>
          <w:rFonts w:ascii="Times New Roman" w:hAnsi="Times New Roman" w:cs="Times New Roman"/>
        </w:rPr>
      </w:pPr>
      <w:bookmarkStart w:id="4" w:name="_Ref83302798"/>
      <w:r w:rsidRPr="001C7F25">
        <w:rPr>
          <w:rFonts w:ascii="Times New Roman" w:hAnsi="Times New Roman" w:cs="Times New Roman"/>
        </w:rPr>
        <w:lastRenderedPageBreak/>
        <w:t xml:space="preserve">Appendix </w:t>
      </w:r>
      <w:r w:rsidR="00AA4171"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8</w:t>
      </w:r>
      <w:r w:rsidR="00230EC9" w:rsidRPr="001C7F25">
        <w:rPr>
          <w:rFonts w:ascii="Times New Roman" w:hAnsi="Times New Roman" w:cs="Times New Roman"/>
          <w:noProof/>
        </w:rPr>
        <w:fldChar w:fldCharType="end"/>
      </w:r>
      <w:bookmarkEnd w:id="4"/>
      <w:r w:rsidR="00AA4171" w:rsidRPr="001C7F25">
        <w:rPr>
          <w:rFonts w:ascii="Times New Roman" w:hAnsi="Times New Roman" w:cs="Times New Roman"/>
        </w:rPr>
        <w:t xml:space="preserve">: </w:t>
      </w:r>
      <w:r w:rsidR="00751C97" w:rsidRPr="001C7F25">
        <w:rPr>
          <w:rFonts w:ascii="Times New Roman" w:hAnsi="Times New Roman" w:cs="Times New Roman"/>
        </w:rPr>
        <w:t xml:space="preserve">One-way deterministic sensitivity analyses of HCV testing, in </w:t>
      </w:r>
      <w:r w:rsidR="009C705C" w:rsidRPr="001C7F25">
        <w:rPr>
          <w:rFonts w:ascii="Times New Roman" w:hAnsi="Times New Roman" w:cs="Times New Roman"/>
        </w:rPr>
        <w:t>L</w:t>
      </w:r>
      <w:r w:rsidR="00C350EE" w:rsidRPr="001C7F25">
        <w:rPr>
          <w:rFonts w:ascii="Times New Roman" w:hAnsi="Times New Roman" w:cs="Times New Roman"/>
        </w:rPr>
        <w:t>T</w:t>
      </w:r>
      <w:r w:rsidR="009C705C" w:rsidRPr="001C7F25">
        <w:rPr>
          <w:rFonts w:ascii="Times New Roman" w:hAnsi="Times New Roman" w:cs="Times New Roman"/>
        </w:rPr>
        <w:t xml:space="preserve">HT </w:t>
      </w:r>
      <w:r w:rsidR="00751C97" w:rsidRPr="001C7F25">
        <w:rPr>
          <w:rFonts w:ascii="Times New Roman" w:hAnsi="Times New Roman" w:cs="Times New Roman"/>
        </w:rPr>
        <w:t>Leeds and GSTT London</w:t>
      </w:r>
    </w:p>
    <w:tbl>
      <w:tblPr>
        <w:tblStyle w:val="TableGrid"/>
        <w:tblW w:w="0" w:type="auto"/>
        <w:tblLook w:val="04A0" w:firstRow="1" w:lastRow="0" w:firstColumn="1" w:lastColumn="0" w:noHBand="0" w:noVBand="1"/>
      </w:tblPr>
      <w:tblGrid>
        <w:gridCol w:w="8044"/>
        <w:gridCol w:w="2949"/>
        <w:gridCol w:w="2955"/>
      </w:tblGrid>
      <w:tr w:rsidR="00AA4171" w:rsidRPr="001C7F25" w14:paraId="5F477CA3" w14:textId="77777777" w:rsidTr="00393BC0">
        <w:tc>
          <w:tcPr>
            <w:tcW w:w="8044" w:type="dxa"/>
          </w:tcPr>
          <w:p w14:paraId="78702548" w14:textId="77777777" w:rsidR="00AA4171" w:rsidRPr="001C7F25" w:rsidRDefault="00AA4171">
            <w:pPr>
              <w:rPr>
                <w:rFonts w:ascii="Times New Roman" w:hAnsi="Times New Roman" w:cs="Times New Roman"/>
                <w:sz w:val="20"/>
                <w:szCs w:val="20"/>
              </w:rPr>
            </w:pPr>
          </w:p>
        </w:tc>
        <w:tc>
          <w:tcPr>
            <w:tcW w:w="5904" w:type="dxa"/>
            <w:gridSpan w:val="2"/>
          </w:tcPr>
          <w:p w14:paraId="6E58C9ED" w14:textId="7CDEC3D0" w:rsidR="00AA4171" w:rsidRPr="001C7F25" w:rsidRDefault="00AA4171" w:rsidP="00AA4171">
            <w:pPr>
              <w:jc w:val="center"/>
              <w:rPr>
                <w:rFonts w:ascii="Times New Roman" w:hAnsi="Times New Roman" w:cs="Times New Roman"/>
                <w:b/>
                <w:bCs/>
                <w:sz w:val="20"/>
                <w:szCs w:val="20"/>
              </w:rPr>
            </w:pPr>
            <w:r w:rsidRPr="001C7F25">
              <w:rPr>
                <w:rFonts w:ascii="Times New Roman" w:hAnsi="Times New Roman" w:cs="Times New Roman"/>
                <w:b/>
                <w:bCs/>
                <w:sz w:val="20"/>
                <w:szCs w:val="20"/>
              </w:rPr>
              <w:t>ICER</w:t>
            </w:r>
          </w:p>
        </w:tc>
      </w:tr>
      <w:tr w:rsidR="00AA4171" w:rsidRPr="001C7F25" w14:paraId="55D3736D" w14:textId="77777777" w:rsidTr="00393BC0">
        <w:tc>
          <w:tcPr>
            <w:tcW w:w="8044" w:type="dxa"/>
          </w:tcPr>
          <w:p w14:paraId="5485620A" w14:textId="69ABCF17" w:rsidR="00AA4171" w:rsidRPr="001C7F25" w:rsidRDefault="00AA4171">
            <w:pPr>
              <w:rPr>
                <w:rFonts w:ascii="Times New Roman" w:hAnsi="Times New Roman" w:cs="Times New Roman"/>
                <w:b/>
                <w:bCs/>
                <w:sz w:val="20"/>
                <w:szCs w:val="20"/>
              </w:rPr>
            </w:pPr>
            <w:r w:rsidRPr="001C7F25">
              <w:rPr>
                <w:rFonts w:ascii="Times New Roman" w:hAnsi="Times New Roman" w:cs="Times New Roman"/>
                <w:b/>
                <w:bCs/>
                <w:sz w:val="20"/>
                <w:szCs w:val="20"/>
              </w:rPr>
              <w:t>Deterministic sensitivity analysis</w:t>
            </w:r>
          </w:p>
        </w:tc>
        <w:tc>
          <w:tcPr>
            <w:tcW w:w="2949" w:type="dxa"/>
          </w:tcPr>
          <w:p w14:paraId="1C0EF7E5" w14:textId="5CB51437" w:rsidR="00AA4171" w:rsidRPr="001C7F25" w:rsidRDefault="000E0263" w:rsidP="00F41106">
            <w:pPr>
              <w:jc w:val="right"/>
              <w:rPr>
                <w:rFonts w:ascii="Times New Roman" w:hAnsi="Times New Roman" w:cs="Times New Roman"/>
                <w:b/>
                <w:bCs/>
                <w:sz w:val="20"/>
                <w:szCs w:val="20"/>
              </w:rPr>
            </w:pPr>
            <w:r w:rsidRPr="001C7F25">
              <w:rPr>
                <w:rFonts w:ascii="Times New Roman" w:hAnsi="Times New Roman" w:cs="Times New Roman"/>
                <w:b/>
                <w:bCs/>
                <w:sz w:val="20"/>
                <w:szCs w:val="20"/>
              </w:rPr>
              <w:t xml:space="preserve">LTHT, </w:t>
            </w:r>
            <w:r w:rsidR="00AA4171" w:rsidRPr="001C7F25">
              <w:rPr>
                <w:rFonts w:ascii="Times New Roman" w:hAnsi="Times New Roman" w:cs="Times New Roman"/>
                <w:b/>
                <w:bCs/>
                <w:sz w:val="20"/>
                <w:szCs w:val="20"/>
              </w:rPr>
              <w:t>Leeds</w:t>
            </w:r>
          </w:p>
        </w:tc>
        <w:tc>
          <w:tcPr>
            <w:tcW w:w="2955" w:type="dxa"/>
          </w:tcPr>
          <w:p w14:paraId="0548D301" w14:textId="0E717D16" w:rsidR="00AA4171" w:rsidRPr="001C7F25" w:rsidRDefault="00F41106" w:rsidP="00F41106">
            <w:pPr>
              <w:jc w:val="right"/>
              <w:rPr>
                <w:rFonts w:ascii="Times New Roman" w:hAnsi="Times New Roman" w:cs="Times New Roman"/>
                <w:b/>
                <w:bCs/>
                <w:sz w:val="20"/>
                <w:szCs w:val="20"/>
              </w:rPr>
            </w:pPr>
            <w:r w:rsidRPr="001C7F25">
              <w:rPr>
                <w:rFonts w:ascii="Times New Roman" w:hAnsi="Times New Roman" w:cs="Times New Roman"/>
                <w:b/>
                <w:bCs/>
                <w:sz w:val="20"/>
                <w:szCs w:val="20"/>
              </w:rPr>
              <w:t xml:space="preserve">GSTT, </w:t>
            </w:r>
            <w:r w:rsidR="00AA4171" w:rsidRPr="001C7F25">
              <w:rPr>
                <w:rFonts w:ascii="Times New Roman" w:hAnsi="Times New Roman" w:cs="Times New Roman"/>
                <w:b/>
                <w:bCs/>
                <w:sz w:val="20"/>
                <w:szCs w:val="20"/>
              </w:rPr>
              <w:t>London</w:t>
            </w:r>
          </w:p>
        </w:tc>
      </w:tr>
      <w:tr w:rsidR="008D4A83" w:rsidRPr="001C7F25" w14:paraId="56C0682D" w14:textId="77777777" w:rsidTr="00393BC0">
        <w:tc>
          <w:tcPr>
            <w:tcW w:w="8044" w:type="dxa"/>
          </w:tcPr>
          <w:p w14:paraId="2C0000EE" w14:textId="796E12E5"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Base case</w:t>
            </w:r>
          </w:p>
        </w:tc>
        <w:tc>
          <w:tcPr>
            <w:tcW w:w="2949" w:type="dxa"/>
          </w:tcPr>
          <w:p w14:paraId="17306642" w14:textId="45AF8A42"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£7,177</w:t>
            </w:r>
          </w:p>
        </w:tc>
        <w:tc>
          <w:tcPr>
            <w:tcW w:w="2955" w:type="dxa"/>
          </w:tcPr>
          <w:p w14:paraId="36CFA381" w14:textId="3A52477F"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£12,387</w:t>
            </w:r>
          </w:p>
        </w:tc>
      </w:tr>
      <w:tr w:rsidR="008D4A83" w:rsidRPr="001C7F25" w14:paraId="4402D417" w14:textId="77777777" w:rsidTr="00B4172E">
        <w:tc>
          <w:tcPr>
            <w:tcW w:w="8044" w:type="dxa"/>
          </w:tcPr>
          <w:p w14:paraId="7DC5B066" w14:textId="1BE356AF"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 xml:space="preserve">DAA Cost: £5000 </w:t>
            </w:r>
          </w:p>
        </w:tc>
        <w:tc>
          <w:tcPr>
            <w:tcW w:w="2949" w:type="dxa"/>
          </w:tcPr>
          <w:p w14:paraId="240D4553" w14:textId="09CC99E0"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£4,512</w:t>
            </w:r>
          </w:p>
        </w:tc>
        <w:tc>
          <w:tcPr>
            <w:tcW w:w="2955" w:type="dxa"/>
          </w:tcPr>
          <w:p w14:paraId="2C2935D4" w14:textId="1B7C92D2"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£10,106</w:t>
            </w:r>
          </w:p>
        </w:tc>
      </w:tr>
      <w:tr w:rsidR="008D4A83" w:rsidRPr="001C7F25" w14:paraId="278E85D4" w14:textId="77777777" w:rsidTr="00393BC0">
        <w:tc>
          <w:tcPr>
            <w:tcW w:w="8044" w:type="dxa"/>
          </w:tcPr>
          <w:p w14:paraId="2E6957CC" w14:textId="28B0C30C"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Full time band 6 nurse for contacting patients</w:t>
            </w:r>
            <w:r w:rsidR="00B4172E" w:rsidRPr="001C7F25">
              <w:rPr>
                <w:rFonts w:ascii="Times New Roman" w:hAnsi="Times New Roman" w:cs="Times New Roman"/>
                <w:sz w:val="20"/>
                <w:szCs w:val="20"/>
                <w:vertAlign w:val="superscript"/>
              </w:rPr>
              <w:t>†</w:t>
            </w:r>
          </w:p>
        </w:tc>
        <w:tc>
          <w:tcPr>
            <w:tcW w:w="2949" w:type="dxa"/>
          </w:tcPr>
          <w:p w14:paraId="1A59F199" w14:textId="44486B6B"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£7,470</w:t>
            </w:r>
          </w:p>
        </w:tc>
        <w:tc>
          <w:tcPr>
            <w:tcW w:w="2955" w:type="dxa"/>
          </w:tcPr>
          <w:p w14:paraId="07962ED0" w14:textId="0848F045"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£12,867</w:t>
            </w:r>
          </w:p>
        </w:tc>
      </w:tr>
      <w:tr w:rsidR="008D4A83" w:rsidRPr="001C7F25" w14:paraId="531443E3" w14:textId="77777777" w:rsidTr="00765003">
        <w:trPr>
          <w:trHeight w:val="157"/>
        </w:trPr>
        <w:tc>
          <w:tcPr>
            <w:tcW w:w="8044" w:type="dxa"/>
          </w:tcPr>
          <w:p w14:paraId="3B289501" w14:textId="50114989"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Proportion attending referral - 50% lower (25.7% LTHT, 11.8% GSTT)</w:t>
            </w:r>
            <w:r w:rsidR="00B4172E" w:rsidRPr="001C7F25">
              <w:rPr>
                <w:rFonts w:ascii="Times New Roman" w:hAnsi="Times New Roman" w:cs="Times New Roman"/>
                <w:sz w:val="20"/>
                <w:szCs w:val="20"/>
                <w:vertAlign w:val="superscript"/>
              </w:rPr>
              <w:t>‡</w:t>
            </w:r>
          </w:p>
        </w:tc>
        <w:tc>
          <w:tcPr>
            <w:tcW w:w="2949" w:type="dxa"/>
          </w:tcPr>
          <w:p w14:paraId="1EE91AE9" w14:textId="6BA9F285"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£9,849</w:t>
            </w:r>
          </w:p>
        </w:tc>
        <w:tc>
          <w:tcPr>
            <w:tcW w:w="2955" w:type="dxa"/>
          </w:tcPr>
          <w:p w14:paraId="6FBA246C" w14:textId="1D808D72"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£22,261</w:t>
            </w:r>
          </w:p>
        </w:tc>
      </w:tr>
      <w:tr w:rsidR="008D4A83" w:rsidRPr="001C7F25" w14:paraId="6084B9A7" w14:textId="77777777" w:rsidTr="00393BC0">
        <w:tc>
          <w:tcPr>
            <w:tcW w:w="8044" w:type="dxa"/>
          </w:tcPr>
          <w:p w14:paraId="3010B1FC" w14:textId="5980333A"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Proportion attending referral - 50% higher (77.0% LTHT, 35.3% GSTT)</w:t>
            </w:r>
            <w:r w:rsidR="00B4172E" w:rsidRPr="001C7F25">
              <w:rPr>
                <w:rFonts w:ascii="Times New Roman" w:hAnsi="Times New Roman" w:cs="Times New Roman"/>
                <w:sz w:val="20"/>
                <w:szCs w:val="20"/>
                <w:vertAlign w:val="superscript"/>
              </w:rPr>
              <w:t>‡</w:t>
            </w:r>
          </w:p>
        </w:tc>
        <w:tc>
          <w:tcPr>
            <w:tcW w:w="2949" w:type="dxa"/>
          </w:tcPr>
          <w:p w14:paraId="0B88D050" w14:textId="3D9F8DEF"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£6,450</w:t>
            </w:r>
          </w:p>
        </w:tc>
        <w:tc>
          <w:tcPr>
            <w:tcW w:w="2955" w:type="dxa"/>
          </w:tcPr>
          <w:p w14:paraId="1AAC56A5" w14:textId="36A46349"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£9,141</w:t>
            </w:r>
          </w:p>
        </w:tc>
      </w:tr>
      <w:tr w:rsidR="008D4A83" w:rsidRPr="001C7F25" w14:paraId="1E6839F5" w14:textId="77777777" w:rsidTr="00393BC0">
        <w:tc>
          <w:tcPr>
            <w:tcW w:w="8044" w:type="dxa"/>
          </w:tcPr>
          <w:p w14:paraId="21B0EC8F" w14:textId="13AF0B02" w:rsidR="008D4A83" w:rsidRPr="001C7F25" w:rsidRDefault="008D4A83" w:rsidP="008D4A83">
            <w:pPr>
              <w:rPr>
                <w:rFonts w:ascii="Times New Roman" w:hAnsi="Times New Roman" w:cs="Times New Roman"/>
                <w:color w:val="000000"/>
                <w:sz w:val="20"/>
                <w:szCs w:val="20"/>
              </w:rPr>
            </w:pPr>
            <w:r w:rsidRPr="001C7F25">
              <w:rPr>
                <w:rFonts w:ascii="Times New Roman" w:hAnsi="Times New Roman" w:cs="Times New Roman"/>
                <w:sz w:val="20"/>
                <w:szCs w:val="20"/>
              </w:rPr>
              <w:t xml:space="preserve">PWID Proportion: 54.5% (equal to Parry </w:t>
            </w:r>
            <w:r w:rsidRPr="001C7F25">
              <w:rPr>
                <w:rFonts w:ascii="Times New Roman" w:hAnsi="Times New Roman" w:cs="Times New Roman"/>
                <w:i/>
                <w:iCs/>
                <w:sz w:val="20"/>
                <w:szCs w:val="20"/>
              </w:rPr>
              <w:t>et al.</w:t>
            </w:r>
            <w:r w:rsidRPr="001C7F25">
              <w:rPr>
                <w:rFonts w:ascii="Times New Roman" w:hAnsi="Times New Roman" w:cs="Times New Roman"/>
                <w:sz w:val="20"/>
                <w:szCs w:val="20"/>
              </w:rPr>
              <w:t>)</w:t>
            </w:r>
            <w:r w:rsidRPr="001C7F25">
              <w:rPr>
                <w:rFonts w:ascii="Times New Roman" w:hAnsi="Times New Roman" w:cs="Times New Roman"/>
                <w:sz w:val="20"/>
                <w:szCs w:val="20"/>
              </w:rPr>
              <w:fldChar w:fldCharType="begin"/>
            </w:r>
            <w:r w:rsidR="00C948F6">
              <w:rPr>
                <w:rFonts w:ascii="Times New Roman" w:hAnsi="Times New Roman" w:cs="Times New Roman"/>
                <w:sz w:val="20"/>
                <w:szCs w:val="20"/>
              </w:rPr>
              <w:instrText xml:space="preserve"> ADDIN EN.CITE &lt;EndNote&gt;&lt;Cite ExcludeYear="1"&gt;&lt;Author&gt;Parry&lt;/Author&gt;&lt;Year&gt;2018&lt;/Year&gt;&lt;RecNum&gt;16&lt;/RecNum&gt;&lt;DisplayText&gt;[27]&lt;/DisplayText&gt;&lt;record&gt;&lt;rec-number&gt;16&lt;/rec-number&gt;&lt;foreign-keys&gt;&lt;key app="EN" db-id="tp0rz5a2v2s0v3edrfmpd2pftv2rfwre59az" timestamp="1534503473"&gt;16&lt;/key&gt;&lt;/foreign-keys&gt;&lt;ref-type name="Journal Article"&gt;17&lt;/ref-type&gt;&lt;contributors&gt;&lt;authors&gt;&lt;author&gt;Parry, S.&lt;/author&gt;&lt;author&gt;Bundle, N.&lt;/author&gt;&lt;author&gt;Ullah, S.&lt;/author&gt;&lt;author&gt;Foster, G. R.&lt;/author&gt;&lt;author&gt;Ahmad, K.&lt;/author&gt;&lt;author&gt;Tong, C. Y. W.&lt;/author&gt;&lt;author&gt;Balasegaram, S.&lt;/author&gt;&lt;author&gt;Orkin, C.&lt;/author&gt;&lt;/authors&gt;&lt;/contributors&gt;&lt;titles&gt;&lt;title&gt;Implementing routine blood-borne virus testing for HCV, HBV and HIV at a London Emergency Department – uncovering the iceberg?&lt;/title&gt;&lt;secondary-title&gt;Epidemiol Infect &lt;/secondary-title&gt;&lt;/titles&gt;&lt;pages&gt;1026-1035&lt;/pages&gt;&lt;volume&gt;146&lt;/volume&gt;&lt;number&gt;8&lt;/number&gt;&lt;edition&gt;04/17&lt;/edition&gt;&lt;keywords&gt;&lt;keyword&gt;Blood-borne virus seroprevalence&lt;/keyword&gt;&lt;keyword&gt;blood-borne virus testing&lt;/keyword&gt;&lt;keyword&gt;emergency department&lt;/keyword&gt;&lt;keyword&gt;hepatitis C&lt;/keyword&gt;&lt;keyword&gt;infectious disease epidemiology&lt;/keyword&gt;&lt;/keywords&gt;&lt;dates&gt;&lt;year&gt;2018&lt;/year&gt;&lt;/dates&gt;&lt;publisher&gt;Cambridge University Press&lt;/publisher&gt;&lt;isbn&gt;0950-2688&lt;/isbn&gt;&lt;urls&gt;&lt;related-urls&gt;&lt;url&gt;https://www.cambridge.org/core/article/implementing-routine-bloodborne-virus-testing-for-hcv-hbv-and-hiv-at-a-london-emergency-department-uncovering-the-iceberg/54256563408D9935635D349D4F9D04CC&lt;/url&gt;&lt;/related-urls&gt;&lt;/urls&gt;&lt;electronic-resource-num&gt;10.1017/S0950268818000870&lt;/electronic-resource-num&gt;&lt;remote-database-name&gt;Cambridge Core&lt;/remote-database-name&gt;&lt;remote-database-provider&gt;Cambridge University Press&lt;/remote-database-provider&gt;&lt;/record&gt;&lt;/Cite&gt;&lt;/EndNote&gt;</w:instrText>
            </w:r>
            <w:r w:rsidRPr="001C7F25">
              <w:rPr>
                <w:rFonts w:ascii="Times New Roman" w:hAnsi="Times New Roman" w:cs="Times New Roman"/>
                <w:sz w:val="20"/>
                <w:szCs w:val="20"/>
              </w:rPr>
              <w:fldChar w:fldCharType="separate"/>
            </w:r>
            <w:r w:rsidR="00C948F6">
              <w:rPr>
                <w:rFonts w:ascii="Times New Roman" w:hAnsi="Times New Roman" w:cs="Times New Roman"/>
                <w:noProof/>
                <w:sz w:val="20"/>
                <w:szCs w:val="20"/>
              </w:rPr>
              <w:t>[27]</w:t>
            </w:r>
            <w:r w:rsidRPr="001C7F25">
              <w:rPr>
                <w:rFonts w:ascii="Times New Roman" w:hAnsi="Times New Roman" w:cs="Times New Roman"/>
                <w:sz w:val="20"/>
                <w:szCs w:val="20"/>
              </w:rPr>
              <w:fldChar w:fldCharType="end"/>
            </w:r>
          </w:p>
        </w:tc>
        <w:tc>
          <w:tcPr>
            <w:tcW w:w="2949" w:type="dxa"/>
          </w:tcPr>
          <w:p w14:paraId="1B6FFBEC" w14:textId="0A14BCAA"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£6,516</w:t>
            </w:r>
          </w:p>
        </w:tc>
        <w:tc>
          <w:tcPr>
            <w:tcW w:w="2955" w:type="dxa"/>
          </w:tcPr>
          <w:p w14:paraId="32205BA3" w14:textId="2D72E5A3"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£10,965</w:t>
            </w:r>
          </w:p>
        </w:tc>
      </w:tr>
      <w:tr w:rsidR="008D4A83" w:rsidRPr="001C7F25" w14:paraId="030E151F" w14:textId="77777777" w:rsidTr="00393BC0">
        <w:tc>
          <w:tcPr>
            <w:tcW w:w="8044" w:type="dxa"/>
          </w:tcPr>
          <w:p w14:paraId="20DDE60D" w14:textId="01CF5B21"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Background rate of testing - 50% lower for non-PWID</w:t>
            </w:r>
          </w:p>
        </w:tc>
        <w:tc>
          <w:tcPr>
            <w:tcW w:w="2949" w:type="dxa"/>
          </w:tcPr>
          <w:p w14:paraId="7BCF55B0" w14:textId="033EEB15"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£6,795</w:t>
            </w:r>
          </w:p>
        </w:tc>
        <w:tc>
          <w:tcPr>
            <w:tcW w:w="2955" w:type="dxa"/>
          </w:tcPr>
          <w:p w14:paraId="5C174064" w14:textId="4F033274"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£11,494</w:t>
            </w:r>
          </w:p>
        </w:tc>
      </w:tr>
      <w:tr w:rsidR="008D4A83" w:rsidRPr="001C7F25" w14:paraId="53466602" w14:textId="77777777" w:rsidTr="00393BC0">
        <w:tc>
          <w:tcPr>
            <w:tcW w:w="8044" w:type="dxa"/>
          </w:tcPr>
          <w:p w14:paraId="4E4D031A" w14:textId="0B5511EA"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Background rate of testing - 50% higher for non-PWID</w:t>
            </w:r>
          </w:p>
        </w:tc>
        <w:tc>
          <w:tcPr>
            <w:tcW w:w="2949" w:type="dxa"/>
          </w:tcPr>
          <w:p w14:paraId="7B7CE92A" w14:textId="595DEC08"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£7,585</w:t>
            </w:r>
          </w:p>
        </w:tc>
        <w:tc>
          <w:tcPr>
            <w:tcW w:w="2955" w:type="dxa"/>
          </w:tcPr>
          <w:p w14:paraId="0209F69C" w14:textId="435DC3FB"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£13,319</w:t>
            </w:r>
          </w:p>
        </w:tc>
      </w:tr>
      <w:tr w:rsidR="008D4A83" w:rsidRPr="001C7F25" w14:paraId="67A81341" w14:textId="77777777" w:rsidTr="00393BC0">
        <w:tc>
          <w:tcPr>
            <w:tcW w:w="8044" w:type="dxa"/>
          </w:tcPr>
          <w:p w14:paraId="692D7C60" w14:textId="7E0522E6"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Age of HCV+ case: 35 years</w:t>
            </w:r>
          </w:p>
        </w:tc>
        <w:tc>
          <w:tcPr>
            <w:tcW w:w="2949" w:type="dxa"/>
          </w:tcPr>
          <w:p w14:paraId="11096198" w14:textId="211402AA"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£5,864</w:t>
            </w:r>
          </w:p>
        </w:tc>
        <w:tc>
          <w:tcPr>
            <w:tcW w:w="2955" w:type="dxa"/>
          </w:tcPr>
          <w:p w14:paraId="2FF1BB38" w14:textId="69556DAD"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£8,782</w:t>
            </w:r>
          </w:p>
        </w:tc>
      </w:tr>
      <w:tr w:rsidR="008D4A83" w:rsidRPr="001C7F25" w14:paraId="1ACC058D" w14:textId="77777777" w:rsidTr="00393BC0">
        <w:tc>
          <w:tcPr>
            <w:tcW w:w="8044" w:type="dxa"/>
          </w:tcPr>
          <w:p w14:paraId="35F7A27E" w14:textId="6D567E7A"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Age of HCV+ case: 55 years</w:t>
            </w:r>
          </w:p>
        </w:tc>
        <w:tc>
          <w:tcPr>
            <w:tcW w:w="2949" w:type="dxa"/>
          </w:tcPr>
          <w:p w14:paraId="78219B9B" w14:textId="35656D6B"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£12,081</w:t>
            </w:r>
          </w:p>
        </w:tc>
        <w:tc>
          <w:tcPr>
            <w:tcW w:w="2955" w:type="dxa"/>
          </w:tcPr>
          <w:p w14:paraId="3C5B6F5D" w14:textId="3FAD4D49"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£17,139</w:t>
            </w:r>
          </w:p>
        </w:tc>
      </w:tr>
      <w:tr w:rsidR="008D4A83" w:rsidRPr="001C7F25" w14:paraId="0AF8EFAD" w14:textId="77777777" w:rsidTr="00393BC0">
        <w:tc>
          <w:tcPr>
            <w:tcW w:w="8044" w:type="dxa"/>
          </w:tcPr>
          <w:p w14:paraId="1FFD9FA2" w14:textId="737AD734"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Fibrosis scores derived from Leeds</w:t>
            </w:r>
          </w:p>
        </w:tc>
        <w:tc>
          <w:tcPr>
            <w:tcW w:w="2949" w:type="dxa"/>
          </w:tcPr>
          <w:p w14:paraId="5FE1C02C" w14:textId="67E4FDEF"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w:t>
            </w:r>
          </w:p>
        </w:tc>
        <w:tc>
          <w:tcPr>
            <w:tcW w:w="2955" w:type="dxa"/>
          </w:tcPr>
          <w:p w14:paraId="72964C45" w14:textId="58F44C71"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£18,365</w:t>
            </w:r>
          </w:p>
        </w:tc>
      </w:tr>
      <w:tr w:rsidR="008D4A83" w:rsidRPr="001C7F25" w14:paraId="07B79B99" w14:textId="77777777" w:rsidTr="00393BC0">
        <w:tc>
          <w:tcPr>
            <w:tcW w:w="8044" w:type="dxa"/>
          </w:tcPr>
          <w:p w14:paraId="0B0F7606" w14:textId="748F34B8" w:rsidR="008D4A83" w:rsidRPr="001C7F25" w:rsidRDefault="008D4A83" w:rsidP="008D4A83">
            <w:pPr>
              <w:rPr>
                <w:rFonts w:ascii="Times New Roman" w:hAnsi="Times New Roman" w:cs="Times New Roman"/>
                <w:sz w:val="20"/>
                <w:szCs w:val="20"/>
              </w:rPr>
            </w:pPr>
            <w:r w:rsidRPr="001C7F25">
              <w:rPr>
                <w:rFonts w:ascii="Times New Roman" w:hAnsi="Times New Roman" w:cs="Times New Roman"/>
                <w:sz w:val="20"/>
                <w:szCs w:val="20"/>
              </w:rPr>
              <w:t>Test costs equal to Leeds</w:t>
            </w:r>
          </w:p>
        </w:tc>
        <w:tc>
          <w:tcPr>
            <w:tcW w:w="2949" w:type="dxa"/>
          </w:tcPr>
          <w:p w14:paraId="6B2F842B" w14:textId="04745D9C"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w:t>
            </w:r>
          </w:p>
        </w:tc>
        <w:tc>
          <w:tcPr>
            <w:tcW w:w="2955" w:type="dxa"/>
          </w:tcPr>
          <w:p w14:paraId="18EE441C" w14:textId="2F641679" w:rsidR="008D4A83" w:rsidRPr="001C7F25" w:rsidRDefault="008D4A83" w:rsidP="008D4A83">
            <w:pPr>
              <w:jc w:val="right"/>
              <w:rPr>
                <w:rFonts w:ascii="Times New Roman" w:hAnsi="Times New Roman" w:cs="Times New Roman"/>
                <w:sz w:val="20"/>
                <w:szCs w:val="20"/>
              </w:rPr>
            </w:pPr>
            <w:r w:rsidRPr="001C7F25">
              <w:rPr>
                <w:rFonts w:ascii="Times New Roman" w:hAnsi="Times New Roman" w:cs="Times New Roman"/>
              </w:rPr>
              <w:t>£8,578</w:t>
            </w:r>
          </w:p>
        </w:tc>
      </w:tr>
    </w:tbl>
    <w:p w14:paraId="5527F6D8" w14:textId="0433E0E0" w:rsidR="00412221" w:rsidRPr="001C7F25" w:rsidRDefault="00AE165C" w:rsidP="00986091">
      <w:pPr>
        <w:spacing w:after="40"/>
        <w:rPr>
          <w:rFonts w:ascii="Times New Roman" w:hAnsi="Times New Roman" w:cs="Times New Roman"/>
          <w:sz w:val="18"/>
          <w:szCs w:val="18"/>
          <w:vertAlign w:val="superscript"/>
        </w:rPr>
      </w:pPr>
      <w:r w:rsidRPr="001C7F25">
        <w:rPr>
          <w:rFonts w:ascii="Times New Roman" w:hAnsi="Times New Roman" w:cs="Times New Roman"/>
          <w:sz w:val="18"/>
          <w:szCs w:val="18"/>
          <w:vertAlign w:val="superscript"/>
        </w:rPr>
        <w:t>†</w:t>
      </w:r>
      <w:r w:rsidR="00B4172E" w:rsidRPr="001C7F25">
        <w:rPr>
          <w:rFonts w:ascii="Times New Roman" w:hAnsi="Times New Roman" w:cs="Times New Roman"/>
          <w:sz w:val="18"/>
          <w:szCs w:val="18"/>
        </w:rPr>
        <w:t xml:space="preserve">Assumes cost to contact patients of £110.83 for LTHT in Leeds, and £81.66 for GSTT in London </w:t>
      </w:r>
    </w:p>
    <w:p w14:paraId="319DFF23" w14:textId="77777777" w:rsidR="00A84C62" w:rsidRPr="001C7F25" w:rsidRDefault="00B4172E">
      <w:pPr>
        <w:rPr>
          <w:rFonts w:ascii="Times New Roman" w:hAnsi="Times New Roman" w:cs="Times New Roman"/>
          <w:sz w:val="18"/>
          <w:szCs w:val="18"/>
        </w:rPr>
      </w:pPr>
      <w:r w:rsidRPr="001C7F25">
        <w:rPr>
          <w:rFonts w:ascii="Times New Roman" w:hAnsi="Times New Roman" w:cs="Times New Roman"/>
          <w:sz w:val="18"/>
          <w:szCs w:val="18"/>
          <w:vertAlign w:val="superscript"/>
        </w:rPr>
        <w:t>‡</w:t>
      </w:r>
      <w:r w:rsidR="00AE165C" w:rsidRPr="001C7F25">
        <w:rPr>
          <w:rFonts w:ascii="Times New Roman" w:hAnsi="Times New Roman" w:cs="Times New Roman"/>
          <w:sz w:val="18"/>
          <w:szCs w:val="18"/>
        </w:rPr>
        <w:t>The proportion of patients contacted and attending their referral in the base case is 51.4% for LTHT in Leeds, and 23.5% for GSTT in London.</w:t>
      </w:r>
    </w:p>
    <w:p w14:paraId="7ADA30A9" w14:textId="77777777" w:rsidR="00A84C62" w:rsidRPr="001C7F25" w:rsidRDefault="00A84C62">
      <w:pPr>
        <w:rPr>
          <w:rFonts w:ascii="Times New Roman" w:hAnsi="Times New Roman" w:cs="Times New Roman"/>
          <w:sz w:val="18"/>
          <w:szCs w:val="18"/>
        </w:rPr>
      </w:pPr>
    </w:p>
    <w:p w14:paraId="2324FD78" w14:textId="106F6A25" w:rsidR="00A84C62" w:rsidRPr="001C7F25" w:rsidRDefault="00A84C62">
      <w:pPr>
        <w:rPr>
          <w:rFonts w:ascii="Times New Roman" w:hAnsi="Times New Roman" w:cs="Times New Roman"/>
          <w:sz w:val="18"/>
          <w:szCs w:val="18"/>
        </w:rPr>
      </w:pPr>
      <w:r w:rsidRPr="001C7F25">
        <w:rPr>
          <w:rFonts w:ascii="Times New Roman" w:hAnsi="Times New Roman" w:cs="Times New Roman"/>
          <w:noProof/>
          <w:sz w:val="18"/>
          <w:szCs w:val="18"/>
          <w:lang w:val="en-US"/>
        </w:rPr>
        <w:fldChar w:fldCharType="begin"/>
      </w:r>
      <w:r w:rsidRPr="001C7F25">
        <w:rPr>
          <w:rFonts w:ascii="Times New Roman" w:hAnsi="Times New Roman" w:cs="Times New Roman"/>
          <w:sz w:val="18"/>
          <w:szCs w:val="18"/>
        </w:rPr>
        <w:instrText xml:space="preserve"> ADDIN EN.SECTION.REFLIST </w:instrText>
      </w:r>
      <w:r w:rsidR="004043D5">
        <w:rPr>
          <w:rFonts w:ascii="Times New Roman" w:hAnsi="Times New Roman" w:cs="Times New Roman"/>
          <w:noProof/>
          <w:sz w:val="18"/>
          <w:szCs w:val="18"/>
          <w:lang w:val="en-US"/>
        </w:rPr>
        <w:fldChar w:fldCharType="separate"/>
      </w:r>
      <w:r w:rsidRPr="001C7F25">
        <w:rPr>
          <w:rFonts w:ascii="Times New Roman" w:hAnsi="Times New Roman" w:cs="Times New Roman"/>
          <w:sz w:val="18"/>
          <w:szCs w:val="18"/>
        </w:rPr>
        <w:fldChar w:fldCharType="end"/>
      </w:r>
    </w:p>
    <w:p w14:paraId="4DE90F1D" w14:textId="0FB162B9" w:rsidR="00AA4171" w:rsidRPr="001C7F25" w:rsidRDefault="00AA4171">
      <w:pPr>
        <w:rPr>
          <w:rFonts w:ascii="Times New Roman" w:hAnsi="Times New Roman" w:cs="Times New Roman"/>
        </w:rPr>
        <w:sectPr w:rsidR="00AA4171" w:rsidRPr="001C7F25" w:rsidSect="00413150">
          <w:pgSz w:w="16838" w:h="11906" w:orient="landscape"/>
          <w:pgMar w:top="1440" w:right="1440" w:bottom="1440" w:left="1440" w:header="709" w:footer="709" w:gutter="0"/>
          <w:cols w:space="708"/>
          <w:docGrid w:linePitch="360"/>
        </w:sectPr>
      </w:pPr>
    </w:p>
    <w:p w14:paraId="1729C803" w14:textId="77777777" w:rsidR="000D419E" w:rsidRPr="001C7F25" w:rsidRDefault="000D419E">
      <w:pPr>
        <w:rPr>
          <w:rFonts w:ascii="Times New Roman" w:hAnsi="Times New Roman" w:cs="Times New Roman"/>
          <w:i/>
          <w:iCs/>
          <w:color w:val="44546A" w:themeColor="text2"/>
          <w:sz w:val="18"/>
          <w:szCs w:val="18"/>
        </w:rPr>
      </w:pPr>
      <w:bookmarkStart w:id="5" w:name="_Ref83302463"/>
    </w:p>
    <w:p w14:paraId="2F51A1AA" w14:textId="3E29F7F9" w:rsidR="000D419E" w:rsidRPr="001C7F25" w:rsidRDefault="0057749A" w:rsidP="000D419E">
      <w:pPr>
        <w:pStyle w:val="Caption"/>
        <w:keepNext/>
        <w:rPr>
          <w:rFonts w:ascii="Times New Roman" w:hAnsi="Times New Roman" w:cs="Times New Roman"/>
        </w:rPr>
      </w:pPr>
      <w:r w:rsidRPr="001C7F25">
        <w:rPr>
          <w:rFonts w:ascii="Times New Roman" w:hAnsi="Times New Roman" w:cs="Times New Roman"/>
        </w:rPr>
        <w:t xml:space="preserve">Appendix </w:t>
      </w:r>
      <w:r w:rsidR="000D419E" w:rsidRPr="001C7F25">
        <w:rPr>
          <w:rFonts w:ascii="Times New Roman" w:hAnsi="Times New Roman" w:cs="Times New Roman"/>
        </w:rPr>
        <w:t xml:space="preserve">Figure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Figure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3</w:t>
      </w:r>
      <w:r w:rsidR="00230EC9" w:rsidRPr="001C7F25">
        <w:rPr>
          <w:rFonts w:ascii="Times New Roman" w:hAnsi="Times New Roman" w:cs="Times New Roman"/>
          <w:noProof/>
        </w:rPr>
        <w:fldChar w:fldCharType="end"/>
      </w:r>
      <w:r w:rsidR="000D419E" w:rsidRPr="001C7F25">
        <w:rPr>
          <w:rFonts w:ascii="Times New Roman" w:hAnsi="Times New Roman" w:cs="Times New Roman"/>
        </w:rPr>
        <w:t>: Cost-effectiveness of HCV testing in</w:t>
      </w:r>
      <w:r w:rsidR="009C705C" w:rsidRPr="001C7F25">
        <w:rPr>
          <w:rFonts w:ascii="Times New Roman" w:hAnsi="Times New Roman" w:cs="Times New Roman"/>
        </w:rPr>
        <w:t xml:space="preserve"> LTHT</w:t>
      </w:r>
      <w:r w:rsidR="000D419E" w:rsidRPr="001C7F25">
        <w:rPr>
          <w:rFonts w:ascii="Times New Roman" w:hAnsi="Times New Roman" w:cs="Times New Roman"/>
        </w:rPr>
        <w:t xml:space="preserve"> Leeds</w:t>
      </w:r>
      <w:r w:rsidR="005828B3" w:rsidRPr="001C7F25">
        <w:rPr>
          <w:rFonts w:ascii="Times New Roman" w:hAnsi="Times New Roman" w:cs="Times New Roman"/>
        </w:rPr>
        <w:t>,</w:t>
      </w:r>
      <w:r w:rsidR="000D419E" w:rsidRPr="001C7F25">
        <w:rPr>
          <w:rFonts w:ascii="Times New Roman" w:hAnsi="Times New Roman" w:cs="Times New Roman"/>
        </w:rPr>
        <w:t xml:space="preserve"> and </w:t>
      </w:r>
      <w:r w:rsidR="009C705C" w:rsidRPr="001C7F25">
        <w:rPr>
          <w:rFonts w:ascii="Times New Roman" w:hAnsi="Times New Roman" w:cs="Times New Roman"/>
        </w:rPr>
        <w:t xml:space="preserve">GSTT </w:t>
      </w:r>
      <w:r w:rsidR="000D419E" w:rsidRPr="001C7F25">
        <w:rPr>
          <w:rFonts w:ascii="Times New Roman" w:hAnsi="Times New Roman" w:cs="Times New Roman"/>
        </w:rPr>
        <w:t>London</w:t>
      </w:r>
      <w:r w:rsidR="00D20017" w:rsidRPr="001C7F25">
        <w:rPr>
          <w:rFonts w:ascii="Times New Roman" w:hAnsi="Times New Roman" w:cs="Times New Roman"/>
        </w:rPr>
        <w:t>,</w:t>
      </w:r>
      <w:r w:rsidR="000D419E" w:rsidRPr="001C7F25">
        <w:rPr>
          <w:rFonts w:ascii="Times New Roman" w:hAnsi="Times New Roman" w:cs="Times New Roman"/>
        </w:rPr>
        <w:t xml:space="preserve"> across a range of DAA treatment costs</w:t>
      </w:r>
    </w:p>
    <w:p w14:paraId="65D83DEB" w14:textId="37B5A86E" w:rsidR="00B816A2" w:rsidRPr="001C7F25" w:rsidRDefault="00B4172E">
      <w:pPr>
        <w:rPr>
          <w:rFonts w:ascii="Times New Roman" w:hAnsi="Times New Roman" w:cs="Times New Roman"/>
          <w:i/>
          <w:iCs/>
          <w:color w:val="44546A" w:themeColor="text2"/>
          <w:sz w:val="18"/>
          <w:szCs w:val="18"/>
        </w:rPr>
      </w:pPr>
      <w:r w:rsidRPr="001C7F25">
        <w:rPr>
          <w:rFonts w:ascii="Times New Roman" w:hAnsi="Times New Roman" w:cs="Times New Roman"/>
          <w:i/>
          <w:iCs/>
          <w:noProof/>
          <w:color w:val="44546A" w:themeColor="text2"/>
          <w:sz w:val="18"/>
          <w:szCs w:val="18"/>
        </w:rPr>
        <w:drawing>
          <wp:inline distT="0" distB="0" distL="0" distR="0" wp14:anchorId="12500404" wp14:editId="17F9CCDA">
            <wp:extent cx="5908370" cy="337259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13052" cy="3375265"/>
                    </a:xfrm>
                    <a:prstGeom prst="rect">
                      <a:avLst/>
                    </a:prstGeom>
                    <a:noFill/>
                    <a:ln>
                      <a:noFill/>
                    </a:ln>
                  </pic:spPr>
                </pic:pic>
              </a:graphicData>
            </a:graphic>
          </wp:inline>
        </w:drawing>
      </w:r>
    </w:p>
    <w:p w14:paraId="40BBEEEE" w14:textId="77777777" w:rsidR="00B816A2" w:rsidRPr="001C7F25" w:rsidRDefault="00B816A2" w:rsidP="000D419E">
      <w:pPr>
        <w:rPr>
          <w:rFonts w:ascii="Times New Roman" w:hAnsi="Times New Roman" w:cs="Times New Roman"/>
        </w:rPr>
      </w:pPr>
    </w:p>
    <w:bookmarkEnd w:id="5"/>
    <w:p w14:paraId="1B28633F" w14:textId="77777777" w:rsidR="00E60523" w:rsidRPr="001C7F25" w:rsidRDefault="00E60523" w:rsidP="00E60523">
      <w:pPr>
        <w:spacing w:line="360" w:lineRule="auto"/>
        <w:rPr>
          <w:rFonts w:ascii="Times New Roman" w:hAnsi="Times New Roman" w:cs="Times New Roman"/>
        </w:rPr>
      </w:pPr>
    </w:p>
    <w:p w14:paraId="3EA2302D" w14:textId="77777777" w:rsidR="004076D8" w:rsidRPr="001C7F25" w:rsidRDefault="004076D8">
      <w:pPr>
        <w:rPr>
          <w:rFonts w:ascii="Times New Roman" w:hAnsi="Times New Roman" w:cs="Times New Roman"/>
        </w:rPr>
      </w:pPr>
      <w:r w:rsidRPr="001C7F25">
        <w:rPr>
          <w:rFonts w:ascii="Times New Roman" w:hAnsi="Times New Roman" w:cs="Times New Roman"/>
        </w:rPr>
        <w:br w:type="page"/>
      </w:r>
    </w:p>
    <w:p w14:paraId="0FE45D0A" w14:textId="7B39693B" w:rsidR="00735A5F" w:rsidRPr="001C7F25" w:rsidRDefault="0057749A" w:rsidP="00735A5F">
      <w:pPr>
        <w:pStyle w:val="Caption"/>
        <w:keepNext/>
        <w:rPr>
          <w:rFonts w:ascii="Times New Roman" w:hAnsi="Times New Roman" w:cs="Times New Roman"/>
        </w:rPr>
      </w:pPr>
      <w:r w:rsidRPr="001C7F25">
        <w:rPr>
          <w:rFonts w:ascii="Times New Roman" w:hAnsi="Times New Roman" w:cs="Times New Roman"/>
        </w:rPr>
        <w:lastRenderedPageBreak/>
        <w:t xml:space="preserve">Appendix </w:t>
      </w:r>
      <w:r w:rsidR="00735A5F"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9</w:t>
      </w:r>
      <w:r w:rsidR="00230EC9" w:rsidRPr="001C7F25">
        <w:rPr>
          <w:rFonts w:ascii="Times New Roman" w:hAnsi="Times New Roman" w:cs="Times New Roman"/>
          <w:noProof/>
        </w:rPr>
        <w:fldChar w:fldCharType="end"/>
      </w:r>
      <w:r w:rsidR="00735A5F" w:rsidRPr="001C7F25">
        <w:rPr>
          <w:rFonts w:ascii="Times New Roman" w:hAnsi="Times New Roman" w:cs="Times New Roman"/>
        </w:rPr>
        <w:t>: Minimum prevalence at which HBV and HCV testing in the ED are 90% likely to be cost-effective</w:t>
      </w:r>
      <w:r w:rsidR="00F75742" w:rsidRPr="001C7F25">
        <w:rPr>
          <w:rFonts w:ascii="Times New Roman" w:hAnsi="Times New Roman" w:cs="Times New Roman"/>
        </w:rPr>
        <w:t xml:space="preserve"> in probabilistic analyses</w:t>
      </w:r>
      <w:r w:rsidR="00735A5F" w:rsidRPr="001C7F25">
        <w:rPr>
          <w:rFonts w:ascii="Times New Roman" w:hAnsi="Times New Roman" w:cs="Times New Roman"/>
        </w:rPr>
        <w:t xml:space="preserve">, </w:t>
      </w:r>
      <w:r w:rsidR="00F75742" w:rsidRPr="001C7F25">
        <w:rPr>
          <w:rFonts w:ascii="Times New Roman" w:hAnsi="Times New Roman" w:cs="Times New Roman"/>
        </w:rPr>
        <w:t xml:space="preserve">for each </w:t>
      </w:r>
      <w:r w:rsidR="00735A5F" w:rsidRPr="001C7F25">
        <w:rPr>
          <w:rFonts w:ascii="Times New Roman" w:hAnsi="Times New Roman" w:cs="Times New Roman"/>
        </w:rPr>
        <w:t xml:space="preserve">setting, and </w:t>
      </w:r>
      <w:r w:rsidR="00F75742" w:rsidRPr="001C7F25">
        <w:rPr>
          <w:rFonts w:ascii="Times New Roman" w:hAnsi="Times New Roman" w:cs="Times New Roman"/>
        </w:rPr>
        <w:t>across settings</w:t>
      </w:r>
    </w:p>
    <w:tbl>
      <w:tblPr>
        <w:tblStyle w:val="TableGrid"/>
        <w:tblW w:w="0" w:type="auto"/>
        <w:tblLook w:val="04A0" w:firstRow="1" w:lastRow="0" w:firstColumn="1" w:lastColumn="0" w:noHBand="0" w:noVBand="1"/>
      </w:tblPr>
      <w:tblGrid>
        <w:gridCol w:w="2254"/>
        <w:gridCol w:w="2254"/>
        <w:gridCol w:w="2254"/>
        <w:gridCol w:w="2254"/>
      </w:tblGrid>
      <w:tr w:rsidR="004076D8" w:rsidRPr="001C7F25" w14:paraId="331BDC1F" w14:textId="77777777" w:rsidTr="004076D8">
        <w:tc>
          <w:tcPr>
            <w:tcW w:w="2254" w:type="dxa"/>
          </w:tcPr>
          <w:p w14:paraId="15833D18" w14:textId="43FDD5B0" w:rsidR="004076D8" w:rsidRPr="001C7F25" w:rsidRDefault="004076D8">
            <w:pPr>
              <w:rPr>
                <w:rFonts w:ascii="Times New Roman" w:hAnsi="Times New Roman" w:cs="Times New Roman"/>
                <w:b/>
                <w:bCs/>
              </w:rPr>
            </w:pPr>
            <w:r w:rsidRPr="001C7F25">
              <w:rPr>
                <w:rFonts w:ascii="Times New Roman" w:hAnsi="Times New Roman" w:cs="Times New Roman"/>
                <w:b/>
                <w:bCs/>
              </w:rPr>
              <w:t>Testing Strategy</w:t>
            </w:r>
          </w:p>
        </w:tc>
        <w:tc>
          <w:tcPr>
            <w:tcW w:w="2254" w:type="dxa"/>
          </w:tcPr>
          <w:p w14:paraId="66CB8959" w14:textId="4E39AC70" w:rsidR="004076D8" w:rsidRPr="001C7F25" w:rsidRDefault="004076D8">
            <w:pPr>
              <w:rPr>
                <w:rFonts w:ascii="Times New Roman" w:hAnsi="Times New Roman" w:cs="Times New Roman"/>
                <w:b/>
                <w:bCs/>
              </w:rPr>
            </w:pPr>
            <w:r w:rsidRPr="001C7F25">
              <w:rPr>
                <w:rFonts w:ascii="Times New Roman" w:hAnsi="Times New Roman" w:cs="Times New Roman"/>
                <w:b/>
                <w:bCs/>
              </w:rPr>
              <w:t>Leeds</w:t>
            </w:r>
          </w:p>
        </w:tc>
        <w:tc>
          <w:tcPr>
            <w:tcW w:w="2254" w:type="dxa"/>
          </w:tcPr>
          <w:p w14:paraId="29610E0D" w14:textId="12A76A54" w:rsidR="004076D8" w:rsidRPr="001C7F25" w:rsidRDefault="004076D8">
            <w:pPr>
              <w:rPr>
                <w:rFonts w:ascii="Times New Roman" w:hAnsi="Times New Roman" w:cs="Times New Roman"/>
                <w:b/>
                <w:bCs/>
              </w:rPr>
            </w:pPr>
            <w:r w:rsidRPr="001C7F25">
              <w:rPr>
                <w:rFonts w:ascii="Times New Roman" w:hAnsi="Times New Roman" w:cs="Times New Roman"/>
                <w:b/>
                <w:bCs/>
              </w:rPr>
              <w:t>GSTT, London</w:t>
            </w:r>
          </w:p>
        </w:tc>
        <w:tc>
          <w:tcPr>
            <w:tcW w:w="2254" w:type="dxa"/>
          </w:tcPr>
          <w:p w14:paraId="0B64BFB9" w14:textId="146EAC7C" w:rsidR="004076D8" w:rsidRPr="001C7F25" w:rsidRDefault="004076D8">
            <w:pPr>
              <w:rPr>
                <w:rFonts w:ascii="Times New Roman" w:hAnsi="Times New Roman" w:cs="Times New Roman"/>
                <w:b/>
                <w:bCs/>
              </w:rPr>
            </w:pPr>
            <w:r w:rsidRPr="001C7F25">
              <w:rPr>
                <w:rFonts w:ascii="Times New Roman" w:hAnsi="Times New Roman" w:cs="Times New Roman"/>
                <w:b/>
                <w:bCs/>
              </w:rPr>
              <w:t>Combined</w:t>
            </w:r>
            <w:r w:rsidR="00F75742" w:rsidRPr="001C7F25">
              <w:rPr>
                <w:rFonts w:ascii="Times New Roman" w:hAnsi="Times New Roman" w:cs="Times New Roman"/>
                <w:b/>
                <w:bCs/>
              </w:rPr>
              <w:t xml:space="preserve"> (both settings)</w:t>
            </w:r>
          </w:p>
        </w:tc>
      </w:tr>
      <w:tr w:rsidR="004076D8" w:rsidRPr="001C7F25" w14:paraId="24E1207D" w14:textId="77777777" w:rsidTr="004076D8">
        <w:tc>
          <w:tcPr>
            <w:tcW w:w="2254" w:type="dxa"/>
          </w:tcPr>
          <w:p w14:paraId="4ED868C7" w14:textId="2155C3CA" w:rsidR="004076D8" w:rsidRPr="001C7F25" w:rsidRDefault="004076D8">
            <w:pPr>
              <w:rPr>
                <w:rFonts w:ascii="Times New Roman" w:hAnsi="Times New Roman" w:cs="Times New Roman"/>
              </w:rPr>
            </w:pPr>
            <w:r w:rsidRPr="001C7F25">
              <w:rPr>
                <w:rFonts w:ascii="Times New Roman" w:hAnsi="Times New Roman" w:cs="Times New Roman"/>
              </w:rPr>
              <w:t xml:space="preserve">HBV Testing </w:t>
            </w:r>
          </w:p>
        </w:tc>
        <w:tc>
          <w:tcPr>
            <w:tcW w:w="2254" w:type="dxa"/>
          </w:tcPr>
          <w:p w14:paraId="5F387A20" w14:textId="26747B94" w:rsidR="004076D8" w:rsidRPr="001C7F25" w:rsidRDefault="004076D8">
            <w:pPr>
              <w:rPr>
                <w:rFonts w:ascii="Times New Roman" w:hAnsi="Times New Roman" w:cs="Times New Roman"/>
              </w:rPr>
            </w:pPr>
            <w:r w:rsidRPr="001C7F25">
              <w:rPr>
                <w:rFonts w:ascii="Times New Roman" w:hAnsi="Times New Roman" w:cs="Times New Roman"/>
              </w:rPr>
              <w:t>0.</w:t>
            </w:r>
            <w:r w:rsidR="0039737D" w:rsidRPr="001C7F25">
              <w:rPr>
                <w:rFonts w:ascii="Times New Roman" w:hAnsi="Times New Roman" w:cs="Times New Roman"/>
              </w:rPr>
              <w:t>55</w:t>
            </w:r>
            <w:r w:rsidRPr="001C7F25">
              <w:rPr>
                <w:rFonts w:ascii="Times New Roman" w:hAnsi="Times New Roman" w:cs="Times New Roman"/>
              </w:rPr>
              <w:t>%</w:t>
            </w:r>
          </w:p>
        </w:tc>
        <w:tc>
          <w:tcPr>
            <w:tcW w:w="2254" w:type="dxa"/>
          </w:tcPr>
          <w:p w14:paraId="14B203AE" w14:textId="0A326126" w:rsidR="004076D8" w:rsidRPr="001C7F25" w:rsidRDefault="004076D8">
            <w:pPr>
              <w:rPr>
                <w:rFonts w:ascii="Times New Roman" w:hAnsi="Times New Roman" w:cs="Times New Roman"/>
              </w:rPr>
            </w:pPr>
            <w:r w:rsidRPr="001C7F25">
              <w:rPr>
                <w:rFonts w:ascii="Times New Roman" w:hAnsi="Times New Roman" w:cs="Times New Roman"/>
              </w:rPr>
              <w:t>0.6%</w:t>
            </w:r>
          </w:p>
        </w:tc>
        <w:tc>
          <w:tcPr>
            <w:tcW w:w="2254" w:type="dxa"/>
          </w:tcPr>
          <w:p w14:paraId="0C43ECD3" w14:textId="70DE3C07" w:rsidR="004076D8" w:rsidRPr="001C7F25" w:rsidRDefault="004076D8">
            <w:pPr>
              <w:rPr>
                <w:rFonts w:ascii="Times New Roman" w:hAnsi="Times New Roman" w:cs="Times New Roman"/>
              </w:rPr>
            </w:pPr>
            <w:r w:rsidRPr="001C7F25">
              <w:rPr>
                <w:rFonts w:ascii="Times New Roman" w:hAnsi="Times New Roman" w:cs="Times New Roman"/>
              </w:rPr>
              <w:t>0.</w:t>
            </w:r>
            <w:r w:rsidR="0039737D" w:rsidRPr="001C7F25">
              <w:rPr>
                <w:rFonts w:ascii="Times New Roman" w:hAnsi="Times New Roman" w:cs="Times New Roman"/>
              </w:rPr>
              <w:t>6</w:t>
            </w:r>
            <w:r w:rsidRPr="001C7F25">
              <w:rPr>
                <w:rFonts w:ascii="Times New Roman" w:hAnsi="Times New Roman" w:cs="Times New Roman"/>
              </w:rPr>
              <w:t>%</w:t>
            </w:r>
          </w:p>
        </w:tc>
      </w:tr>
      <w:tr w:rsidR="004076D8" w:rsidRPr="001C7F25" w14:paraId="69EF216A" w14:textId="77777777" w:rsidTr="004076D8">
        <w:tc>
          <w:tcPr>
            <w:tcW w:w="2254" w:type="dxa"/>
          </w:tcPr>
          <w:p w14:paraId="6BA819F9" w14:textId="0A8CDABC" w:rsidR="004076D8" w:rsidRPr="001C7F25" w:rsidRDefault="004076D8">
            <w:pPr>
              <w:rPr>
                <w:rFonts w:ascii="Times New Roman" w:hAnsi="Times New Roman" w:cs="Times New Roman"/>
              </w:rPr>
            </w:pPr>
            <w:r w:rsidRPr="001C7F25">
              <w:rPr>
                <w:rFonts w:ascii="Times New Roman" w:hAnsi="Times New Roman" w:cs="Times New Roman"/>
              </w:rPr>
              <w:t>HCV Testing</w:t>
            </w:r>
          </w:p>
        </w:tc>
        <w:tc>
          <w:tcPr>
            <w:tcW w:w="2254" w:type="dxa"/>
          </w:tcPr>
          <w:p w14:paraId="2AF95900" w14:textId="64BC12FD" w:rsidR="004076D8" w:rsidRPr="001C7F25" w:rsidRDefault="00187542">
            <w:pPr>
              <w:rPr>
                <w:rFonts w:ascii="Times New Roman" w:hAnsi="Times New Roman" w:cs="Times New Roman"/>
              </w:rPr>
            </w:pPr>
            <w:r w:rsidRPr="001C7F25">
              <w:rPr>
                <w:rFonts w:ascii="Times New Roman" w:hAnsi="Times New Roman" w:cs="Times New Roman"/>
              </w:rPr>
              <w:t>0.2</w:t>
            </w:r>
            <w:r w:rsidR="0039737D" w:rsidRPr="001C7F25">
              <w:rPr>
                <w:rFonts w:ascii="Times New Roman" w:hAnsi="Times New Roman" w:cs="Times New Roman"/>
              </w:rPr>
              <w:t>5</w:t>
            </w:r>
            <w:r w:rsidRPr="001C7F25">
              <w:rPr>
                <w:rFonts w:ascii="Times New Roman" w:hAnsi="Times New Roman" w:cs="Times New Roman"/>
              </w:rPr>
              <w:t>%</w:t>
            </w:r>
          </w:p>
        </w:tc>
        <w:tc>
          <w:tcPr>
            <w:tcW w:w="2254" w:type="dxa"/>
          </w:tcPr>
          <w:p w14:paraId="3AD80C13" w14:textId="05FF404B" w:rsidR="004076D8" w:rsidRPr="001C7F25" w:rsidRDefault="00187542">
            <w:pPr>
              <w:rPr>
                <w:rFonts w:ascii="Times New Roman" w:hAnsi="Times New Roman" w:cs="Times New Roman"/>
              </w:rPr>
            </w:pPr>
            <w:r w:rsidRPr="001C7F25">
              <w:rPr>
                <w:rFonts w:ascii="Times New Roman" w:hAnsi="Times New Roman" w:cs="Times New Roman"/>
              </w:rPr>
              <w:t>0.85%</w:t>
            </w:r>
          </w:p>
        </w:tc>
        <w:tc>
          <w:tcPr>
            <w:tcW w:w="2254" w:type="dxa"/>
          </w:tcPr>
          <w:p w14:paraId="0D53FBCA" w14:textId="6114CCC5" w:rsidR="004076D8" w:rsidRPr="001C7F25" w:rsidRDefault="00187542">
            <w:pPr>
              <w:rPr>
                <w:rFonts w:ascii="Times New Roman" w:hAnsi="Times New Roman" w:cs="Times New Roman"/>
              </w:rPr>
            </w:pPr>
            <w:r w:rsidRPr="001C7F25">
              <w:rPr>
                <w:rFonts w:ascii="Times New Roman" w:hAnsi="Times New Roman" w:cs="Times New Roman"/>
              </w:rPr>
              <w:t>0.75%</w:t>
            </w:r>
          </w:p>
        </w:tc>
      </w:tr>
    </w:tbl>
    <w:p w14:paraId="425078FD" w14:textId="5B7591E8" w:rsidR="007A4C7B" w:rsidRPr="001C7F25" w:rsidRDefault="00724911" w:rsidP="007A4C7B">
      <w:pPr>
        <w:pStyle w:val="Caption"/>
        <w:keepNext/>
        <w:rPr>
          <w:rFonts w:ascii="Times New Roman" w:hAnsi="Times New Roman" w:cs="Times New Roman"/>
        </w:rPr>
      </w:pPr>
      <w:r w:rsidRPr="001C7F25">
        <w:rPr>
          <w:rFonts w:ascii="Times New Roman" w:hAnsi="Times New Roman" w:cs="Times New Roman"/>
        </w:rPr>
        <w:br w:type="page"/>
      </w:r>
      <w:r w:rsidR="0057749A" w:rsidRPr="001C7F25">
        <w:rPr>
          <w:rFonts w:ascii="Times New Roman" w:hAnsi="Times New Roman" w:cs="Times New Roman"/>
        </w:rPr>
        <w:lastRenderedPageBreak/>
        <w:t xml:space="preserve">Appendix </w:t>
      </w:r>
      <w:r w:rsidR="007A4C7B" w:rsidRPr="001C7F25">
        <w:rPr>
          <w:rFonts w:ascii="Times New Roman" w:hAnsi="Times New Roman" w:cs="Times New Roman"/>
        </w:rPr>
        <w:t xml:space="preserve">Table </w:t>
      </w:r>
      <w:r w:rsidR="00230EC9" w:rsidRPr="001C7F25">
        <w:rPr>
          <w:rFonts w:ascii="Times New Roman" w:hAnsi="Times New Roman" w:cs="Times New Roman"/>
        </w:rPr>
        <w:fldChar w:fldCharType="begin"/>
      </w:r>
      <w:r w:rsidR="00230EC9" w:rsidRPr="001C7F25">
        <w:rPr>
          <w:rFonts w:ascii="Times New Roman" w:hAnsi="Times New Roman" w:cs="Times New Roman"/>
        </w:rPr>
        <w:instrText xml:space="preserve"> SEQ Table \* ARABIC </w:instrText>
      </w:r>
      <w:r w:rsidR="00230EC9" w:rsidRPr="001C7F25">
        <w:rPr>
          <w:rFonts w:ascii="Times New Roman" w:hAnsi="Times New Roman" w:cs="Times New Roman"/>
        </w:rPr>
        <w:fldChar w:fldCharType="separate"/>
      </w:r>
      <w:r w:rsidR="00C948F6">
        <w:rPr>
          <w:rFonts w:ascii="Times New Roman" w:hAnsi="Times New Roman" w:cs="Times New Roman"/>
          <w:noProof/>
        </w:rPr>
        <w:t>10</w:t>
      </w:r>
      <w:r w:rsidR="00230EC9" w:rsidRPr="001C7F25">
        <w:rPr>
          <w:rFonts w:ascii="Times New Roman" w:hAnsi="Times New Roman" w:cs="Times New Roman"/>
          <w:noProof/>
        </w:rPr>
        <w:fldChar w:fldCharType="end"/>
      </w:r>
      <w:r w:rsidR="007A4C7B" w:rsidRPr="001C7F25">
        <w:rPr>
          <w:rFonts w:ascii="Times New Roman" w:hAnsi="Times New Roman" w:cs="Times New Roman"/>
        </w:rPr>
        <w:t>: Sensitivity analysis of budget impact of annual HBV and HCV testing assuming cost of contacting positive cases performed by full time band 6 nurse</w:t>
      </w:r>
    </w:p>
    <w:tbl>
      <w:tblPr>
        <w:tblStyle w:val="TableGrid"/>
        <w:tblW w:w="0" w:type="auto"/>
        <w:tblLook w:val="04A0" w:firstRow="1" w:lastRow="0" w:firstColumn="1" w:lastColumn="0" w:noHBand="0" w:noVBand="1"/>
      </w:tblPr>
      <w:tblGrid>
        <w:gridCol w:w="4955"/>
        <w:gridCol w:w="2081"/>
        <w:gridCol w:w="1980"/>
      </w:tblGrid>
      <w:tr w:rsidR="007A4C7B" w:rsidRPr="001C7F25" w14:paraId="5E667E3D" w14:textId="77777777" w:rsidTr="007A4C7B">
        <w:tc>
          <w:tcPr>
            <w:tcW w:w="4955" w:type="dxa"/>
          </w:tcPr>
          <w:p w14:paraId="243E58C1" w14:textId="77777777" w:rsidR="007A4C7B" w:rsidRPr="001C7F25" w:rsidRDefault="007A4C7B" w:rsidP="00FD14C2">
            <w:pPr>
              <w:spacing w:line="360" w:lineRule="auto"/>
              <w:rPr>
                <w:rFonts w:ascii="Times New Roman" w:hAnsi="Times New Roman" w:cs="Times New Roman"/>
                <w:b/>
                <w:bCs/>
              </w:rPr>
            </w:pPr>
            <w:r w:rsidRPr="001C7F25">
              <w:rPr>
                <w:rFonts w:ascii="Times New Roman" w:hAnsi="Times New Roman" w:cs="Times New Roman"/>
                <w:b/>
                <w:bCs/>
              </w:rPr>
              <w:t>Budget impact item</w:t>
            </w:r>
          </w:p>
        </w:tc>
        <w:tc>
          <w:tcPr>
            <w:tcW w:w="2081" w:type="dxa"/>
          </w:tcPr>
          <w:p w14:paraId="06DFAB99" w14:textId="2F86FE4F" w:rsidR="007A4C7B" w:rsidRPr="001C7F25" w:rsidRDefault="00F53673" w:rsidP="00FD14C2">
            <w:pPr>
              <w:spacing w:line="360" w:lineRule="auto"/>
              <w:jc w:val="right"/>
              <w:rPr>
                <w:rFonts w:ascii="Times New Roman" w:hAnsi="Times New Roman" w:cs="Times New Roman"/>
                <w:b/>
                <w:bCs/>
              </w:rPr>
            </w:pPr>
            <w:r w:rsidRPr="001C7F25">
              <w:rPr>
                <w:rFonts w:ascii="Times New Roman" w:hAnsi="Times New Roman" w:cs="Times New Roman"/>
                <w:b/>
                <w:bCs/>
              </w:rPr>
              <w:t xml:space="preserve">LTHT, </w:t>
            </w:r>
            <w:r w:rsidR="007A4C7B" w:rsidRPr="001C7F25">
              <w:rPr>
                <w:rFonts w:ascii="Times New Roman" w:hAnsi="Times New Roman" w:cs="Times New Roman"/>
                <w:b/>
                <w:bCs/>
              </w:rPr>
              <w:t>Leeds</w:t>
            </w:r>
            <w:r w:rsidR="007A4C7B" w:rsidRPr="001C7F25">
              <w:rPr>
                <w:rFonts w:ascii="Times New Roman" w:hAnsi="Times New Roman" w:cs="Times New Roman"/>
                <w:b/>
                <w:bCs/>
                <w:vertAlign w:val="superscript"/>
              </w:rPr>
              <w:t>†</w:t>
            </w:r>
            <w:r w:rsidR="007A4C7B" w:rsidRPr="001C7F25">
              <w:rPr>
                <w:rFonts w:ascii="Times New Roman" w:hAnsi="Times New Roman" w:cs="Times New Roman"/>
                <w:b/>
                <w:bCs/>
              </w:rPr>
              <w:t xml:space="preserve"> </w:t>
            </w:r>
          </w:p>
        </w:tc>
        <w:tc>
          <w:tcPr>
            <w:tcW w:w="1980" w:type="dxa"/>
          </w:tcPr>
          <w:p w14:paraId="4DC6CAFF" w14:textId="77777777" w:rsidR="007A4C7B" w:rsidRPr="001C7F25" w:rsidRDefault="007A4C7B" w:rsidP="00FD14C2">
            <w:pPr>
              <w:spacing w:line="360" w:lineRule="auto"/>
              <w:jc w:val="right"/>
              <w:rPr>
                <w:rFonts w:ascii="Times New Roman" w:hAnsi="Times New Roman" w:cs="Times New Roman"/>
                <w:b/>
                <w:bCs/>
              </w:rPr>
            </w:pPr>
            <w:r w:rsidRPr="001C7F25">
              <w:rPr>
                <w:rFonts w:ascii="Times New Roman" w:hAnsi="Times New Roman" w:cs="Times New Roman"/>
                <w:b/>
                <w:bCs/>
              </w:rPr>
              <w:t>GSTT, London</w:t>
            </w:r>
            <w:r w:rsidRPr="001C7F25">
              <w:rPr>
                <w:rFonts w:ascii="Times New Roman" w:hAnsi="Times New Roman" w:cs="Times New Roman"/>
                <w:b/>
                <w:bCs/>
                <w:vertAlign w:val="superscript"/>
              </w:rPr>
              <w:t>†</w:t>
            </w:r>
            <w:r w:rsidRPr="001C7F25">
              <w:rPr>
                <w:rFonts w:ascii="Times New Roman" w:hAnsi="Times New Roman" w:cs="Times New Roman"/>
                <w:b/>
                <w:bCs/>
              </w:rPr>
              <w:t xml:space="preserve"> </w:t>
            </w:r>
          </w:p>
        </w:tc>
      </w:tr>
      <w:tr w:rsidR="00462CF9" w:rsidRPr="001C7F25" w14:paraId="76EAEF3B" w14:textId="77777777" w:rsidTr="007A4C7B">
        <w:tc>
          <w:tcPr>
            <w:tcW w:w="4955" w:type="dxa"/>
            <w:shd w:val="clear" w:color="auto" w:fill="D9D9D9" w:themeFill="background1" w:themeFillShade="D9"/>
          </w:tcPr>
          <w:p w14:paraId="1D05CFB1" w14:textId="77777777" w:rsidR="00462CF9" w:rsidRPr="001C7F25" w:rsidRDefault="00462CF9" w:rsidP="00462CF9">
            <w:pPr>
              <w:spacing w:line="360" w:lineRule="auto"/>
              <w:rPr>
                <w:rFonts w:ascii="Times New Roman" w:hAnsi="Times New Roman" w:cs="Times New Roman"/>
                <w:b/>
                <w:bCs/>
              </w:rPr>
            </w:pPr>
            <w:r w:rsidRPr="001C7F25">
              <w:rPr>
                <w:rFonts w:ascii="Times New Roman" w:hAnsi="Times New Roman" w:cs="Times New Roman"/>
                <w:b/>
                <w:bCs/>
              </w:rPr>
              <w:t xml:space="preserve">HBV Testing </w:t>
            </w:r>
          </w:p>
        </w:tc>
        <w:tc>
          <w:tcPr>
            <w:tcW w:w="2081" w:type="dxa"/>
            <w:shd w:val="clear" w:color="auto" w:fill="D9D9D9" w:themeFill="background1" w:themeFillShade="D9"/>
          </w:tcPr>
          <w:p w14:paraId="02FD7180" w14:textId="53FAD852" w:rsidR="00462CF9" w:rsidRPr="001C7F25" w:rsidRDefault="00462CF9" w:rsidP="00462CF9">
            <w:pPr>
              <w:spacing w:line="360" w:lineRule="auto"/>
              <w:jc w:val="right"/>
              <w:rPr>
                <w:rFonts w:ascii="Times New Roman" w:hAnsi="Times New Roman" w:cs="Times New Roman"/>
              </w:rPr>
            </w:pPr>
          </w:p>
        </w:tc>
        <w:tc>
          <w:tcPr>
            <w:tcW w:w="1980" w:type="dxa"/>
            <w:shd w:val="clear" w:color="auto" w:fill="D9D9D9" w:themeFill="background1" w:themeFillShade="D9"/>
          </w:tcPr>
          <w:p w14:paraId="4FF7F7D1" w14:textId="4720E4EB" w:rsidR="00462CF9" w:rsidRPr="001C7F25" w:rsidRDefault="00462CF9" w:rsidP="00462CF9">
            <w:pPr>
              <w:spacing w:line="360" w:lineRule="auto"/>
              <w:jc w:val="right"/>
              <w:rPr>
                <w:rFonts w:ascii="Times New Roman" w:hAnsi="Times New Roman" w:cs="Times New Roman"/>
              </w:rPr>
            </w:pPr>
          </w:p>
        </w:tc>
      </w:tr>
      <w:tr w:rsidR="00CA051E" w:rsidRPr="001C7F25" w14:paraId="1183A372" w14:textId="77777777" w:rsidTr="007A4C7B">
        <w:tc>
          <w:tcPr>
            <w:tcW w:w="4955" w:type="dxa"/>
            <w:shd w:val="clear" w:color="auto" w:fill="auto"/>
          </w:tcPr>
          <w:p w14:paraId="2DE8A744" w14:textId="77777777" w:rsidR="00CA051E" w:rsidRPr="001C7F25" w:rsidRDefault="00CA051E" w:rsidP="00CA051E">
            <w:pPr>
              <w:spacing w:line="360" w:lineRule="auto"/>
              <w:rPr>
                <w:rFonts w:ascii="Times New Roman" w:hAnsi="Times New Roman" w:cs="Times New Roman"/>
                <w:b/>
                <w:bCs/>
              </w:rPr>
            </w:pPr>
            <w:r w:rsidRPr="001C7F25">
              <w:rPr>
                <w:rFonts w:ascii="Times New Roman" w:hAnsi="Times New Roman" w:cs="Times New Roman"/>
              </w:rPr>
              <w:t>Testing costs</w:t>
            </w:r>
          </w:p>
        </w:tc>
        <w:tc>
          <w:tcPr>
            <w:tcW w:w="2081" w:type="dxa"/>
            <w:shd w:val="clear" w:color="auto" w:fill="auto"/>
          </w:tcPr>
          <w:p w14:paraId="5165A6DB" w14:textId="6037B843"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£49,673</w:t>
            </w:r>
          </w:p>
        </w:tc>
        <w:tc>
          <w:tcPr>
            <w:tcW w:w="1980" w:type="dxa"/>
            <w:shd w:val="clear" w:color="auto" w:fill="auto"/>
          </w:tcPr>
          <w:p w14:paraId="43BF0084" w14:textId="69FEB54F"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£174,690</w:t>
            </w:r>
          </w:p>
        </w:tc>
      </w:tr>
      <w:tr w:rsidR="00CA051E" w:rsidRPr="001C7F25" w14:paraId="1B96ABA0" w14:textId="77777777" w:rsidTr="007A4C7B">
        <w:tc>
          <w:tcPr>
            <w:tcW w:w="4955" w:type="dxa"/>
            <w:shd w:val="clear" w:color="auto" w:fill="auto"/>
          </w:tcPr>
          <w:p w14:paraId="0221F794" w14:textId="6A1C795F" w:rsidR="00CA051E" w:rsidRPr="001C7F25" w:rsidRDefault="00CA051E" w:rsidP="00CA051E">
            <w:pPr>
              <w:spacing w:line="360" w:lineRule="auto"/>
              <w:rPr>
                <w:rFonts w:ascii="Times New Roman" w:hAnsi="Times New Roman" w:cs="Times New Roman"/>
                <w:b/>
                <w:bCs/>
              </w:rPr>
            </w:pPr>
            <w:r w:rsidRPr="001C7F25">
              <w:rPr>
                <w:rFonts w:ascii="Times New Roman" w:hAnsi="Times New Roman" w:cs="Times New Roman"/>
              </w:rPr>
              <w:t>Cost of contacting positive cases</w:t>
            </w:r>
            <w:r w:rsidRPr="001C7F25">
              <w:rPr>
                <w:rFonts w:ascii="Times New Roman" w:hAnsi="Times New Roman" w:cs="Times New Roman"/>
                <w:vertAlign w:val="superscript"/>
              </w:rPr>
              <w:t>‡</w:t>
            </w:r>
          </w:p>
        </w:tc>
        <w:tc>
          <w:tcPr>
            <w:tcW w:w="2081" w:type="dxa"/>
            <w:shd w:val="clear" w:color="auto" w:fill="auto"/>
          </w:tcPr>
          <w:p w14:paraId="6C238DDA" w14:textId="5D1E1338"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£10,787</w:t>
            </w:r>
          </w:p>
        </w:tc>
        <w:tc>
          <w:tcPr>
            <w:tcW w:w="1980" w:type="dxa"/>
            <w:shd w:val="clear" w:color="auto" w:fill="auto"/>
          </w:tcPr>
          <w:p w14:paraId="2B05E108" w14:textId="78E5FD37"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£20,943</w:t>
            </w:r>
          </w:p>
        </w:tc>
      </w:tr>
      <w:tr w:rsidR="00CA051E" w:rsidRPr="001C7F25" w14:paraId="686B8A2A" w14:textId="77777777" w:rsidTr="007A4C7B">
        <w:tc>
          <w:tcPr>
            <w:tcW w:w="4955" w:type="dxa"/>
            <w:shd w:val="clear" w:color="auto" w:fill="auto"/>
          </w:tcPr>
          <w:p w14:paraId="7E42EA0B" w14:textId="77777777" w:rsidR="00CA051E" w:rsidRPr="001C7F25" w:rsidRDefault="00CA051E" w:rsidP="00CA051E">
            <w:pPr>
              <w:spacing w:line="360" w:lineRule="auto"/>
              <w:rPr>
                <w:rFonts w:ascii="Times New Roman" w:hAnsi="Times New Roman" w:cs="Times New Roman"/>
                <w:b/>
                <w:bCs/>
              </w:rPr>
            </w:pPr>
            <w:r w:rsidRPr="001C7F25">
              <w:rPr>
                <w:rFonts w:ascii="Times New Roman" w:hAnsi="Times New Roman" w:cs="Times New Roman"/>
              </w:rPr>
              <w:t>Appointment costs for those engaged</w:t>
            </w:r>
          </w:p>
        </w:tc>
        <w:tc>
          <w:tcPr>
            <w:tcW w:w="2081" w:type="dxa"/>
            <w:shd w:val="clear" w:color="auto" w:fill="auto"/>
          </w:tcPr>
          <w:p w14:paraId="6819AECA" w14:textId="041CB61A"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£12,623</w:t>
            </w:r>
          </w:p>
        </w:tc>
        <w:tc>
          <w:tcPr>
            <w:tcW w:w="1980" w:type="dxa"/>
            <w:shd w:val="clear" w:color="auto" w:fill="auto"/>
          </w:tcPr>
          <w:p w14:paraId="3C5372E5" w14:textId="4ABA8FFE"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£36,736</w:t>
            </w:r>
          </w:p>
        </w:tc>
      </w:tr>
      <w:tr w:rsidR="00CA051E" w:rsidRPr="001C7F25" w14:paraId="4D05413A" w14:textId="77777777" w:rsidTr="007A4C7B">
        <w:tc>
          <w:tcPr>
            <w:tcW w:w="4955" w:type="dxa"/>
            <w:shd w:val="clear" w:color="auto" w:fill="auto"/>
          </w:tcPr>
          <w:p w14:paraId="00A05856" w14:textId="77777777" w:rsidR="00CA051E" w:rsidRPr="001C7F25" w:rsidRDefault="00CA051E" w:rsidP="00CA051E">
            <w:pPr>
              <w:spacing w:line="360" w:lineRule="auto"/>
              <w:rPr>
                <w:rFonts w:ascii="Times New Roman" w:hAnsi="Times New Roman" w:cs="Times New Roman"/>
                <w:b/>
                <w:bCs/>
              </w:rPr>
            </w:pPr>
            <w:r w:rsidRPr="001C7F25">
              <w:rPr>
                <w:rFonts w:ascii="Times New Roman" w:hAnsi="Times New Roman" w:cs="Times New Roman"/>
                <w:b/>
                <w:bCs/>
              </w:rPr>
              <w:t>HBV Testing Total</w:t>
            </w:r>
          </w:p>
        </w:tc>
        <w:tc>
          <w:tcPr>
            <w:tcW w:w="2081" w:type="dxa"/>
            <w:shd w:val="clear" w:color="auto" w:fill="auto"/>
          </w:tcPr>
          <w:p w14:paraId="22697E03" w14:textId="3C26D8E4" w:rsidR="00CA051E" w:rsidRPr="001C7F25" w:rsidRDefault="00CA051E" w:rsidP="00CA051E">
            <w:pPr>
              <w:spacing w:line="360" w:lineRule="auto"/>
              <w:jc w:val="right"/>
              <w:rPr>
                <w:rFonts w:ascii="Times New Roman" w:hAnsi="Times New Roman" w:cs="Times New Roman"/>
                <w:b/>
                <w:bCs/>
              </w:rPr>
            </w:pPr>
            <w:r w:rsidRPr="001C7F25">
              <w:rPr>
                <w:rFonts w:ascii="Times New Roman" w:hAnsi="Times New Roman" w:cs="Times New Roman"/>
                <w:b/>
                <w:bCs/>
              </w:rPr>
              <w:t>£73,084</w:t>
            </w:r>
          </w:p>
        </w:tc>
        <w:tc>
          <w:tcPr>
            <w:tcW w:w="1980" w:type="dxa"/>
            <w:shd w:val="clear" w:color="auto" w:fill="auto"/>
          </w:tcPr>
          <w:p w14:paraId="4413F75B" w14:textId="7C6C424A" w:rsidR="00CA051E" w:rsidRPr="001C7F25" w:rsidRDefault="00CA051E" w:rsidP="00CA051E">
            <w:pPr>
              <w:spacing w:line="360" w:lineRule="auto"/>
              <w:jc w:val="right"/>
              <w:rPr>
                <w:rFonts w:ascii="Times New Roman" w:hAnsi="Times New Roman" w:cs="Times New Roman"/>
                <w:b/>
                <w:bCs/>
              </w:rPr>
            </w:pPr>
            <w:r w:rsidRPr="001C7F25">
              <w:rPr>
                <w:rFonts w:ascii="Times New Roman" w:hAnsi="Times New Roman" w:cs="Times New Roman"/>
                <w:b/>
                <w:bCs/>
              </w:rPr>
              <w:t>£232,369</w:t>
            </w:r>
          </w:p>
        </w:tc>
      </w:tr>
      <w:tr w:rsidR="00AE2BD0" w:rsidRPr="001C7F25" w14:paraId="126710F6" w14:textId="77777777" w:rsidTr="007A4C7B">
        <w:tc>
          <w:tcPr>
            <w:tcW w:w="4955" w:type="dxa"/>
            <w:shd w:val="clear" w:color="auto" w:fill="D9D9D9" w:themeFill="background1" w:themeFillShade="D9"/>
          </w:tcPr>
          <w:p w14:paraId="5DA42416" w14:textId="77777777" w:rsidR="00AE2BD0" w:rsidRPr="001C7F25" w:rsidRDefault="00AE2BD0" w:rsidP="00AE2BD0">
            <w:pPr>
              <w:spacing w:line="360" w:lineRule="auto"/>
              <w:rPr>
                <w:rFonts w:ascii="Times New Roman" w:hAnsi="Times New Roman" w:cs="Times New Roman"/>
                <w:b/>
                <w:bCs/>
              </w:rPr>
            </w:pPr>
            <w:r w:rsidRPr="001C7F25">
              <w:rPr>
                <w:rFonts w:ascii="Times New Roman" w:hAnsi="Times New Roman" w:cs="Times New Roman"/>
                <w:b/>
                <w:bCs/>
              </w:rPr>
              <w:t xml:space="preserve">HCV Testing </w:t>
            </w:r>
          </w:p>
        </w:tc>
        <w:tc>
          <w:tcPr>
            <w:tcW w:w="2081" w:type="dxa"/>
            <w:shd w:val="clear" w:color="auto" w:fill="D9D9D9" w:themeFill="background1" w:themeFillShade="D9"/>
          </w:tcPr>
          <w:p w14:paraId="7D094DE9" w14:textId="50886FF6" w:rsidR="00AE2BD0" w:rsidRPr="001C7F25" w:rsidRDefault="00AE2BD0" w:rsidP="00AE2BD0">
            <w:pPr>
              <w:spacing w:line="360" w:lineRule="auto"/>
              <w:jc w:val="right"/>
              <w:rPr>
                <w:rFonts w:ascii="Times New Roman" w:hAnsi="Times New Roman" w:cs="Times New Roman"/>
              </w:rPr>
            </w:pPr>
          </w:p>
        </w:tc>
        <w:tc>
          <w:tcPr>
            <w:tcW w:w="1980" w:type="dxa"/>
            <w:shd w:val="clear" w:color="auto" w:fill="D9D9D9" w:themeFill="background1" w:themeFillShade="D9"/>
          </w:tcPr>
          <w:p w14:paraId="68FECF64" w14:textId="6C388D0F" w:rsidR="00AE2BD0" w:rsidRPr="001C7F25" w:rsidRDefault="00AE2BD0" w:rsidP="00AE2BD0">
            <w:pPr>
              <w:spacing w:line="360" w:lineRule="auto"/>
              <w:jc w:val="right"/>
              <w:rPr>
                <w:rFonts w:ascii="Times New Roman" w:hAnsi="Times New Roman" w:cs="Times New Roman"/>
              </w:rPr>
            </w:pPr>
          </w:p>
        </w:tc>
      </w:tr>
      <w:tr w:rsidR="00CA051E" w:rsidRPr="001C7F25" w14:paraId="0F5A962F" w14:textId="77777777" w:rsidTr="007A4C7B">
        <w:tc>
          <w:tcPr>
            <w:tcW w:w="4955" w:type="dxa"/>
          </w:tcPr>
          <w:p w14:paraId="17027AD9" w14:textId="77777777" w:rsidR="00CA051E" w:rsidRPr="001C7F25" w:rsidRDefault="00CA051E" w:rsidP="00CA051E">
            <w:pPr>
              <w:spacing w:line="360" w:lineRule="auto"/>
              <w:rPr>
                <w:rFonts w:ascii="Times New Roman" w:hAnsi="Times New Roman" w:cs="Times New Roman"/>
              </w:rPr>
            </w:pPr>
            <w:r w:rsidRPr="001C7F25">
              <w:rPr>
                <w:rFonts w:ascii="Times New Roman" w:hAnsi="Times New Roman" w:cs="Times New Roman"/>
              </w:rPr>
              <w:t>Testing costs</w:t>
            </w:r>
          </w:p>
        </w:tc>
        <w:tc>
          <w:tcPr>
            <w:tcW w:w="2081" w:type="dxa"/>
          </w:tcPr>
          <w:p w14:paraId="552F8343" w14:textId="029CC886"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£102,132</w:t>
            </w:r>
          </w:p>
        </w:tc>
        <w:tc>
          <w:tcPr>
            <w:tcW w:w="1980" w:type="dxa"/>
          </w:tcPr>
          <w:p w14:paraId="1ACB9688" w14:textId="1902FEF8"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£243,389</w:t>
            </w:r>
          </w:p>
        </w:tc>
      </w:tr>
      <w:tr w:rsidR="00CA051E" w:rsidRPr="001C7F25" w14:paraId="3B442B71" w14:textId="77777777" w:rsidTr="007A4C7B">
        <w:tc>
          <w:tcPr>
            <w:tcW w:w="4955" w:type="dxa"/>
          </w:tcPr>
          <w:p w14:paraId="21403416" w14:textId="77777777" w:rsidR="00CA051E" w:rsidRPr="001C7F25" w:rsidRDefault="00CA051E" w:rsidP="00CA051E">
            <w:pPr>
              <w:spacing w:line="360" w:lineRule="auto"/>
              <w:rPr>
                <w:rFonts w:ascii="Times New Roman" w:hAnsi="Times New Roman" w:cs="Times New Roman"/>
              </w:rPr>
            </w:pPr>
            <w:r w:rsidRPr="001C7F25">
              <w:rPr>
                <w:rFonts w:ascii="Times New Roman" w:hAnsi="Times New Roman" w:cs="Times New Roman"/>
              </w:rPr>
              <w:t>Cost of contacting positive cases</w:t>
            </w:r>
          </w:p>
        </w:tc>
        <w:tc>
          <w:tcPr>
            <w:tcW w:w="2081" w:type="dxa"/>
          </w:tcPr>
          <w:p w14:paraId="371AED82" w14:textId="14B21262"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£23,053</w:t>
            </w:r>
          </w:p>
        </w:tc>
        <w:tc>
          <w:tcPr>
            <w:tcW w:w="1980" w:type="dxa"/>
          </w:tcPr>
          <w:p w14:paraId="1F1672F0" w14:textId="1921BA16"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£23,251</w:t>
            </w:r>
          </w:p>
        </w:tc>
      </w:tr>
      <w:tr w:rsidR="00CA051E" w:rsidRPr="001C7F25" w14:paraId="207953AA" w14:textId="77777777" w:rsidTr="007A4C7B">
        <w:tc>
          <w:tcPr>
            <w:tcW w:w="4955" w:type="dxa"/>
          </w:tcPr>
          <w:p w14:paraId="4143681D" w14:textId="77777777" w:rsidR="00CA051E" w:rsidRPr="001C7F25" w:rsidRDefault="00CA051E" w:rsidP="00CA051E">
            <w:pPr>
              <w:spacing w:line="360" w:lineRule="auto"/>
              <w:rPr>
                <w:rFonts w:ascii="Times New Roman" w:hAnsi="Times New Roman" w:cs="Times New Roman"/>
              </w:rPr>
            </w:pPr>
            <w:r w:rsidRPr="001C7F25">
              <w:rPr>
                <w:rFonts w:ascii="Times New Roman" w:hAnsi="Times New Roman" w:cs="Times New Roman"/>
              </w:rPr>
              <w:t>Appointment costs for those engaged</w:t>
            </w:r>
          </w:p>
        </w:tc>
        <w:tc>
          <w:tcPr>
            <w:tcW w:w="2081" w:type="dxa"/>
          </w:tcPr>
          <w:p w14:paraId="51FE071C" w14:textId="2B7A188C"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£30,069</w:t>
            </w:r>
          </w:p>
        </w:tc>
        <w:tc>
          <w:tcPr>
            <w:tcW w:w="1980" w:type="dxa"/>
          </w:tcPr>
          <w:p w14:paraId="1963B090" w14:textId="5E56E442"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£16,884</w:t>
            </w:r>
          </w:p>
        </w:tc>
      </w:tr>
      <w:tr w:rsidR="00CA051E" w:rsidRPr="001C7F25" w14:paraId="58B615E1" w14:textId="77777777" w:rsidTr="007A4C7B">
        <w:tc>
          <w:tcPr>
            <w:tcW w:w="4955" w:type="dxa"/>
          </w:tcPr>
          <w:p w14:paraId="698B61F1" w14:textId="77777777" w:rsidR="00CA051E" w:rsidRPr="001C7F25" w:rsidRDefault="00CA051E" w:rsidP="00CA051E">
            <w:pPr>
              <w:spacing w:line="360" w:lineRule="auto"/>
              <w:rPr>
                <w:rFonts w:ascii="Times New Roman" w:hAnsi="Times New Roman" w:cs="Times New Roman"/>
              </w:rPr>
            </w:pPr>
            <w:r w:rsidRPr="001C7F25">
              <w:rPr>
                <w:rFonts w:ascii="Times New Roman" w:hAnsi="Times New Roman" w:cs="Times New Roman"/>
              </w:rPr>
              <w:t>Additional outreach costs (Find and Treat)</w:t>
            </w:r>
          </w:p>
        </w:tc>
        <w:tc>
          <w:tcPr>
            <w:tcW w:w="2081" w:type="dxa"/>
          </w:tcPr>
          <w:p w14:paraId="23395BCE" w14:textId="39298847"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£9,002</w:t>
            </w:r>
          </w:p>
        </w:tc>
        <w:tc>
          <w:tcPr>
            <w:tcW w:w="1980" w:type="dxa"/>
          </w:tcPr>
          <w:p w14:paraId="6A83ADF9" w14:textId="2DA853CA" w:rsidR="00CA051E" w:rsidRPr="001C7F25" w:rsidRDefault="00CA051E" w:rsidP="00CA051E">
            <w:pPr>
              <w:spacing w:line="360" w:lineRule="auto"/>
              <w:jc w:val="right"/>
              <w:rPr>
                <w:rFonts w:ascii="Times New Roman" w:hAnsi="Times New Roman" w:cs="Times New Roman"/>
              </w:rPr>
            </w:pPr>
            <w:r w:rsidRPr="001C7F25">
              <w:rPr>
                <w:rFonts w:ascii="Times New Roman" w:hAnsi="Times New Roman" w:cs="Times New Roman"/>
              </w:rPr>
              <w:t>£8,517</w:t>
            </w:r>
          </w:p>
        </w:tc>
      </w:tr>
      <w:tr w:rsidR="00CA051E" w:rsidRPr="001C7F25" w14:paraId="63913741" w14:textId="77777777" w:rsidTr="007A4C7B">
        <w:tc>
          <w:tcPr>
            <w:tcW w:w="4955" w:type="dxa"/>
          </w:tcPr>
          <w:p w14:paraId="5C722C35" w14:textId="77777777" w:rsidR="00CA051E" w:rsidRPr="001C7F25" w:rsidRDefault="00CA051E" w:rsidP="00CA051E">
            <w:pPr>
              <w:spacing w:line="360" w:lineRule="auto"/>
              <w:rPr>
                <w:rFonts w:ascii="Times New Roman" w:hAnsi="Times New Roman" w:cs="Times New Roman"/>
                <w:b/>
                <w:bCs/>
              </w:rPr>
            </w:pPr>
            <w:r w:rsidRPr="001C7F25">
              <w:rPr>
                <w:rFonts w:ascii="Times New Roman" w:hAnsi="Times New Roman" w:cs="Times New Roman"/>
                <w:b/>
                <w:bCs/>
              </w:rPr>
              <w:t>HCV Testing Total</w:t>
            </w:r>
          </w:p>
        </w:tc>
        <w:tc>
          <w:tcPr>
            <w:tcW w:w="2081" w:type="dxa"/>
          </w:tcPr>
          <w:p w14:paraId="2316D46F" w14:textId="4F03FDDA" w:rsidR="00CA051E" w:rsidRPr="001C7F25" w:rsidRDefault="00CA051E" w:rsidP="00CA051E">
            <w:pPr>
              <w:spacing w:line="360" w:lineRule="auto"/>
              <w:jc w:val="right"/>
              <w:rPr>
                <w:rFonts w:ascii="Times New Roman" w:hAnsi="Times New Roman" w:cs="Times New Roman"/>
                <w:b/>
                <w:bCs/>
              </w:rPr>
            </w:pPr>
            <w:r w:rsidRPr="001C7F25">
              <w:rPr>
                <w:rFonts w:ascii="Times New Roman" w:hAnsi="Times New Roman" w:cs="Times New Roman"/>
                <w:b/>
                <w:bCs/>
              </w:rPr>
              <w:t>£164,256</w:t>
            </w:r>
          </w:p>
        </w:tc>
        <w:tc>
          <w:tcPr>
            <w:tcW w:w="1980" w:type="dxa"/>
          </w:tcPr>
          <w:p w14:paraId="3DE05E5F" w14:textId="13453F7E" w:rsidR="00CA051E" w:rsidRPr="001C7F25" w:rsidRDefault="00CA051E" w:rsidP="00CA051E">
            <w:pPr>
              <w:spacing w:line="360" w:lineRule="auto"/>
              <w:jc w:val="right"/>
              <w:rPr>
                <w:rFonts w:ascii="Times New Roman" w:hAnsi="Times New Roman" w:cs="Times New Roman"/>
                <w:b/>
                <w:bCs/>
              </w:rPr>
            </w:pPr>
            <w:r w:rsidRPr="001C7F25">
              <w:rPr>
                <w:rFonts w:ascii="Times New Roman" w:hAnsi="Times New Roman" w:cs="Times New Roman"/>
                <w:b/>
                <w:bCs/>
              </w:rPr>
              <w:t>£292,041</w:t>
            </w:r>
          </w:p>
        </w:tc>
      </w:tr>
    </w:tbl>
    <w:p w14:paraId="5501A329" w14:textId="40EB389C" w:rsidR="007A4C7B" w:rsidRPr="001C7F25" w:rsidRDefault="007A4C7B" w:rsidP="0068047A">
      <w:pPr>
        <w:spacing w:after="0" w:line="360" w:lineRule="auto"/>
        <w:rPr>
          <w:rFonts w:ascii="Times New Roman" w:hAnsi="Times New Roman" w:cs="Times New Roman"/>
          <w:sz w:val="18"/>
          <w:szCs w:val="18"/>
        </w:rPr>
      </w:pPr>
      <w:r w:rsidRPr="001C7F25">
        <w:rPr>
          <w:rFonts w:ascii="Times New Roman" w:hAnsi="Times New Roman" w:cs="Times New Roman"/>
          <w:b/>
          <w:bCs/>
          <w:vertAlign w:val="superscript"/>
        </w:rPr>
        <w:t>†</w:t>
      </w:r>
      <w:r w:rsidRPr="001C7F25">
        <w:rPr>
          <w:rFonts w:ascii="Times New Roman" w:hAnsi="Times New Roman" w:cs="Times New Roman"/>
          <w:sz w:val="18"/>
          <w:szCs w:val="18"/>
        </w:rPr>
        <w:t xml:space="preserve">Annual testing assumes 21,404 HBV and HCV tests per year in </w:t>
      </w:r>
      <w:r w:rsidR="004B42D4" w:rsidRPr="001C7F25">
        <w:rPr>
          <w:rFonts w:ascii="Times New Roman" w:hAnsi="Times New Roman" w:cs="Times New Roman"/>
          <w:sz w:val="18"/>
          <w:szCs w:val="18"/>
        </w:rPr>
        <w:t>LTHT, Leeds</w:t>
      </w:r>
      <w:r w:rsidRPr="001C7F25">
        <w:rPr>
          <w:rFonts w:ascii="Times New Roman" w:hAnsi="Times New Roman" w:cs="Times New Roman"/>
          <w:sz w:val="18"/>
          <w:szCs w:val="18"/>
        </w:rPr>
        <w:t xml:space="preserve">, and 30,171 HBV and HCV tests per year in </w:t>
      </w:r>
      <w:r w:rsidR="004B42D4" w:rsidRPr="001C7F25">
        <w:rPr>
          <w:rFonts w:ascii="Times New Roman" w:hAnsi="Times New Roman" w:cs="Times New Roman"/>
          <w:sz w:val="18"/>
          <w:szCs w:val="18"/>
        </w:rPr>
        <w:t xml:space="preserve">GSTT, </w:t>
      </w:r>
      <w:r w:rsidRPr="001C7F25">
        <w:rPr>
          <w:rFonts w:ascii="Times New Roman" w:hAnsi="Times New Roman" w:cs="Times New Roman"/>
          <w:sz w:val="18"/>
          <w:szCs w:val="18"/>
        </w:rPr>
        <w:t xml:space="preserve">London. </w:t>
      </w:r>
    </w:p>
    <w:p w14:paraId="010A4EEC" w14:textId="1AE78E18" w:rsidR="0068047A" w:rsidRPr="001C7F25" w:rsidRDefault="0068047A" w:rsidP="007A4C7B">
      <w:pPr>
        <w:spacing w:line="360" w:lineRule="auto"/>
        <w:rPr>
          <w:rFonts w:ascii="Times New Roman" w:hAnsi="Times New Roman" w:cs="Times New Roman"/>
          <w:sz w:val="18"/>
          <w:szCs w:val="18"/>
        </w:rPr>
      </w:pPr>
      <w:r w:rsidRPr="001C7F25">
        <w:rPr>
          <w:rFonts w:ascii="Times New Roman" w:hAnsi="Times New Roman" w:cs="Times New Roman"/>
          <w:vertAlign w:val="superscript"/>
        </w:rPr>
        <w:t xml:space="preserve">‡ </w:t>
      </w:r>
      <w:r w:rsidRPr="001C7F25">
        <w:rPr>
          <w:rFonts w:ascii="Times New Roman" w:hAnsi="Times New Roman" w:cs="Times New Roman"/>
          <w:sz w:val="18"/>
          <w:szCs w:val="18"/>
        </w:rPr>
        <w:t xml:space="preserve">Assumes cost per contacting each case of £110.83 for </w:t>
      </w:r>
      <w:r w:rsidR="00F53673" w:rsidRPr="001C7F25">
        <w:rPr>
          <w:rFonts w:ascii="Times New Roman" w:hAnsi="Times New Roman" w:cs="Times New Roman"/>
          <w:sz w:val="18"/>
          <w:szCs w:val="18"/>
        </w:rPr>
        <w:t xml:space="preserve">LTHT </w:t>
      </w:r>
      <w:r w:rsidRPr="001C7F25">
        <w:rPr>
          <w:rFonts w:ascii="Times New Roman" w:hAnsi="Times New Roman" w:cs="Times New Roman"/>
          <w:sz w:val="18"/>
          <w:szCs w:val="18"/>
        </w:rPr>
        <w:t>and £81.66 for GSTT.</w:t>
      </w:r>
    </w:p>
    <w:p w14:paraId="7DA51CD8" w14:textId="77777777" w:rsidR="00724911" w:rsidRPr="001C7F25" w:rsidRDefault="00724911">
      <w:pPr>
        <w:rPr>
          <w:rFonts w:ascii="Times New Roman" w:hAnsi="Times New Roman" w:cs="Times New Roman"/>
        </w:rPr>
      </w:pPr>
    </w:p>
    <w:p w14:paraId="5F88BC4C" w14:textId="77777777" w:rsidR="00327340" w:rsidRPr="001C7F25" w:rsidRDefault="00327340" w:rsidP="00327340">
      <w:pPr>
        <w:rPr>
          <w:rFonts w:ascii="Times New Roman" w:hAnsi="Times New Roman" w:cs="Times New Roman"/>
        </w:rPr>
        <w:sectPr w:rsidR="00327340" w:rsidRPr="001C7F25" w:rsidSect="00746C36">
          <w:pgSz w:w="11906" w:h="16838"/>
          <w:pgMar w:top="1440" w:right="1440" w:bottom="1440" w:left="1440" w:header="708" w:footer="708" w:gutter="0"/>
          <w:cols w:space="708"/>
          <w:docGrid w:linePitch="360"/>
        </w:sectPr>
      </w:pPr>
    </w:p>
    <w:p w14:paraId="27BEA4B2" w14:textId="77777777" w:rsidR="00386CE7" w:rsidRPr="00C948F6" w:rsidRDefault="00386CE7" w:rsidP="00FA6A2B">
      <w:pPr>
        <w:pStyle w:val="Heading1"/>
        <w:spacing w:line="360" w:lineRule="auto"/>
        <w:rPr>
          <w:rFonts w:ascii="Times New Roman" w:hAnsi="Times New Roman" w:cs="Times New Roman"/>
        </w:rPr>
      </w:pPr>
      <w:r w:rsidRPr="001C7F25">
        <w:rPr>
          <w:rFonts w:ascii="Times New Roman" w:hAnsi="Times New Roman" w:cs="Times New Roman"/>
        </w:rPr>
        <w:lastRenderedPageBreak/>
        <w:t>References</w:t>
      </w:r>
    </w:p>
    <w:p w14:paraId="1E043958" w14:textId="5A4FF786" w:rsidR="00C948F6" w:rsidRPr="00C948F6" w:rsidRDefault="0014537E"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fldChar w:fldCharType="begin"/>
      </w:r>
      <w:r w:rsidRPr="00C948F6">
        <w:rPr>
          <w:rFonts w:ascii="Times New Roman" w:hAnsi="Times New Roman" w:cs="Times New Roman"/>
        </w:rPr>
        <w:instrText xml:space="preserve"> ADDIN EN.REFLIST </w:instrText>
      </w:r>
      <w:r w:rsidRPr="00C948F6">
        <w:rPr>
          <w:rFonts w:ascii="Times New Roman" w:hAnsi="Times New Roman" w:cs="Times New Roman"/>
        </w:rPr>
        <w:fldChar w:fldCharType="separate"/>
      </w:r>
      <w:r w:rsidR="00C948F6" w:rsidRPr="00C948F6">
        <w:rPr>
          <w:rFonts w:ascii="Times New Roman" w:hAnsi="Times New Roman" w:cs="Times New Roman"/>
        </w:rPr>
        <w:t>1.</w:t>
      </w:r>
      <w:r w:rsidR="00C948F6" w:rsidRPr="00C948F6">
        <w:rPr>
          <w:rFonts w:ascii="Times New Roman" w:hAnsi="Times New Roman" w:cs="Times New Roman"/>
        </w:rPr>
        <w:tab/>
        <w:t xml:space="preserve">Shepherd J, et al., </w:t>
      </w:r>
      <w:r w:rsidR="00C948F6" w:rsidRPr="00C948F6">
        <w:rPr>
          <w:rFonts w:ascii="Times New Roman" w:hAnsi="Times New Roman" w:cs="Times New Roman"/>
          <w:i/>
        </w:rPr>
        <w:t>Adefovir dipivoxil and pegylated interferon alfa-2a for the treatment of chronic hepatitis B: a systematic review and economic evaluation.</w:t>
      </w:r>
      <w:r w:rsidR="00C948F6" w:rsidRPr="00C948F6">
        <w:rPr>
          <w:rFonts w:ascii="Times New Roman" w:hAnsi="Times New Roman" w:cs="Times New Roman"/>
        </w:rPr>
        <w:t xml:space="preserve"> Health Technol Assess. </w:t>
      </w:r>
      <w:r w:rsidR="00C948F6" w:rsidRPr="00C948F6">
        <w:rPr>
          <w:rFonts w:ascii="Times New Roman" w:hAnsi="Times New Roman" w:cs="Times New Roman"/>
          <w:b/>
        </w:rPr>
        <w:t>10</w:t>
      </w:r>
      <w:r w:rsidR="00C948F6" w:rsidRPr="00C948F6">
        <w:rPr>
          <w:rFonts w:ascii="Times New Roman" w:hAnsi="Times New Roman" w:cs="Times New Roman"/>
        </w:rPr>
        <w:t xml:space="preserve">(28). (2006) DOI: </w:t>
      </w:r>
      <w:hyperlink r:id="rId12" w:history="1">
        <w:r w:rsidR="00C948F6" w:rsidRPr="00C948F6">
          <w:rPr>
            <w:rStyle w:val="Hyperlink"/>
            <w:rFonts w:ascii="Times New Roman" w:hAnsi="Times New Roman" w:cs="Times New Roman"/>
          </w:rPr>
          <w:t>https://doi.org/10.3310/hta10280</w:t>
        </w:r>
      </w:hyperlink>
      <w:r w:rsidR="00C948F6" w:rsidRPr="00C948F6">
        <w:rPr>
          <w:rFonts w:ascii="Times New Roman" w:hAnsi="Times New Roman" w:cs="Times New Roman"/>
        </w:rPr>
        <w:t>.</w:t>
      </w:r>
    </w:p>
    <w:p w14:paraId="22356BEF"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2.</w:t>
      </w:r>
      <w:r w:rsidRPr="00C948F6">
        <w:rPr>
          <w:rFonts w:ascii="Times New Roman" w:hAnsi="Times New Roman" w:cs="Times New Roman"/>
        </w:rPr>
        <w:tab/>
        <w:t xml:space="preserve">Marcellin, P., et al., </w:t>
      </w:r>
      <w:r w:rsidRPr="00C948F6">
        <w:rPr>
          <w:rFonts w:ascii="Times New Roman" w:hAnsi="Times New Roman" w:cs="Times New Roman"/>
          <w:i/>
        </w:rPr>
        <w:t xml:space="preserve">Long-Term Treatment with Tenofovir Disoproxil Fumarate for Chronic Hepatitis B Infection Is Safe and Well Tolerated and Associated with Durable Virologic Response with No Detectable Resistance: 8 Year Results from Two Phase 3 Trials </w:t>
      </w:r>
      <w:r w:rsidRPr="00C948F6">
        <w:rPr>
          <w:rFonts w:ascii="Times New Roman" w:hAnsi="Times New Roman" w:cs="Times New Roman"/>
        </w:rPr>
        <w:t>65th Annual Meeting of the American Association for the Study of Liver Diseases. (2014).</w:t>
      </w:r>
    </w:p>
    <w:p w14:paraId="518DC3A4"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3.</w:t>
      </w:r>
      <w:r w:rsidRPr="00C948F6">
        <w:rPr>
          <w:rFonts w:ascii="Times New Roman" w:hAnsi="Times New Roman" w:cs="Times New Roman"/>
        </w:rPr>
        <w:tab/>
        <w:t xml:space="preserve">National Institute for Health and Care Excellence, </w:t>
      </w:r>
      <w:r w:rsidRPr="00C948F6">
        <w:rPr>
          <w:rFonts w:ascii="Times New Roman" w:hAnsi="Times New Roman" w:cs="Times New Roman"/>
          <w:i/>
        </w:rPr>
        <w:t>Hepatitis B (chronic): diagnosis and management (CG165)</w:t>
      </w:r>
      <w:r w:rsidRPr="00C948F6">
        <w:rPr>
          <w:rFonts w:ascii="Times New Roman" w:hAnsi="Times New Roman" w:cs="Times New Roman"/>
        </w:rPr>
        <w:t>. (2017). (2017)</w:t>
      </w:r>
    </w:p>
    <w:p w14:paraId="3DC1C625"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4.</w:t>
      </w:r>
      <w:r w:rsidRPr="00C948F6">
        <w:rPr>
          <w:rFonts w:ascii="Times New Roman" w:hAnsi="Times New Roman" w:cs="Times New Roman"/>
        </w:rPr>
        <w:tab/>
        <w:t xml:space="preserve">Lau, G.K.K., et al., </w:t>
      </w:r>
      <w:r w:rsidRPr="00C948F6">
        <w:rPr>
          <w:rFonts w:ascii="Times New Roman" w:hAnsi="Times New Roman" w:cs="Times New Roman"/>
          <w:i/>
        </w:rPr>
        <w:t>Peginterferon Alfa-2a, Lamivudine, and the Combination for HBeAg-Positive Chronic Hepatitis B.</w:t>
      </w:r>
      <w:r w:rsidRPr="00C948F6">
        <w:rPr>
          <w:rFonts w:ascii="Times New Roman" w:hAnsi="Times New Roman" w:cs="Times New Roman"/>
        </w:rPr>
        <w:t xml:space="preserve"> N Engl J Med. </w:t>
      </w:r>
      <w:r w:rsidRPr="00C948F6">
        <w:rPr>
          <w:rFonts w:ascii="Times New Roman" w:hAnsi="Times New Roman" w:cs="Times New Roman"/>
          <w:b/>
        </w:rPr>
        <w:t>352</w:t>
      </w:r>
      <w:r w:rsidRPr="00C948F6">
        <w:rPr>
          <w:rFonts w:ascii="Times New Roman" w:hAnsi="Times New Roman" w:cs="Times New Roman"/>
        </w:rPr>
        <w:t>(26): p. 2682-2695. (2005) DOI: 10.1056/NEJMoa043470.</w:t>
      </w:r>
    </w:p>
    <w:p w14:paraId="6605F69D"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5.</w:t>
      </w:r>
      <w:r w:rsidRPr="00C948F6">
        <w:rPr>
          <w:rFonts w:ascii="Times New Roman" w:hAnsi="Times New Roman" w:cs="Times New Roman"/>
        </w:rPr>
        <w:tab/>
        <w:t xml:space="preserve">National Institute for Health and Care Excellence, </w:t>
      </w:r>
      <w:r w:rsidRPr="00C948F6">
        <w:rPr>
          <w:rFonts w:ascii="Times New Roman" w:hAnsi="Times New Roman" w:cs="Times New Roman"/>
          <w:i/>
        </w:rPr>
        <w:t>Hepatitis B and C testing: people at risk of infection (PH43)</w:t>
      </w:r>
      <w:r w:rsidRPr="00C948F6">
        <w:rPr>
          <w:rFonts w:ascii="Times New Roman" w:hAnsi="Times New Roman" w:cs="Times New Roman"/>
        </w:rPr>
        <w:t>. (2013). (2013)</w:t>
      </w:r>
    </w:p>
    <w:p w14:paraId="725B1081" w14:textId="4444CAAC"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6.</w:t>
      </w:r>
      <w:r w:rsidRPr="00C948F6">
        <w:rPr>
          <w:rFonts w:ascii="Times New Roman" w:hAnsi="Times New Roman" w:cs="Times New Roman"/>
        </w:rPr>
        <w:tab/>
        <w:t xml:space="preserve">Marcellin, P., et al., </w:t>
      </w:r>
      <w:r w:rsidRPr="00C948F6">
        <w:rPr>
          <w:rFonts w:ascii="Times New Roman" w:hAnsi="Times New Roman" w:cs="Times New Roman"/>
          <w:i/>
        </w:rPr>
        <w:t>Regression of cirrhosis during treatment with tenofovir disoproxil fumarate for chronic hepatitis B: a 5-year open-label follow-up study.</w:t>
      </w:r>
      <w:r w:rsidRPr="00C948F6">
        <w:rPr>
          <w:rFonts w:ascii="Times New Roman" w:hAnsi="Times New Roman" w:cs="Times New Roman"/>
        </w:rPr>
        <w:t xml:space="preserve"> Lancet. </w:t>
      </w:r>
      <w:r w:rsidRPr="00C948F6">
        <w:rPr>
          <w:rFonts w:ascii="Times New Roman" w:hAnsi="Times New Roman" w:cs="Times New Roman"/>
          <w:b/>
        </w:rPr>
        <w:t>381</w:t>
      </w:r>
      <w:r w:rsidRPr="00C948F6">
        <w:rPr>
          <w:rFonts w:ascii="Times New Roman" w:hAnsi="Times New Roman" w:cs="Times New Roman"/>
        </w:rPr>
        <w:t xml:space="preserve">(9865): p. 468-475. (2013) DOI: </w:t>
      </w:r>
      <w:hyperlink r:id="rId13" w:history="1">
        <w:r w:rsidRPr="00C948F6">
          <w:rPr>
            <w:rStyle w:val="Hyperlink"/>
            <w:rFonts w:ascii="Times New Roman" w:hAnsi="Times New Roman" w:cs="Times New Roman"/>
          </w:rPr>
          <w:t>https://doi.org/10.1016/S0140-6736(12)61425-1</w:t>
        </w:r>
      </w:hyperlink>
      <w:r w:rsidRPr="00C948F6">
        <w:rPr>
          <w:rFonts w:ascii="Times New Roman" w:hAnsi="Times New Roman" w:cs="Times New Roman"/>
        </w:rPr>
        <w:t>.</w:t>
      </w:r>
    </w:p>
    <w:p w14:paraId="36FB0C14"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7.</w:t>
      </w:r>
      <w:r w:rsidRPr="00C948F6">
        <w:rPr>
          <w:rFonts w:ascii="Times New Roman" w:hAnsi="Times New Roman" w:cs="Times New Roman"/>
        </w:rPr>
        <w:tab/>
        <w:t xml:space="preserve">European Association for the Study of the Liver, </w:t>
      </w:r>
      <w:r w:rsidRPr="00C948F6">
        <w:rPr>
          <w:rFonts w:ascii="Times New Roman" w:hAnsi="Times New Roman" w:cs="Times New Roman"/>
          <w:i/>
        </w:rPr>
        <w:t>EASL 2017 Clinical Practice Guidelines on the management of hepatitis B virus infection.</w:t>
      </w:r>
      <w:r w:rsidRPr="00C948F6">
        <w:rPr>
          <w:rFonts w:ascii="Times New Roman" w:hAnsi="Times New Roman" w:cs="Times New Roman"/>
        </w:rPr>
        <w:t xml:space="preserve"> J Hepatol. </w:t>
      </w:r>
      <w:r w:rsidRPr="00C948F6">
        <w:rPr>
          <w:rFonts w:ascii="Times New Roman" w:hAnsi="Times New Roman" w:cs="Times New Roman"/>
          <w:b/>
        </w:rPr>
        <w:t>67</w:t>
      </w:r>
      <w:r w:rsidRPr="00C948F6">
        <w:rPr>
          <w:rFonts w:ascii="Times New Roman" w:hAnsi="Times New Roman" w:cs="Times New Roman"/>
        </w:rPr>
        <w:t>: p. 370-398. (2017).</w:t>
      </w:r>
    </w:p>
    <w:p w14:paraId="3DC03AE6"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8.</w:t>
      </w:r>
      <w:r w:rsidRPr="00C948F6">
        <w:rPr>
          <w:rFonts w:ascii="Times New Roman" w:hAnsi="Times New Roman" w:cs="Times New Roman"/>
        </w:rPr>
        <w:tab/>
        <w:t xml:space="preserve">Marcellin, P., et al., </w:t>
      </w:r>
      <w:r w:rsidRPr="00C948F6">
        <w:rPr>
          <w:rFonts w:ascii="Times New Roman" w:hAnsi="Times New Roman" w:cs="Times New Roman"/>
          <w:i/>
        </w:rPr>
        <w:t>Peginterferon Alfa-2a Alone, Lamivudine Alone, and the Two in Combination in Patients with HBeAg-Negative Chronic Hepatitis B.</w:t>
      </w:r>
      <w:r w:rsidRPr="00C948F6">
        <w:rPr>
          <w:rFonts w:ascii="Times New Roman" w:hAnsi="Times New Roman" w:cs="Times New Roman"/>
        </w:rPr>
        <w:t xml:space="preserve"> N Engl J Med. </w:t>
      </w:r>
      <w:r w:rsidRPr="00C948F6">
        <w:rPr>
          <w:rFonts w:ascii="Times New Roman" w:hAnsi="Times New Roman" w:cs="Times New Roman"/>
          <w:b/>
        </w:rPr>
        <w:t>351</w:t>
      </w:r>
      <w:r w:rsidRPr="00C948F6">
        <w:rPr>
          <w:rFonts w:ascii="Times New Roman" w:hAnsi="Times New Roman" w:cs="Times New Roman"/>
        </w:rPr>
        <w:t>(12): p. 1206-1217. (2004) DOI: 10.1056/NEJMoa040431.</w:t>
      </w:r>
    </w:p>
    <w:p w14:paraId="0E8A1344"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9.</w:t>
      </w:r>
      <w:r w:rsidRPr="00C948F6">
        <w:rPr>
          <w:rFonts w:ascii="Times New Roman" w:hAnsi="Times New Roman" w:cs="Times New Roman"/>
        </w:rPr>
        <w:tab/>
        <w:t xml:space="preserve">Public Health England, </w:t>
      </w:r>
      <w:r w:rsidRPr="00C948F6">
        <w:rPr>
          <w:rFonts w:ascii="Times New Roman" w:hAnsi="Times New Roman" w:cs="Times New Roman"/>
          <w:i/>
        </w:rPr>
        <w:t>Annual report from the sentinel surveillance of blood borne virus testing in England 2019</w:t>
      </w:r>
      <w:r w:rsidRPr="00C948F6">
        <w:rPr>
          <w:rFonts w:ascii="Times New Roman" w:hAnsi="Times New Roman" w:cs="Times New Roman"/>
        </w:rPr>
        <w:t xml:space="preserve">, in </w:t>
      </w:r>
      <w:r w:rsidRPr="00C948F6">
        <w:rPr>
          <w:rFonts w:ascii="Times New Roman" w:hAnsi="Times New Roman" w:cs="Times New Roman"/>
          <w:i/>
        </w:rPr>
        <w:t>Health Protection Report</w:t>
      </w:r>
      <w:r w:rsidRPr="00C948F6">
        <w:rPr>
          <w:rFonts w:ascii="Times New Roman" w:hAnsi="Times New Roman" w:cs="Times New Roman"/>
        </w:rPr>
        <w:t>. (2021). (2021)</w:t>
      </w:r>
    </w:p>
    <w:p w14:paraId="61AEFE3B"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10.</w:t>
      </w:r>
      <w:r w:rsidRPr="00C948F6">
        <w:rPr>
          <w:rFonts w:ascii="Times New Roman" w:hAnsi="Times New Roman" w:cs="Times New Roman"/>
        </w:rPr>
        <w:tab/>
        <w:t xml:space="preserve">Office for National Statistics, </w:t>
      </w:r>
      <w:r w:rsidRPr="00C948F6">
        <w:rPr>
          <w:rFonts w:ascii="Times New Roman" w:hAnsi="Times New Roman" w:cs="Times New Roman"/>
          <w:i/>
        </w:rPr>
        <w:t>England Population Estimates, mid-2019</w:t>
      </w:r>
      <w:r w:rsidRPr="00C948F6">
        <w:rPr>
          <w:rFonts w:ascii="Times New Roman" w:hAnsi="Times New Roman" w:cs="Times New Roman"/>
        </w:rPr>
        <w:t>. (2020). (2020)</w:t>
      </w:r>
    </w:p>
    <w:p w14:paraId="48D1484D"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11.</w:t>
      </w:r>
      <w:r w:rsidRPr="00C948F6">
        <w:rPr>
          <w:rFonts w:ascii="Times New Roman" w:hAnsi="Times New Roman" w:cs="Times New Roman"/>
        </w:rPr>
        <w:tab/>
        <w:t xml:space="preserve">Public Health England, </w:t>
      </w:r>
      <w:r w:rsidRPr="00C948F6">
        <w:rPr>
          <w:rFonts w:ascii="Times New Roman" w:hAnsi="Times New Roman" w:cs="Times New Roman"/>
          <w:i/>
        </w:rPr>
        <w:t>Unlinked Anonymous Monitoring (UAM) Survey of HIV and viral hepatitis among PWID: 2020 report</w:t>
      </w:r>
      <w:r w:rsidRPr="00C948F6">
        <w:rPr>
          <w:rFonts w:ascii="Times New Roman" w:hAnsi="Times New Roman" w:cs="Times New Roman"/>
        </w:rPr>
        <w:t>. (2020), Public Health England: London. (2020)</w:t>
      </w:r>
    </w:p>
    <w:p w14:paraId="540EF36A"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12.</w:t>
      </w:r>
      <w:r w:rsidRPr="00C948F6">
        <w:rPr>
          <w:rFonts w:ascii="Times New Roman" w:hAnsi="Times New Roman" w:cs="Times New Roman"/>
        </w:rPr>
        <w:tab/>
        <w:t xml:space="preserve">Hickman, M., et al., </w:t>
      </w:r>
      <w:r w:rsidRPr="00C948F6">
        <w:rPr>
          <w:rFonts w:ascii="Times New Roman" w:hAnsi="Times New Roman" w:cs="Times New Roman"/>
          <w:i/>
        </w:rPr>
        <w:t>Assessing IDU prevalence and health consequences (HCV, overdose and drug-related mortality) in a primary care trust: implications for public health action.</w:t>
      </w:r>
      <w:r w:rsidRPr="00C948F6">
        <w:rPr>
          <w:rFonts w:ascii="Times New Roman" w:hAnsi="Times New Roman" w:cs="Times New Roman"/>
        </w:rPr>
        <w:t xml:space="preserve"> J Public Health (Oxf). </w:t>
      </w:r>
      <w:r w:rsidRPr="00C948F6">
        <w:rPr>
          <w:rFonts w:ascii="Times New Roman" w:hAnsi="Times New Roman" w:cs="Times New Roman"/>
          <w:b/>
        </w:rPr>
        <w:t>31</w:t>
      </w:r>
      <w:r w:rsidRPr="00C948F6">
        <w:rPr>
          <w:rFonts w:ascii="Times New Roman" w:hAnsi="Times New Roman" w:cs="Times New Roman"/>
        </w:rPr>
        <w:t>(3): p. 374-382. (2009) DOI: 10.1093/pubmed/fdp067.</w:t>
      </w:r>
    </w:p>
    <w:p w14:paraId="0F9EB31C"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13.</w:t>
      </w:r>
      <w:r w:rsidRPr="00C948F6">
        <w:rPr>
          <w:rFonts w:ascii="Times New Roman" w:hAnsi="Times New Roman" w:cs="Times New Roman"/>
        </w:rPr>
        <w:tab/>
        <w:t xml:space="preserve">Sweeting, M.J., et al., </w:t>
      </w:r>
      <w:r w:rsidRPr="00C948F6">
        <w:rPr>
          <w:rFonts w:ascii="Times New Roman" w:hAnsi="Times New Roman" w:cs="Times New Roman"/>
          <w:i/>
        </w:rPr>
        <w:t>Estimating the prevalence of ex-injecting drug use in the population.</w:t>
      </w:r>
      <w:r w:rsidRPr="00C948F6">
        <w:rPr>
          <w:rFonts w:ascii="Times New Roman" w:hAnsi="Times New Roman" w:cs="Times New Roman"/>
        </w:rPr>
        <w:t xml:space="preserve"> Stat Methods Med Res. </w:t>
      </w:r>
      <w:r w:rsidRPr="00C948F6">
        <w:rPr>
          <w:rFonts w:ascii="Times New Roman" w:hAnsi="Times New Roman" w:cs="Times New Roman"/>
          <w:b/>
        </w:rPr>
        <w:t>18</w:t>
      </w:r>
      <w:r w:rsidRPr="00C948F6">
        <w:rPr>
          <w:rFonts w:ascii="Times New Roman" w:hAnsi="Times New Roman" w:cs="Times New Roman"/>
        </w:rPr>
        <w:t>(4): p. 381-395. (2008) DOI: 10.1177/0962280208094704.</w:t>
      </w:r>
    </w:p>
    <w:p w14:paraId="3A4A3F4E"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14.</w:t>
      </w:r>
      <w:r w:rsidRPr="00C948F6">
        <w:rPr>
          <w:rFonts w:ascii="Times New Roman" w:hAnsi="Times New Roman" w:cs="Times New Roman"/>
        </w:rPr>
        <w:tab/>
        <w:t xml:space="preserve">Schulkind, J., et al., </w:t>
      </w:r>
      <w:r w:rsidRPr="00C948F6">
        <w:rPr>
          <w:rFonts w:ascii="Times New Roman" w:hAnsi="Times New Roman" w:cs="Times New Roman"/>
          <w:i/>
        </w:rPr>
        <w:t>High response and re-infection rates among people who inject drugs treated for hepatitis C in a community needle and syringe programme.</w:t>
      </w:r>
      <w:r w:rsidRPr="00C948F6">
        <w:rPr>
          <w:rFonts w:ascii="Times New Roman" w:hAnsi="Times New Roman" w:cs="Times New Roman"/>
        </w:rPr>
        <w:t xml:space="preserve"> J Viral Hepat. </w:t>
      </w:r>
      <w:r w:rsidRPr="00C948F6">
        <w:rPr>
          <w:rFonts w:ascii="Times New Roman" w:hAnsi="Times New Roman" w:cs="Times New Roman"/>
          <w:b/>
        </w:rPr>
        <w:t>26</w:t>
      </w:r>
      <w:r w:rsidRPr="00C948F6">
        <w:rPr>
          <w:rFonts w:ascii="Times New Roman" w:hAnsi="Times New Roman" w:cs="Times New Roman"/>
        </w:rPr>
        <w:t>(5): p. 519-528. (2019) DOI: 10.1111/jvh.13035.</w:t>
      </w:r>
    </w:p>
    <w:p w14:paraId="3C427986"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15.</w:t>
      </w:r>
      <w:r w:rsidRPr="00C948F6">
        <w:rPr>
          <w:rFonts w:ascii="Times New Roman" w:hAnsi="Times New Roman" w:cs="Times New Roman"/>
        </w:rPr>
        <w:tab/>
        <w:t xml:space="preserve">Kim, W.R., et al., </w:t>
      </w:r>
      <w:r w:rsidRPr="00C948F6">
        <w:rPr>
          <w:rFonts w:ascii="Times New Roman" w:hAnsi="Times New Roman" w:cs="Times New Roman"/>
          <w:i/>
        </w:rPr>
        <w:t>Impact of long-term tenofovir disoproxil fumarate on incidence of hepatocellular carcinoma in patients with chronic hepatitis B.</w:t>
      </w:r>
      <w:r w:rsidRPr="00C948F6">
        <w:rPr>
          <w:rFonts w:ascii="Times New Roman" w:hAnsi="Times New Roman" w:cs="Times New Roman"/>
        </w:rPr>
        <w:t xml:space="preserve"> Cancer. </w:t>
      </w:r>
      <w:r w:rsidRPr="00C948F6">
        <w:rPr>
          <w:rFonts w:ascii="Times New Roman" w:hAnsi="Times New Roman" w:cs="Times New Roman"/>
          <w:b/>
        </w:rPr>
        <w:t>121</w:t>
      </w:r>
      <w:r w:rsidRPr="00C948F6">
        <w:rPr>
          <w:rFonts w:ascii="Times New Roman" w:hAnsi="Times New Roman" w:cs="Times New Roman"/>
        </w:rPr>
        <w:t>(20): p. 3631-3638. (2015) DOI: 10.1002/cncr.29537.</w:t>
      </w:r>
    </w:p>
    <w:p w14:paraId="5DE964CF"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16.</w:t>
      </w:r>
      <w:r w:rsidRPr="00C948F6">
        <w:rPr>
          <w:rFonts w:ascii="Times New Roman" w:hAnsi="Times New Roman" w:cs="Times New Roman"/>
        </w:rPr>
        <w:tab/>
        <w:t xml:space="preserve">Takeda, A., et al., </w:t>
      </w:r>
      <w:r w:rsidRPr="00C948F6">
        <w:rPr>
          <w:rFonts w:ascii="Times New Roman" w:hAnsi="Times New Roman" w:cs="Times New Roman"/>
          <w:i/>
        </w:rPr>
        <w:t>A systematic review and economic evaluation of adefovir dipivoxil and pegylated interferon-alpha-2a for the treatment of chronic hepatitis B.</w:t>
      </w:r>
      <w:r w:rsidRPr="00C948F6">
        <w:rPr>
          <w:rFonts w:ascii="Times New Roman" w:hAnsi="Times New Roman" w:cs="Times New Roman"/>
        </w:rPr>
        <w:t xml:space="preserve"> J Viral Hepat. </w:t>
      </w:r>
      <w:r w:rsidRPr="00C948F6">
        <w:rPr>
          <w:rFonts w:ascii="Times New Roman" w:hAnsi="Times New Roman" w:cs="Times New Roman"/>
          <w:b/>
        </w:rPr>
        <w:t>14</w:t>
      </w:r>
      <w:r w:rsidRPr="00C948F6">
        <w:rPr>
          <w:rFonts w:ascii="Times New Roman" w:hAnsi="Times New Roman" w:cs="Times New Roman"/>
        </w:rPr>
        <w:t>(2): p. 75-88. (2007) DOI: doi:10.1111/j.1365-2893.2006.00808.x.</w:t>
      </w:r>
    </w:p>
    <w:p w14:paraId="37E7FE92"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17.</w:t>
      </w:r>
      <w:r w:rsidRPr="00C948F6">
        <w:rPr>
          <w:rFonts w:ascii="Times New Roman" w:hAnsi="Times New Roman" w:cs="Times New Roman"/>
        </w:rPr>
        <w:tab/>
        <w:t xml:space="preserve">Erman, A., et al., </w:t>
      </w:r>
      <w:r w:rsidRPr="00C948F6">
        <w:rPr>
          <w:rFonts w:ascii="Times New Roman" w:hAnsi="Times New Roman" w:cs="Times New Roman"/>
          <w:i/>
        </w:rPr>
        <w:t>Estimation of fibrosis progression rates for chronic hepatitis C: a systematic review and meta-analysis update.</w:t>
      </w:r>
      <w:r w:rsidRPr="00C948F6">
        <w:rPr>
          <w:rFonts w:ascii="Times New Roman" w:hAnsi="Times New Roman" w:cs="Times New Roman"/>
        </w:rPr>
        <w:t xml:space="preserve"> BMJ Open. </w:t>
      </w:r>
      <w:r w:rsidRPr="00C948F6">
        <w:rPr>
          <w:rFonts w:ascii="Times New Roman" w:hAnsi="Times New Roman" w:cs="Times New Roman"/>
          <w:b/>
        </w:rPr>
        <w:t>9</w:t>
      </w:r>
      <w:r w:rsidRPr="00C948F6">
        <w:rPr>
          <w:rFonts w:ascii="Times New Roman" w:hAnsi="Times New Roman" w:cs="Times New Roman"/>
        </w:rPr>
        <w:t>(11): p. e027491. (2019) DOI: 10.1136/bmjopen-2018-027491.</w:t>
      </w:r>
    </w:p>
    <w:p w14:paraId="50DB40F0" w14:textId="7DC41CEE"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18.</w:t>
      </w:r>
      <w:r w:rsidRPr="00C948F6">
        <w:rPr>
          <w:rFonts w:ascii="Times New Roman" w:hAnsi="Times New Roman" w:cs="Times New Roman"/>
        </w:rPr>
        <w:tab/>
        <w:t xml:space="preserve">Shepherd J, et al., </w:t>
      </w:r>
      <w:r w:rsidRPr="00C948F6">
        <w:rPr>
          <w:rFonts w:ascii="Times New Roman" w:hAnsi="Times New Roman" w:cs="Times New Roman"/>
          <w:i/>
        </w:rPr>
        <w:t>Interferon alfa (pegylated and non-pegylated) and ribavirin for the treatment of mild chronic hepatitis C: a systematic review and economic evaluation.</w:t>
      </w:r>
      <w:r w:rsidRPr="00C948F6">
        <w:rPr>
          <w:rFonts w:ascii="Times New Roman" w:hAnsi="Times New Roman" w:cs="Times New Roman"/>
        </w:rPr>
        <w:t xml:space="preserve"> Health Technol Assess. </w:t>
      </w:r>
      <w:r w:rsidRPr="00C948F6">
        <w:rPr>
          <w:rFonts w:ascii="Times New Roman" w:hAnsi="Times New Roman" w:cs="Times New Roman"/>
          <w:b/>
        </w:rPr>
        <w:t>11</w:t>
      </w:r>
      <w:r w:rsidRPr="00C948F6">
        <w:rPr>
          <w:rFonts w:ascii="Times New Roman" w:hAnsi="Times New Roman" w:cs="Times New Roman"/>
        </w:rPr>
        <w:t xml:space="preserve">(11). (2006) DOI: </w:t>
      </w:r>
      <w:hyperlink r:id="rId14" w:history="1">
        <w:r w:rsidRPr="00C948F6">
          <w:rPr>
            <w:rStyle w:val="Hyperlink"/>
            <w:rFonts w:ascii="Times New Roman" w:hAnsi="Times New Roman" w:cs="Times New Roman"/>
          </w:rPr>
          <w:t>https://doi.org/10.3310/hta11110</w:t>
        </w:r>
      </w:hyperlink>
      <w:r w:rsidRPr="00C948F6">
        <w:rPr>
          <w:rFonts w:ascii="Times New Roman" w:hAnsi="Times New Roman" w:cs="Times New Roman"/>
        </w:rPr>
        <w:t>.</w:t>
      </w:r>
    </w:p>
    <w:p w14:paraId="54EC415D"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19.</w:t>
      </w:r>
      <w:r w:rsidRPr="00C948F6">
        <w:rPr>
          <w:rFonts w:ascii="Times New Roman" w:hAnsi="Times New Roman" w:cs="Times New Roman"/>
        </w:rPr>
        <w:tab/>
        <w:t xml:space="preserve">Van der Meer, A.J., et al., </w:t>
      </w:r>
      <w:r w:rsidRPr="00C948F6">
        <w:rPr>
          <w:rFonts w:ascii="Times New Roman" w:hAnsi="Times New Roman" w:cs="Times New Roman"/>
          <w:i/>
        </w:rPr>
        <w:t>Association between sustained virological response and all-cause mortality among patients with chronic hepatitis c and advanced hepatic fibrosis.</w:t>
      </w:r>
      <w:r w:rsidRPr="00C948F6">
        <w:rPr>
          <w:rFonts w:ascii="Times New Roman" w:hAnsi="Times New Roman" w:cs="Times New Roman"/>
        </w:rPr>
        <w:t xml:space="preserve"> JAMA. </w:t>
      </w:r>
      <w:r w:rsidRPr="00C948F6">
        <w:rPr>
          <w:rFonts w:ascii="Times New Roman" w:hAnsi="Times New Roman" w:cs="Times New Roman"/>
          <w:b/>
        </w:rPr>
        <w:t>308</w:t>
      </w:r>
      <w:r w:rsidRPr="00C948F6">
        <w:rPr>
          <w:rFonts w:ascii="Times New Roman" w:hAnsi="Times New Roman" w:cs="Times New Roman"/>
        </w:rPr>
        <w:t>(24): p. 2584-2593. (2012) DOI: 10.1001/jama.2012.144878.</w:t>
      </w:r>
    </w:p>
    <w:p w14:paraId="60E46A60"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lastRenderedPageBreak/>
        <w:t>20.</w:t>
      </w:r>
      <w:r w:rsidRPr="00C948F6">
        <w:rPr>
          <w:rFonts w:ascii="Times New Roman" w:hAnsi="Times New Roman" w:cs="Times New Roman"/>
        </w:rPr>
        <w:tab/>
        <w:t xml:space="preserve">Morgan, R.L., et al., </w:t>
      </w:r>
      <w:r w:rsidRPr="00C948F6">
        <w:rPr>
          <w:rFonts w:ascii="Times New Roman" w:hAnsi="Times New Roman" w:cs="Times New Roman"/>
          <w:i/>
        </w:rPr>
        <w:t>Eradication of hepatitis c virus infection and the development of hepatocellular carcinoma: A meta-analysis of observational studies.</w:t>
      </w:r>
      <w:r w:rsidRPr="00C948F6">
        <w:rPr>
          <w:rFonts w:ascii="Times New Roman" w:hAnsi="Times New Roman" w:cs="Times New Roman"/>
        </w:rPr>
        <w:t xml:space="preserve"> Ann Intern Med. </w:t>
      </w:r>
      <w:r w:rsidRPr="00C948F6">
        <w:rPr>
          <w:rFonts w:ascii="Times New Roman" w:hAnsi="Times New Roman" w:cs="Times New Roman"/>
          <w:b/>
        </w:rPr>
        <w:t>158</w:t>
      </w:r>
      <w:r w:rsidRPr="00C948F6">
        <w:rPr>
          <w:rFonts w:ascii="Times New Roman" w:hAnsi="Times New Roman" w:cs="Times New Roman"/>
        </w:rPr>
        <w:t>(5): p. 329-337. (2013) DOI: 10.7326/0003-4819-158-5-201303050-00005.</w:t>
      </w:r>
    </w:p>
    <w:p w14:paraId="273B19E4"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21.</w:t>
      </w:r>
      <w:r w:rsidRPr="00C948F6">
        <w:rPr>
          <w:rFonts w:ascii="Times New Roman" w:hAnsi="Times New Roman" w:cs="Times New Roman"/>
        </w:rPr>
        <w:tab/>
        <w:t xml:space="preserve">Irving WL, McLauchlan J, and G. Foster, </w:t>
      </w:r>
      <w:r w:rsidRPr="00C948F6">
        <w:rPr>
          <w:rFonts w:ascii="Times New Roman" w:hAnsi="Times New Roman" w:cs="Times New Roman"/>
          <w:i/>
        </w:rPr>
        <w:t>Real world outcomes of DAA therapy for chronic hepatitis C virus infection in the HCV Research UK National cohort.</w:t>
      </w:r>
      <w:r w:rsidRPr="00C948F6">
        <w:rPr>
          <w:rFonts w:ascii="Times New Roman" w:hAnsi="Times New Roman" w:cs="Times New Roman"/>
        </w:rPr>
        <w:t xml:space="preserve"> J Hepatol. </w:t>
      </w:r>
      <w:r w:rsidRPr="00C948F6">
        <w:rPr>
          <w:rFonts w:ascii="Times New Roman" w:hAnsi="Times New Roman" w:cs="Times New Roman"/>
          <w:b/>
        </w:rPr>
        <w:t>66</w:t>
      </w:r>
      <w:r w:rsidRPr="00C948F6">
        <w:rPr>
          <w:rFonts w:ascii="Times New Roman" w:hAnsi="Times New Roman" w:cs="Times New Roman"/>
        </w:rPr>
        <w:t>(1): p. S504. (2017) DOI: 10.1016/S0168-8278(17)31408-3.</w:t>
      </w:r>
    </w:p>
    <w:p w14:paraId="29E893BB"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22.</w:t>
      </w:r>
      <w:r w:rsidRPr="00C948F6">
        <w:rPr>
          <w:rFonts w:ascii="Times New Roman" w:hAnsi="Times New Roman" w:cs="Times New Roman"/>
        </w:rPr>
        <w:tab/>
        <w:t xml:space="preserve">Smith, D.A., et al., </w:t>
      </w:r>
      <w:r w:rsidRPr="00C948F6">
        <w:rPr>
          <w:rFonts w:ascii="Times New Roman" w:hAnsi="Times New Roman" w:cs="Times New Roman"/>
          <w:i/>
        </w:rPr>
        <w:t>Real world SOF/VEL/VOX retreatment outcomes and viral resistance analysis for HCV patients with prior failure to DAA therapy.</w:t>
      </w:r>
      <w:r w:rsidRPr="00C948F6">
        <w:rPr>
          <w:rFonts w:ascii="Times New Roman" w:hAnsi="Times New Roman" w:cs="Times New Roman"/>
        </w:rPr>
        <w:t xml:space="preserve"> J Viral Hepat. </w:t>
      </w:r>
      <w:r w:rsidRPr="00C948F6">
        <w:rPr>
          <w:rFonts w:ascii="Times New Roman" w:hAnsi="Times New Roman" w:cs="Times New Roman"/>
          <w:b/>
        </w:rPr>
        <w:t>28</w:t>
      </w:r>
      <w:r w:rsidRPr="00C948F6">
        <w:rPr>
          <w:rFonts w:ascii="Times New Roman" w:hAnsi="Times New Roman" w:cs="Times New Roman"/>
        </w:rPr>
        <w:t>(9): p. 1256-1264. (2021) DOI: 10.1111/jvh.13549.</w:t>
      </w:r>
    </w:p>
    <w:p w14:paraId="1BD9523F" w14:textId="217267BC"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23.</w:t>
      </w:r>
      <w:r w:rsidRPr="00C948F6">
        <w:rPr>
          <w:rFonts w:ascii="Times New Roman" w:hAnsi="Times New Roman" w:cs="Times New Roman"/>
        </w:rPr>
        <w:tab/>
        <w:t xml:space="preserve">Grishchenko M, et al., </w:t>
      </w:r>
      <w:r w:rsidRPr="00C948F6">
        <w:rPr>
          <w:rFonts w:ascii="Times New Roman" w:hAnsi="Times New Roman" w:cs="Times New Roman"/>
          <w:i/>
        </w:rPr>
        <w:t>Cost-effectiveness of pegylated interferon and ribavirin for patients with chronic hepatitis C treated in routine clinical practice.</w:t>
      </w:r>
      <w:r w:rsidRPr="00C948F6">
        <w:rPr>
          <w:rFonts w:ascii="Times New Roman" w:hAnsi="Times New Roman" w:cs="Times New Roman"/>
        </w:rPr>
        <w:t xml:space="preserve"> Int J Technol Assess Health Care. </w:t>
      </w:r>
      <w:r w:rsidRPr="00C948F6">
        <w:rPr>
          <w:rFonts w:ascii="Times New Roman" w:hAnsi="Times New Roman" w:cs="Times New Roman"/>
          <w:b/>
        </w:rPr>
        <w:t>25</w:t>
      </w:r>
      <w:r w:rsidRPr="00C948F6">
        <w:rPr>
          <w:rFonts w:ascii="Times New Roman" w:hAnsi="Times New Roman" w:cs="Times New Roman"/>
        </w:rPr>
        <w:t xml:space="preserve">(2): p. 171-180. (2009) DOI: </w:t>
      </w:r>
      <w:hyperlink r:id="rId15" w:history="1">
        <w:r w:rsidRPr="00C948F6">
          <w:rPr>
            <w:rStyle w:val="Hyperlink"/>
            <w:rFonts w:ascii="Times New Roman" w:hAnsi="Times New Roman" w:cs="Times New Roman"/>
          </w:rPr>
          <w:t>https://doi.org/10.1017/s0266462309090229</w:t>
        </w:r>
      </w:hyperlink>
      <w:r w:rsidRPr="00C948F6">
        <w:rPr>
          <w:rFonts w:ascii="Times New Roman" w:hAnsi="Times New Roman" w:cs="Times New Roman"/>
        </w:rPr>
        <w:t>.</w:t>
      </w:r>
    </w:p>
    <w:p w14:paraId="19757D9C" w14:textId="3E6C6E1C"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24.</w:t>
      </w:r>
      <w:r w:rsidRPr="00C948F6">
        <w:rPr>
          <w:rFonts w:ascii="Times New Roman" w:hAnsi="Times New Roman" w:cs="Times New Roman"/>
        </w:rPr>
        <w:tab/>
        <w:t xml:space="preserve">Saeed, Y.A., et al., </w:t>
      </w:r>
      <w:r w:rsidRPr="00C948F6">
        <w:rPr>
          <w:rFonts w:ascii="Times New Roman" w:hAnsi="Times New Roman" w:cs="Times New Roman"/>
          <w:i/>
        </w:rPr>
        <w:t>A Systematic Review and Meta-Analysis of Health Utilities in Patients With Chronic Hepatitis C.</w:t>
      </w:r>
      <w:r w:rsidRPr="00C948F6">
        <w:rPr>
          <w:rFonts w:ascii="Times New Roman" w:hAnsi="Times New Roman" w:cs="Times New Roman"/>
        </w:rPr>
        <w:t xml:space="preserve"> Value in Health. </w:t>
      </w:r>
      <w:r w:rsidRPr="00C948F6">
        <w:rPr>
          <w:rFonts w:ascii="Times New Roman" w:hAnsi="Times New Roman" w:cs="Times New Roman"/>
          <w:b/>
        </w:rPr>
        <w:t>23</w:t>
      </w:r>
      <w:r w:rsidRPr="00C948F6">
        <w:rPr>
          <w:rFonts w:ascii="Times New Roman" w:hAnsi="Times New Roman" w:cs="Times New Roman"/>
        </w:rPr>
        <w:t xml:space="preserve">(1): p. 127-137. (2020) DOI: </w:t>
      </w:r>
      <w:hyperlink r:id="rId16" w:history="1">
        <w:r w:rsidRPr="00C948F6">
          <w:rPr>
            <w:rStyle w:val="Hyperlink"/>
            <w:rFonts w:ascii="Times New Roman" w:hAnsi="Times New Roman" w:cs="Times New Roman"/>
          </w:rPr>
          <w:t>https://doi.org/10.1016/j.jval.2019.07.005</w:t>
        </w:r>
      </w:hyperlink>
      <w:r w:rsidRPr="00C948F6">
        <w:rPr>
          <w:rFonts w:ascii="Times New Roman" w:hAnsi="Times New Roman" w:cs="Times New Roman"/>
        </w:rPr>
        <w:t>.</w:t>
      </w:r>
    </w:p>
    <w:p w14:paraId="53D85C7F"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25.</w:t>
      </w:r>
      <w:r w:rsidRPr="00C948F6">
        <w:rPr>
          <w:rFonts w:ascii="Times New Roman" w:hAnsi="Times New Roman" w:cs="Times New Roman"/>
        </w:rPr>
        <w:tab/>
        <w:t xml:space="preserve">Wong, W.W.L., et al., </w:t>
      </w:r>
      <w:r w:rsidRPr="00C948F6">
        <w:rPr>
          <w:rFonts w:ascii="Times New Roman" w:hAnsi="Times New Roman" w:cs="Times New Roman"/>
          <w:i/>
        </w:rPr>
        <w:t>Cost effectiveness of screening immigrants for hepatitis B.</w:t>
      </w:r>
      <w:r w:rsidRPr="00C948F6">
        <w:rPr>
          <w:rFonts w:ascii="Times New Roman" w:hAnsi="Times New Roman" w:cs="Times New Roman"/>
        </w:rPr>
        <w:t xml:space="preserve"> Liver Int. </w:t>
      </w:r>
      <w:r w:rsidRPr="00C948F6">
        <w:rPr>
          <w:rFonts w:ascii="Times New Roman" w:hAnsi="Times New Roman" w:cs="Times New Roman"/>
          <w:b/>
        </w:rPr>
        <w:t>31</w:t>
      </w:r>
      <w:r w:rsidRPr="00C948F6">
        <w:rPr>
          <w:rFonts w:ascii="Times New Roman" w:hAnsi="Times New Roman" w:cs="Times New Roman"/>
        </w:rPr>
        <w:t>(8): p. 1179-1190. (2011) DOI: 10.1111/j.1478-3231.2011.02559.x.</w:t>
      </w:r>
    </w:p>
    <w:p w14:paraId="5F4CE29E" w14:textId="77777777" w:rsidR="00C948F6" w:rsidRPr="00C948F6" w:rsidRDefault="00C948F6" w:rsidP="00C948F6">
      <w:pPr>
        <w:pStyle w:val="EndNoteBibliography"/>
        <w:spacing w:after="0"/>
        <w:ind w:left="720" w:hanging="720"/>
        <w:rPr>
          <w:rFonts w:ascii="Times New Roman" w:hAnsi="Times New Roman" w:cs="Times New Roman"/>
        </w:rPr>
      </w:pPr>
      <w:r w:rsidRPr="00C948F6">
        <w:rPr>
          <w:rFonts w:ascii="Times New Roman" w:hAnsi="Times New Roman" w:cs="Times New Roman"/>
        </w:rPr>
        <w:t>26.</w:t>
      </w:r>
      <w:r w:rsidRPr="00C948F6">
        <w:rPr>
          <w:rFonts w:ascii="Times New Roman" w:hAnsi="Times New Roman" w:cs="Times New Roman"/>
        </w:rPr>
        <w:tab/>
        <w:t xml:space="preserve">Ara, R. and J.E. Brazier, </w:t>
      </w:r>
      <w:r w:rsidRPr="00C948F6">
        <w:rPr>
          <w:rFonts w:ascii="Times New Roman" w:hAnsi="Times New Roman" w:cs="Times New Roman"/>
          <w:i/>
        </w:rPr>
        <w:t>Populating an economic model with health state utility values: moving toward better practice.</w:t>
      </w:r>
      <w:r w:rsidRPr="00C948F6">
        <w:rPr>
          <w:rFonts w:ascii="Times New Roman" w:hAnsi="Times New Roman" w:cs="Times New Roman"/>
        </w:rPr>
        <w:t xml:space="preserve"> Value Health. </w:t>
      </w:r>
      <w:r w:rsidRPr="00C948F6">
        <w:rPr>
          <w:rFonts w:ascii="Times New Roman" w:hAnsi="Times New Roman" w:cs="Times New Roman"/>
          <w:b/>
        </w:rPr>
        <w:t>13</w:t>
      </w:r>
      <w:r w:rsidRPr="00C948F6">
        <w:rPr>
          <w:rFonts w:ascii="Times New Roman" w:hAnsi="Times New Roman" w:cs="Times New Roman"/>
        </w:rPr>
        <w:t>(5): p. 509-18. (2010) DOI: 10.1111/j.1524-4733.2010.00700.x.</w:t>
      </w:r>
    </w:p>
    <w:p w14:paraId="4030C5FF" w14:textId="77777777" w:rsidR="00C948F6" w:rsidRPr="00C948F6" w:rsidRDefault="00C948F6" w:rsidP="00C948F6">
      <w:pPr>
        <w:pStyle w:val="EndNoteBibliography"/>
        <w:ind w:left="720" w:hanging="720"/>
        <w:rPr>
          <w:rFonts w:ascii="Times New Roman" w:hAnsi="Times New Roman" w:cs="Times New Roman"/>
        </w:rPr>
      </w:pPr>
      <w:r w:rsidRPr="00C948F6">
        <w:rPr>
          <w:rFonts w:ascii="Times New Roman" w:hAnsi="Times New Roman" w:cs="Times New Roman"/>
        </w:rPr>
        <w:t>27.</w:t>
      </w:r>
      <w:r w:rsidRPr="00C948F6">
        <w:rPr>
          <w:rFonts w:ascii="Times New Roman" w:hAnsi="Times New Roman" w:cs="Times New Roman"/>
        </w:rPr>
        <w:tab/>
        <w:t xml:space="preserve">Parry, S., et al., </w:t>
      </w:r>
      <w:r w:rsidRPr="00C948F6">
        <w:rPr>
          <w:rFonts w:ascii="Times New Roman" w:hAnsi="Times New Roman" w:cs="Times New Roman"/>
          <w:i/>
        </w:rPr>
        <w:t>Implementing routine blood-borne virus testing for HCV, HBV and HIV at a London Emergency Department – uncovering the iceberg?</w:t>
      </w:r>
      <w:r w:rsidRPr="00C948F6">
        <w:rPr>
          <w:rFonts w:ascii="Times New Roman" w:hAnsi="Times New Roman" w:cs="Times New Roman"/>
        </w:rPr>
        <w:t xml:space="preserve"> Epidemiol Infect </w:t>
      </w:r>
      <w:r w:rsidRPr="00C948F6">
        <w:rPr>
          <w:rFonts w:ascii="Times New Roman" w:hAnsi="Times New Roman" w:cs="Times New Roman"/>
          <w:b/>
        </w:rPr>
        <w:t>146</w:t>
      </w:r>
      <w:r w:rsidRPr="00C948F6">
        <w:rPr>
          <w:rFonts w:ascii="Times New Roman" w:hAnsi="Times New Roman" w:cs="Times New Roman"/>
        </w:rPr>
        <w:t>(8): p. 1026-1035. (2018) DOI: 10.1017/S0950268818000870.</w:t>
      </w:r>
    </w:p>
    <w:p w14:paraId="7F9486D0" w14:textId="19BE9A43" w:rsidR="009F2D81" w:rsidRPr="00C948F6" w:rsidRDefault="0014537E" w:rsidP="00E90057">
      <w:pPr>
        <w:spacing w:line="360" w:lineRule="auto"/>
        <w:ind w:left="777" w:hanging="720"/>
        <w:rPr>
          <w:rFonts w:ascii="Times New Roman" w:hAnsi="Times New Roman" w:cs="Times New Roman"/>
        </w:rPr>
      </w:pPr>
      <w:r w:rsidRPr="00C948F6">
        <w:rPr>
          <w:rFonts w:ascii="Times New Roman" w:hAnsi="Times New Roman" w:cs="Times New Roman"/>
        </w:rPr>
        <w:fldChar w:fldCharType="end"/>
      </w:r>
    </w:p>
    <w:sectPr w:rsidR="009F2D81" w:rsidRPr="00C948F6" w:rsidSect="008054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0C9CC" w14:textId="77777777" w:rsidR="004043D5" w:rsidRDefault="004043D5" w:rsidP="00F91AAA">
      <w:pPr>
        <w:spacing w:after="0" w:line="240" w:lineRule="auto"/>
      </w:pPr>
      <w:r>
        <w:separator/>
      </w:r>
    </w:p>
  </w:endnote>
  <w:endnote w:type="continuationSeparator" w:id="0">
    <w:p w14:paraId="3C2202B6" w14:textId="77777777" w:rsidR="004043D5" w:rsidRDefault="004043D5" w:rsidP="00F91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2213945"/>
      <w:docPartObj>
        <w:docPartGallery w:val="Page Numbers (Bottom of Page)"/>
        <w:docPartUnique/>
      </w:docPartObj>
    </w:sdtPr>
    <w:sdtEndPr>
      <w:rPr>
        <w:noProof/>
      </w:rPr>
    </w:sdtEndPr>
    <w:sdtContent>
      <w:p w14:paraId="31B9B205" w14:textId="77777777" w:rsidR="00BD3EF5" w:rsidRDefault="00BD3EF5">
        <w:pPr>
          <w:pStyle w:val="Footer"/>
        </w:pPr>
        <w:r>
          <w:fldChar w:fldCharType="begin"/>
        </w:r>
        <w:r>
          <w:instrText xml:space="preserve"> PAGE   \* MERGEFORMAT </w:instrText>
        </w:r>
        <w:r>
          <w:fldChar w:fldCharType="separate"/>
        </w:r>
        <w:r>
          <w:rPr>
            <w:noProof/>
          </w:rPr>
          <w:t>21</w:t>
        </w:r>
        <w:r>
          <w:rPr>
            <w:noProof/>
          </w:rPr>
          <w:fldChar w:fldCharType="end"/>
        </w:r>
      </w:p>
    </w:sdtContent>
  </w:sdt>
  <w:p w14:paraId="3BEF278F" w14:textId="77777777" w:rsidR="00BD3EF5" w:rsidRDefault="00BD3E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5860E" w14:textId="77777777" w:rsidR="004043D5" w:rsidRDefault="004043D5" w:rsidP="00F91AAA">
      <w:pPr>
        <w:spacing w:after="0" w:line="240" w:lineRule="auto"/>
      </w:pPr>
      <w:r>
        <w:separator/>
      </w:r>
    </w:p>
  </w:footnote>
  <w:footnote w:type="continuationSeparator" w:id="0">
    <w:p w14:paraId="74BC3362" w14:textId="77777777" w:rsidR="004043D5" w:rsidRDefault="004043D5" w:rsidP="00F91AA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03A1C"/>
    <w:multiLevelType w:val="hybridMultilevel"/>
    <w:tmpl w:val="EDECF874"/>
    <w:lvl w:ilvl="0" w:tplc="08E6C7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8D39C0"/>
    <w:multiLevelType w:val="hybridMultilevel"/>
    <w:tmpl w:val="64A6BFBA"/>
    <w:lvl w:ilvl="0" w:tplc="2152A9B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40594C"/>
    <w:multiLevelType w:val="hybridMultilevel"/>
    <w:tmpl w:val="D3F02728"/>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72428CB"/>
    <w:multiLevelType w:val="hybridMultilevel"/>
    <w:tmpl w:val="2FD67DB0"/>
    <w:lvl w:ilvl="0" w:tplc="1CF68858">
      <w:start w:val="4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31785C"/>
    <w:multiLevelType w:val="hybridMultilevel"/>
    <w:tmpl w:val="3266014C"/>
    <w:lvl w:ilvl="0" w:tplc="B4FA5982">
      <w:start w:val="201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D1695C"/>
    <w:multiLevelType w:val="hybridMultilevel"/>
    <w:tmpl w:val="9466B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BE85325"/>
    <w:multiLevelType w:val="hybridMultilevel"/>
    <w:tmpl w:val="E82216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205947"/>
    <w:multiLevelType w:val="hybridMultilevel"/>
    <w:tmpl w:val="7710FC64"/>
    <w:lvl w:ilvl="0" w:tplc="7CB2497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B82316"/>
    <w:multiLevelType w:val="hybridMultilevel"/>
    <w:tmpl w:val="22208CB2"/>
    <w:lvl w:ilvl="0" w:tplc="FEBE64B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343D40"/>
    <w:multiLevelType w:val="hybridMultilevel"/>
    <w:tmpl w:val="0352CA06"/>
    <w:lvl w:ilvl="0" w:tplc="9844D39E">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1A113B"/>
    <w:multiLevelType w:val="hybridMultilevel"/>
    <w:tmpl w:val="57B07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2B42203"/>
    <w:multiLevelType w:val="hybridMultilevel"/>
    <w:tmpl w:val="33A836DE"/>
    <w:lvl w:ilvl="0" w:tplc="00AC31F0">
      <w:start w:val="1"/>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BD1B69"/>
    <w:multiLevelType w:val="hybridMultilevel"/>
    <w:tmpl w:val="4BD0E6CE"/>
    <w:lvl w:ilvl="0" w:tplc="42CCFB60">
      <w:start w:val="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10"/>
  </w:num>
  <w:num w:numId="5">
    <w:abstractNumId w:val="5"/>
  </w:num>
  <w:num w:numId="6">
    <w:abstractNumId w:val="2"/>
  </w:num>
  <w:num w:numId="7">
    <w:abstractNumId w:val="8"/>
  </w:num>
  <w:num w:numId="8">
    <w:abstractNumId w:val="4"/>
  </w:num>
  <w:num w:numId="9">
    <w:abstractNumId w:val="1"/>
  </w:num>
  <w:num w:numId="10">
    <w:abstractNumId w:val="3"/>
  </w:num>
  <w:num w:numId="11">
    <w:abstractNumId w:val="12"/>
  </w:num>
  <w:num w:numId="12">
    <w:abstractNumId w:val="9"/>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umbered (EJH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p0rz5a2v2s0v3edrfmpd2pftv2rfwre59az&quot;&gt;A&amp;amp;E Library (paper2)&lt;record-ids&gt;&lt;item&gt;1&lt;/item&gt;&lt;item&gt;3&lt;/item&gt;&lt;item&gt;16&lt;/item&gt;&lt;item&gt;20&lt;/item&gt;&lt;item&gt;21&lt;/item&gt;&lt;item&gt;22&lt;/item&gt;&lt;item&gt;23&lt;/item&gt;&lt;item&gt;26&lt;/item&gt;&lt;item&gt;27&lt;/item&gt;&lt;item&gt;28&lt;/item&gt;&lt;item&gt;29&lt;/item&gt;&lt;item&gt;33&lt;/item&gt;&lt;item&gt;34&lt;/item&gt;&lt;item&gt;36&lt;/item&gt;&lt;item&gt;48&lt;/item&gt;&lt;item&gt;65&lt;/item&gt;&lt;item&gt;69&lt;/item&gt;&lt;item&gt;74&lt;/item&gt;&lt;item&gt;82&lt;/item&gt;&lt;item&gt;85&lt;/item&gt;&lt;item&gt;88&lt;/item&gt;&lt;item&gt;93&lt;/item&gt;&lt;item&gt;97&lt;/item&gt;&lt;item&gt;98&lt;/item&gt;&lt;item&gt;99&lt;/item&gt;&lt;item&gt;109&lt;/item&gt;&lt;item&gt;113&lt;/item&gt;&lt;/record-ids&gt;&lt;/item&gt;&lt;/Libraries&gt;"/>
  </w:docVars>
  <w:rsids>
    <w:rsidRoot w:val="00EE10E8"/>
    <w:rsid w:val="0000062A"/>
    <w:rsid w:val="0000102F"/>
    <w:rsid w:val="00002596"/>
    <w:rsid w:val="000034AD"/>
    <w:rsid w:val="000036B0"/>
    <w:rsid w:val="00003A58"/>
    <w:rsid w:val="00003AED"/>
    <w:rsid w:val="00003C54"/>
    <w:rsid w:val="000046A2"/>
    <w:rsid w:val="00005D22"/>
    <w:rsid w:val="000064ED"/>
    <w:rsid w:val="0000726A"/>
    <w:rsid w:val="00007D7E"/>
    <w:rsid w:val="00007F79"/>
    <w:rsid w:val="00012577"/>
    <w:rsid w:val="00012820"/>
    <w:rsid w:val="00014275"/>
    <w:rsid w:val="00014990"/>
    <w:rsid w:val="000179D8"/>
    <w:rsid w:val="00020D4B"/>
    <w:rsid w:val="0002124E"/>
    <w:rsid w:val="0002186F"/>
    <w:rsid w:val="00021F06"/>
    <w:rsid w:val="000252A6"/>
    <w:rsid w:val="0002642E"/>
    <w:rsid w:val="00027995"/>
    <w:rsid w:val="0003067D"/>
    <w:rsid w:val="00031B8C"/>
    <w:rsid w:val="000329B9"/>
    <w:rsid w:val="00033B1A"/>
    <w:rsid w:val="0003491A"/>
    <w:rsid w:val="00034FCE"/>
    <w:rsid w:val="000378E0"/>
    <w:rsid w:val="00037C0D"/>
    <w:rsid w:val="00037C87"/>
    <w:rsid w:val="000409B7"/>
    <w:rsid w:val="00040BB1"/>
    <w:rsid w:val="00040E34"/>
    <w:rsid w:val="000414F6"/>
    <w:rsid w:val="00041AFF"/>
    <w:rsid w:val="0004222F"/>
    <w:rsid w:val="00043528"/>
    <w:rsid w:val="00044278"/>
    <w:rsid w:val="00044A81"/>
    <w:rsid w:val="0004554E"/>
    <w:rsid w:val="00045591"/>
    <w:rsid w:val="000457D0"/>
    <w:rsid w:val="000508D5"/>
    <w:rsid w:val="00051C36"/>
    <w:rsid w:val="00052252"/>
    <w:rsid w:val="0005579F"/>
    <w:rsid w:val="00055C34"/>
    <w:rsid w:val="0005644A"/>
    <w:rsid w:val="00056C4B"/>
    <w:rsid w:val="000604FB"/>
    <w:rsid w:val="00060EE4"/>
    <w:rsid w:val="00061CA8"/>
    <w:rsid w:val="00062433"/>
    <w:rsid w:val="00062D8A"/>
    <w:rsid w:val="00063D0B"/>
    <w:rsid w:val="00064013"/>
    <w:rsid w:val="00064C5A"/>
    <w:rsid w:val="00065070"/>
    <w:rsid w:val="000653B7"/>
    <w:rsid w:val="00065701"/>
    <w:rsid w:val="00065E3B"/>
    <w:rsid w:val="0006612C"/>
    <w:rsid w:val="00066C66"/>
    <w:rsid w:val="00067929"/>
    <w:rsid w:val="00070DC6"/>
    <w:rsid w:val="00070E07"/>
    <w:rsid w:val="0007109D"/>
    <w:rsid w:val="00073D15"/>
    <w:rsid w:val="00074D06"/>
    <w:rsid w:val="0007539C"/>
    <w:rsid w:val="00075C42"/>
    <w:rsid w:val="00075D04"/>
    <w:rsid w:val="000762DF"/>
    <w:rsid w:val="0007766E"/>
    <w:rsid w:val="000803BD"/>
    <w:rsid w:val="00081DF6"/>
    <w:rsid w:val="00083483"/>
    <w:rsid w:val="000837F6"/>
    <w:rsid w:val="00083836"/>
    <w:rsid w:val="00083ECA"/>
    <w:rsid w:val="000840EF"/>
    <w:rsid w:val="00084221"/>
    <w:rsid w:val="00084376"/>
    <w:rsid w:val="00084E63"/>
    <w:rsid w:val="00085CEF"/>
    <w:rsid w:val="00086522"/>
    <w:rsid w:val="0008656C"/>
    <w:rsid w:val="00090242"/>
    <w:rsid w:val="000914E5"/>
    <w:rsid w:val="000924D2"/>
    <w:rsid w:val="00093B1F"/>
    <w:rsid w:val="000943CB"/>
    <w:rsid w:val="00095353"/>
    <w:rsid w:val="000955A6"/>
    <w:rsid w:val="0009574C"/>
    <w:rsid w:val="000959D4"/>
    <w:rsid w:val="00095F50"/>
    <w:rsid w:val="00095FF1"/>
    <w:rsid w:val="00096ACC"/>
    <w:rsid w:val="00097CE2"/>
    <w:rsid w:val="000A1033"/>
    <w:rsid w:val="000A10B6"/>
    <w:rsid w:val="000A1C28"/>
    <w:rsid w:val="000A1F5B"/>
    <w:rsid w:val="000A2641"/>
    <w:rsid w:val="000A4121"/>
    <w:rsid w:val="000A5267"/>
    <w:rsid w:val="000A53C6"/>
    <w:rsid w:val="000A7236"/>
    <w:rsid w:val="000B038D"/>
    <w:rsid w:val="000B09DB"/>
    <w:rsid w:val="000B144E"/>
    <w:rsid w:val="000B4104"/>
    <w:rsid w:val="000B4418"/>
    <w:rsid w:val="000B7454"/>
    <w:rsid w:val="000B763C"/>
    <w:rsid w:val="000B7A21"/>
    <w:rsid w:val="000C0CF6"/>
    <w:rsid w:val="000C0FE6"/>
    <w:rsid w:val="000C47E2"/>
    <w:rsid w:val="000C4B48"/>
    <w:rsid w:val="000C5ADC"/>
    <w:rsid w:val="000C5FCB"/>
    <w:rsid w:val="000C67C2"/>
    <w:rsid w:val="000C7FE6"/>
    <w:rsid w:val="000D05DC"/>
    <w:rsid w:val="000D0651"/>
    <w:rsid w:val="000D0B7B"/>
    <w:rsid w:val="000D11B1"/>
    <w:rsid w:val="000D253F"/>
    <w:rsid w:val="000D26B4"/>
    <w:rsid w:val="000D28C6"/>
    <w:rsid w:val="000D419E"/>
    <w:rsid w:val="000D605D"/>
    <w:rsid w:val="000D7544"/>
    <w:rsid w:val="000E00FE"/>
    <w:rsid w:val="000E0263"/>
    <w:rsid w:val="000E2B21"/>
    <w:rsid w:val="000E40FB"/>
    <w:rsid w:val="000E4178"/>
    <w:rsid w:val="000E45A5"/>
    <w:rsid w:val="000E4ADF"/>
    <w:rsid w:val="000E570B"/>
    <w:rsid w:val="000E6000"/>
    <w:rsid w:val="000E6372"/>
    <w:rsid w:val="000E6804"/>
    <w:rsid w:val="000E773C"/>
    <w:rsid w:val="000E7788"/>
    <w:rsid w:val="000E7B5C"/>
    <w:rsid w:val="000F12E1"/>
    <w:rsid w:val="000F2272"/>
    <w:rsid w:val="000F3CB4"/>
    <w:rsid w:val="000F44E0"/>
    <w:rsid w:val="000F4588"/>
    <w:rsid w:val="000F4606"/>
    <w:rsid w:val="000F569A"/>
    <w:rsid w:val="000F7387"/>
    <w:rsid w:val="000F752D"/>
    <w:rsid w:val="000F7F90"/>
    <w:rsid w:val="001010B5"/>
    <w:rsid w:val="00101854"/>
    <w:rsid w:val="00103B68"/>
    <w:rsid w:val="001047F7"/>
    <w:rsid w:val="001049FD"/>
    <w:rsid w:val="00105BD5"/>
    <w:rsid w:val="00105D74"/>
    <w:rsid w:val="00106255"/>
    <w:rsid w:val="00106794"/>
    <w:rsid w:val="001077E9"/>
    <w:rsid w:val="001105C7"/>
    <w:rsid w:val="001112AA"/>
    <w:rsid w:val="001113BD"/>
    <w:rsid w:val="00112636"/>
    <w:rsid w:val="001127ED"/>
    <w:rsid w:val="0011314F"/>
    <w:rsid w:val="00114563"/>
    <w:rsid w:val="0011468D"/>
    <w:rsid w:val="00114821"/>
    <w:rsid w:val="001168E2"/>
    <w:rsid w:val="00116D45"/>
    <w:rsid w:val="001200AA"/>
    <w:rsid w:val="001205BC"/>
    <w:rsid w:val="00120C96"/>
    <w:rsid w:val="00121EB6"/>
    <w:rsid w:val="00122446"/>
    <w:rsid w:val="001237C8"/>
    <w:rsid w:val="00123918"/>
    <w:rsid w:val="00124BDC"/>
    <w:rsid w:val="00124C76"/>
    <w:rsid w:val="001255C8"/>
    <w:rsid w:val="001271D2"/>
    <w:rsid w:val="00127577"/>
    <w:rsid w:val="00127FD8"/>
    <w:rsid w:val="0013012B"/>
    <w:rsid w:val="00130714"/>
    <w:rsid w:val="001320B7"/>
    <w:rsid w:val="00132284"/>
    <w:rsid w:val="00132BB7"/>
    <w:rsid w:val="00134072"/>
    <w:rsid w:val="0013430E"/>
    <w:rsid w:val="0013555F"/>
    <w:rsid w:val="00135693"/>
    <w:rsid w:val="00135840"/>
    <w:rsid w:val="0013640C"/>
    <w:rsid w:val="00136A76"/>
    <w:rsid w:val="00136FBA"/>
    <w:rsid w:val="001401EB"/>
    <w:rsid w:val="001407F8"/>
    <w:rsid w:val="00141912"/>
    <w:rsid w:val="00141AD6"/>
    <w:rsid w:val="0014237E"/>
    <w:rsid w:val="00142E83"/>
    <w:rsid w:val="00142F32"/>
    <w:rsid w:val="0014537E"/>
    <w:rsid w:val="0014639B"/>
    <w:rsid w:val="00147673"/>
    <w:rsid w:val="00147B0D"/>
    <w:rsid w:val="00151647"/>
    <w:rsid w:val="00152416"/>
    <w:rsid w:val="00153551"/>
    <w:rsid w:val="00153DED"/>
    <w:rsid w:val="00154B64"/>
    <w:rsid w:val="0015598C"/>
    <w:rsid w:val="0015684C"/>
    <w:rsid w:val="00156E9B"/>
    <w:rsid w:val="0016052E"/>
    <w:rsid w:val="001613F2"/>
    <w:rsid w:val="001625D8"/>
    <w:rsid w:val="00163635"/>
    <w:rsid w:val="00163993"/>
    <w:rsid w:val="00165402"/>
    <w:rsid w:val="00165693"/>
    <w:rsid w:val="0016610E"/>
    <w:rsid w:val="00166FB2"/>
    <w:rsid w:val="0016732F"/>
    <w:rsid w:val="001673B3"/>
    <w:rsid w:val="001676F7"/>
    <w:rsid w:val="001705A3"/>
    <w:rsid w:val="00171DBA"/>
    <w:rsid w:val="00176187"/>
    <w:rsid w:val="00176C3C"/>
    <w:rsid w:val="0018077D"/>
    <w:rsid w:val="00180AFC"/>
    <w:rsid w:val="00180CD3"/>
    <w:rsid w:val="001820D9"/>
    <w:rsid w:val="001822F8"/>
    <w:rsid w:val="00182B39"/>
    <w:rsid w:val="00182DFA"/>
    <w:rsid w:val="00186AE2"/>
    <w:rsid w:val="00186F74"/>
    <w:rsid w:val="00187542"/>
    <w:rsid w:val="001903E7"/>
    <w:rsid w:val="00190F44"/>
    <w:rsid w:val="00193182"/>
    <w:rsid w:val="001944A5"/>
    <w:rsid w:val="001958F6"/>
    <w:rsid w:val="00196701"/>
    <w:rsid w:val="00197024"/>
    <w:rsid w:val="0019777E"/>
    <w:rsid w:val="001A0042"/>
    <w:rsid w:val="001A04DB"/>
    <w:rsid w:val="001A1994"/>
    <w:rsid w:val="001A1C8B"/>
    <w:rsid w:val="001A2537"/>
    <w:rsid w:val="001A2952"/>
    <w:rsid w:val="001A2C80"/>
    <w:rsid w:val="001A3DE0"/>
    <w:rsid w:val="001A4030"/>
    <w:rsid w:val="001A5109"/>
    <w:rsid w:val="001A6473"/>
    <w:rsid w:val="001A6933"/>
    <w:rsid w:val="001A7729"/>
    <w:rsid w:val="001B2103"/>
    <w:rsid w:val="001B2A8D"/>
    <w:rsid w:val="001B3917"/>
    <w:rsid w:val="001B6428"/>
    <w:rsid w:val="001B6759"/>
    <w:rsid w:val="001C1608"/>
    <w:rsid w:val="001C26B6"/>
    <w:rsid w:val="001C2C37"/>
    <w:rsid w:val="001C2F8E"/>
    <w:rsid w:val="001C2FB6"/>
    <w:rsid w:val="001C6870"/>
    <w:rsid w:val="001C6CB8"/>
    <w:rsid w:val="001C710B"/>
    <w:rsid w:val="001C7F25"/>
    <w:rsid w:val="001D28EC"/>
    <w:rsid w:val="001D2C40"/>
    <w:rsid w:val="001D31A1"/>
    <w:rsid w:val="001D4333"/>
    <w:rsid w:val="001D45A4"/>
    <w:rsid w:val="001D61EE"/>
    <w:rsid w:val="001D66EA"/>
    <w:rsid w:val="001E1149"/>
    <w:rsid w:val="001E3390"/>
    <w:rsid w:val="001E3461"/>
    <w:rsid w:val="001E575A"/>
    <w:rsid w:val="001E5B5B"/>
    <w:rsid w:val="001E5EFE"/>
    <w:rsid w:val="001E63DC"/>
    <w:rsid w:val="001F18D6"/>
    <w:rsid w:val="001F3231"/>
    <w:rsid w:val="001F5FDB"/>
    <w:rsid w:val="001F61A2"/>
    <w:rsid w:val="00200F16"/>
    <w:rsid w:val="0020148D"/>
    <w:rsid w:val="0020160C"/>
    <w:rsid w:val="002024B6"/>
    <w:rsid w:val="00203A2D"/>
    <w:rsid w:val="00203B97"/>
    <w:rsid w:val="00204006"/>
    <w:rsid w:val="002101FA"/>
    <w:rsid w:val="002108EA"/>
    <w:rsid w:val="002110C0"/>
    <w:rsid w:val="00211EE7"/>
    <w:rsid w:val="00212052"/>
    <w:rsid w:val="00212470"/>
    <w:rsid w:val="00214092"/>
    <w:rsid w:val="00214C89"/>
    <w:rsid w:val="00215238"/>
    <w:rsid w:val="00217347"/>
    <w:rsid w:val="00217E18"/>
    <w:rsid w:val="00220B9E"/>
    <w:rsid w:val="0022200F"/>
    <w:rsid w:val="00222E58"/>
    <w:rsid w:val="0022685B"/>
    <w:rsid w:val="0022716A"/>
    <w:rsid w:val="0023085D"/>
    <w:rsid w:val="00230EC9"/>
    <w:rsid w:val="00232073"/>
    <w:rsid w:val="002324E2"/>
    <w:rsid w:val="00232690"/>
    <w:rsid w:val="002341E2"/>
    <w:rsid w:val="00234886"/>
    <w:rsid w:val="00235274"/>
    <w:rsid w:val="002352A9"/>
    <w:rsid w:val="0023587C"/>
    <w:rsid w:val="002359A7"/>
    <w:rsid w:val="00235BD9"/>
    <w:rsid w:val="00235E51"/>
    <w:rsid w:val="002369EA"/>
    <w:rsid w:val="002463F4"/>
    <w:rsid w:val="00246943"/>
    <w:rsid w:val="002470CE"/>
    <w:rsid w:val="00247DF5"/>
    <w:rsid w:val="00251164"/>
    <w:rsid w:val="00251488"/>
    <w:rsid w:val="00253D85"/>
    <w:rsid w:val="002540F6"/>
    <w:rsid w:val="002542F6"/>
    <w:rsid w:val="0025511B"/>
    <w:rsid w:val="002569F2"/>
    <w:rsid w:val="00256BE9"/>
    <w:rsid w:val="00256C71"/>
    <w:rsid w:val="00256FE9"/>
    <w:rsid w:val="002606DE"/>
    <w:rsid w:val="0026264C"/>
    <w:rsid w:val="00263104"/>
    <w:rsid w:val="002631AF"/>
    <w:rsid w:val="0026330E"/>
    <w:rsid w:val="00263809"/>
    <w:rsid w:val="00265755"/>
    <w:rsid w:val="00265A5B"/>
    <w:rsid w:val="00265C64"/>
    <w:rsid w:val="0026650E"/>
    <w:rsid w:val="00267564"/>
    <w:rsid w:val="00267B7C"/>
    <w:rsid w:val="00270E24"/>
    <w:rsid w:val="0027245B"/>
    <w:rsid w:val="00272F83"/>
    <w:rsid w:val="0027312E"/>
    <w:rsid w:val="00273139"/>
    <w:rsid w:val="00273E4C"/>
    <w:rsid w:val="002743E0"/>
    <w:rsid w:val="00274B83"/>
    <w:rsid w:val="00276DC5"/>
    <w:rsid w:val="002801E6"/>
    <w:rsid w:val="0028027E"/>
    <w:rsid w:val="002808EB"/>
    <w:rsid w:val="00280C94"/>
    <w:rsid w:val="00281080"/>
    <w:rsid w:val="0028208C"/>
    <w:rsid w:val="00282BC3"/>
    <w:rsid w:val="00282C76"/>
    <w:rsid w:val="0028566E"/>
    <w:rsid w:val="0028670E"/>
    <w:rsid w:val="002867F1"/>
    <w:rsid w:val="00286B0E"/>
    <w:rsid w:val="00287330"/>
    <w:rsid w:val="00290223"/>
    <w:rsid w:val="002908A8"/>
    <w:rsid w:val="002910C2"/>
    <w:rsid w:val="00292BB3"/>
    <w:rsid w:val="00292C25"/>
    <w:rsid w:val="00292E80"/>
    <w:rsid w:val="002948EC"/>
    <w:rsid w:val="00294D0F"/>
    <w:rsid w:val="002954FD"/>
    <w:rsid w:val="002964BA"/>
    <w:rsid w:val="00297A8F"/>
    <w:rsid w:val="002A013B"/>
    <w:rsid w:val="002A059E"/>
    <w:rsid w:val="002A0B10"/>
    <w:rsid w:val="002A164B"/>
    <w:rsid w:val="002A1E51"/>
    <w:rsid w:val="002A3B9E"/>
    <w:rsid w:val="002A3EE7"/>
    <w:rsid w:val="002A61F4"/>
    <w:rsid w:val="002A6386"/>
    <w:rsid w:val="002A68FC"/>
    <w:rsid w:val="002B2D2A"/>
    <w:rsid w:val="002B334A"/>
    <w:rsid w:val="002B34B8"/>
    <w:rsid w:val="002B4077"/>
    <w:rsid w:val="002B4166"/>
    <w:rsid w:val="002B47BC"/>
    <w:rsid w:val="002B4883"/>
    <w:rsid w:val="002B49AA"/>
    <w:rsid w:val="002B4CDF"/>
    <w:rsid w:val="002B4E45"/>
    <w:rsid w:val="002B5614"/>
    <w:rsid w:val="002B63E3"/>
    <w:rsid w:val="002C0D77"/>
    <w:rsid w:val="002C14DC"/>
    <w:rsid w:val="002C25AE"/>
    <w:rsid w:val="002C2A11"/>
    <w:rsid w:val="002C2F21"/>
    <w:rsid w:val="002C3DAE"/>
    <w:rsid w:val="002C601D"/>
    <w:rsid w:val="002C627D"/>
    <w:rsid w:val="002C67E4"/>
    <w:rsid w:val="002C6C3E"/>
    <w:rsid w:val="002C6CC2"/>
    <w:rsid w:val="002D045B"/>
    <w:rsid w:val="002D067A"/>
    <w:rsid w:val="002D08C6"/>
    <w:rsid w:val="002D132B"/>
    <w:rsid w:val="002D1380"/>
    <w:rsid w:val="002D150D"/>
    <w:rsid w:val="002D261F"/>
    <w:rsid w:val="002D33F4"/>
    <w:rsid w:val="002D3707"/>
    <w:rsid w:val="002D48E4"/>
    <w:rsid w:val="002D5227"/>
    <w:rsid w:val="002D53D1"/>
    <w:rsid w:val="002D5687"/>
    <w:rsid w:val="002D5C0B"/>
    <w:rsid w:val="002D64E6"/>
    <w:rsid w:val="002D7AA6"/>
    <w:rsid w:val="002D7BE9"/>
    <w:rsid w:val="002D7C08"/>
    <w:rsid w:val="002E3C58"/>
    <w:rsid w:val="002E4E79"/>
    <w:rsid w:val="002E71F5"/>
    <w:rsid w:val="002E737D"/>
    <w:rsid w:val="002F0656"/>
    <w:rsid w:val="002F071E"/>
    <w:rsid w:val="002F0B4C"/>
    <w:rsid w:val="002F0E5B"/>
    <w:rsid w:val="002F0EF9"/>
    <w:rsid w:val="002F16A1"/>
    <w:rsid w:val="002F1CA6"/>
    <w:rsid w:val="002F1F1F"/>
    <w:rsid w:val="002F211E"/>
    <w:rsid w:val="002F2346"/>
    <w:rsid w:val="002F255B"/>
    <w:rsid w:val="002F2BC7"/>
    <w:rsid w:val="002F391A"/>
    <w:rsid w:val="002F3D9C"/>
    <w:rsid w:val="002F3E29"/>
    <w:rsid w:val="002F4246"/>
    <w:rsid w:val="002F4257"/>
    <w:rsid w:val="002F4A90"/>
    <w:rsid w:val="002F58E8"/>
    <w:rsid w:val="002F70B3"/>
    <w:rsid w:val="002F7254"/>
    <w:rsid w:val="002F7C1C"/>
    <w:rsid w:val="003007F8"/>
    <w:rsid w:val="0030111A"/>
    <w:rsid w:val="00301232"/>
    <w:rsid w:val="00301808"/>
    <w:rsid w:val="003022C2"/>
    <w:rsid w:val="003022DF"/>
    <w:rsid w:val="003106AB"/>
    <w:rsid w:val="0031097B"/>
    <w:rsid w:val="00311053"/>
    <w:rsid w:val="003124F2"/>
    <w:rsid w:val="00312A3B"/>
    <w:rsid w:val="003130CC"/>
    <w:rsid w:val="00313628"/>
    <w:rsid w:val="00313B07"/>
    <w:rsid w:val="00314A09"/>
    <w:rsid w:val="0031597F"/>
    <w:rsid w:val="003208F3"/>
    <w:rsid w:val="00321611"/>
    <w:rsid w:val="0032202A"/>
    <w:rsid w:val="003230F9"/>
    <w:rsid w:val="003247FF"/>
    <w:rsid w:val="003269B9"/>
    <w:rsid w:val="00327340"/>
    <w:rsid w:val="003302B7"/>
    <w:rsid w:val="00330340"/>
    <w:rsid w:val="003335BB"/>
    <w:rsid w:val="00334D0C"/>
    <w:rsid w:val="00334E94"/>
    <w:rsid w:val="00335A8A"/>
    <w:rsid w:val="00337550"/>
    <w:rsid w:val="00340E35"/>
    <w:rsid w:val="00341254"/>
    <w:rsid w:val="00342E05"/>
    <w:rsid w:val="0034441B"/>
    <w:rsid w:val="003454D9"/>
    <w:rsid w:val="00345D61"/>
    <w:rsid w:val="00345F1F"/>
    <w:rsid w:val="0034651D"/>
    <w:rsid w:val="003473FE"/>
    <w:rsid w:val="0035126F"/>
    <w:rsid w:val="003517DF"/>
    <w:rsid w:val="00351872"/>
    <w:rsid w:val="00351E81"/>
    <w:rsid w:val="0035342A"/>
    <w:rsid w:val="00353600"/>
    <w:rsid w:val="00354353"/>
    <w:rsid w:val="00354EB7"/>
    <w:rsid w:val="00355151"/>
    <w:rsid w:val="003559D8"/>
    <w:rsid w:val="0036073D"/>
    <w:rsid w:val="00360E6B"/>
    <w:rsid w:val="00365064"/>
    <w:rsid w:val="00366040"/>
    <w:rsid w:val="00366D5B"/>
    <w:rsid w:val="0037034A"/>
    <w:rsid w:val="00370388"/>
    <w:rsid w:val="0037076D"/>
    <w:rsid w:val="00370AFA"/>
    <w:rsid w:val="00370E26"/>
    <w:rsid w:val="00370E4C"/>
    <w:rsid w:val="00371E16"/>
    <w:rsid w:val="0037223C"/>
    <w:rsid w:val="00373387"/>
    <w:rsid w:val="003739E0"/>
    <w:rsid w:val="00374733"/>
    <w:rsid w:val="003761DC"/>
    <w:rsid w:val="00376F76"/>
    <w:rsid w:val="00377A10"/>
    <w:rsid w:val="003801DF"/>
    <w:rsid w:val="00380F4B"/>
    <w:rsid w:val="00382842"/>
    <w:rsid w:val="00382A8A"/>
    <w:rsid w:val="00383B46"/>
    <w:rsid w:val="00385F86"/>
    <w:rsid w:val="00386CC1"/>
    <w:rsid w:val="00386CE7"/>
    <w:rsid w:val="00387BE7"/>
    <w:rsid w:val="00390306"/>
    <w:rsid w:val="003915B0"/>
    <w:rsid w:val="003917EB"/>
    <w:rsid w:val="00391DFE"/>
    <w:rsid w:val="00391FAC"/>
    <w:rsid w:val="003929D6"/>
    <w:rsid w:val="00393BC0"/>
    <w:rsid w:val="00394104"/>
    <w:rsid w:val="00394B53"/>
    <w:rsid w:val="003950A5"/>
    <w:rsid w:val="003950AE"/>
    <w:rsid w:val="00395D82"/>
    <w:rsid w:val="00396B46"/>
    <w:rsid w:val="0039737D"/>
    <w:rsid w:val="00397514"/>
    <w:rsid w:val="00397AEC"/>
    <w:rsid w:val="003A393B"/>
    <w:rsid w:val="003A3C3A"/>
    <w:rsid w:val="003A4A83"/>
    <w:rsid w:val="003A5377"/>
    <w:rsid w:val="003B036F"/>
    <w:rsid w:val="003B05A5"/>
    <w:rsid w:val="003B0A8F"/>
    <w:rsid w:val="003B0EEC"/>
    <w:rsid w:val="003B316B"/>
    <w:rsid w:val="003B341B"/>
    <w:rsid w:val="003B5156"/>
    <w:rsid w:val="003B6108"/>
    <w:rsid w:val="003C17E7"/>
    <w:rsid w:val="003C181E"/>
    <w:rsid w:val="003C3E2E"/>
    <w:rsid w:val="003C4622"/>
    <w:rsid w:val="003C4954"/>
    <w:rsid w:val="003C4958"/>
    <w:rsid w:val="003C510B"/>
    <w:rsid w:val="003C6AF2"/>
    <w:rsid w:val="003C797D"/>
    <w:rsid w:val="003C7C9F"/>
    <w:rsid w:val="003D1636"/>
    <w:rsid w:val="003D1CE6"/>
    <w:rsid w:val="003D1DBB"/>
    <w:rsid w:val="003D4493"/>
    <w:rsid w:val="003D5236"/>
    <w:rsid w:val="003D5994"/>
    <w:rsid w:val="003D60BA"/>
    <w:rsid w:val="003D65CD"/>
    <w:rsid w:val="003D755D"/>
    <w:rsid w:val="003D7815"/>
    <w:rsid w:val="003D787E"/>
    <w:rsid w:val="003D7992"/>
    <w:rsid w:val="003D7EEE"/>
    <w:rsid w:val="003E3ABD"/>
    <w:rsid w:val="003E4056"/>
    <w:rsid w:val="003E458A"/>
    <w:rsid w:val="003E461C"/>
    <w:rsid w:val="003E462C"/>
    <w:rsid w:val="003E4953"/>
    <w:rsid w:val="003E5479"/>
    <w:rsid w:val="003E5AF3"/>
    <w:rsid w:val="003E5E7D"/>
    <w:rsid w:val="003E5FEB"/>
    <w:rsid w:val="003E6750"/>
    <w:rsid w:val="003E7E5A"/>
    <w:rsid w:val="003F130A"/>
    <w:rsid w:val="003F185B"/>
    <w:rsid w:val="003F1A41"/>
    <w:rsid w:val="003F244C"/>
    <w:rsid w:val="003F2533"/>
    <w:rsid w:val="003F2A56"/>
    <w:rsid w:val="003F49D0"/>
    <w:rsid w:val="003F4B42"/>
    <w:rsid w:val="003F5F10"/>
    <w:rsid w:val="003F6D3F"/>
    <w:rsid w:val="004001E2"/>
    <w:rsid w:val="004011FB"/>
    <w:rsid w:val="00402963"/>
    <w:rsid w:val="00403815"/>
    <w:rsid w:val="004043D5"/>
    <w:rsid w:val="00404DCE"/>
    <w:rsid w:val="004076D8"/>
    <w:rsid w:val="00410985"/>
    <w:rsid w:val="00410BF5"/>
    <w:rsid w:val="0041166F"/>
    <w:rsid w:val="00411E42"/>
    <w:rsid w:val="00412221"/>
    <w:rsid w:val="00412935"/>
    <w:rsid w:val="00412A63"/>
    <w:rsid w:val="00413150"/>
    <w:rsid w:val="004138CB"/>
    <w:rsid w:val="00414537"/>
    <w:rsid w:val="004176E7"/>
    <w:rsid w:val="00417F09"/>
    <w:rsid w:val="00420545"/>
    <w:rsid w:val="00420640"/>
    <w:rsid w:val="0042091C"/>
    <w:rsid w:val="004218A1"/>
    <w:rsid w:val="00422079"/>
    <w:rsid w:val="004223DB"/>
    <w:rsid w:val="004224B3"/>
    <w:rsid w:val="00423605"/>
    <w:rsid w:val="004246E3"/>
    <w:rsid w:val="0042507B"/>
    <w:rsid w:val="0042576A"/>
    <w:rsid w:val="004261E6"/>
    <w:rsid w:val="004262B2"/>
    <w:rsid w:val="00426C22"/>
    <w:rsid w:val="00431921"/>
    <w:rsid w:val="004335A3"/>
    <w:rsid w:val="00433A8D"/>
    <w:rsid w:val="00433C46"/>
    <w:rsid w:val="004340B0"/>
    <w:rsid w:val="0043413E"/>
    <w:rsid w:val="0043420A"/>
    <w:rsid w:val="004354DD"/>
    <w:rsid w:val="0043557F"/>
    <w:rsid w:val="004356CC"/>
    <w:rsid w:val="00435752"/>
    <w:rsid w:val="0043621A"/>
    <w:rsid w:val="0043721E"/>
    <w:rsid w:val="00437431"/>
    <w:rsid w:val="00440A69"/>
    <w:rsid w:val="00440B98"/>
    <w:rsid w:val="0044191F"/>
    <w:rsid w:val="004419A5"/>
    <w:rsid w:val="00442FCE"/>
    <w:rsid w:val="004430CF"/>
    <w:rsid w:val="00443357"/>
    <w:rsid w:val="00444649"/>
    <w:rsid w:val="00446936"/>
    <w:rsid w:val="00450158"/>
    <w:rsid w:val="00454346"/>
    <w:rsid w:val="00454ABD"/>
    <w:rsid w:val="00457A87"/>
    <w:rsid w:val="00460936"/>
    <w:rsid w:val="0046185B"/>
    <w:rsid w:val="00462396"/>
    <w:rsid w:val="00462C93"/>
    <w:rsid w:val="00462CF9"/>
    <w:rsid w:val="00462E56"/>
    <w:rsid w:val="00464CCD"/>
    <w:rsid w:val="0046676F"/>
    <w:rsid w:val="004673E3"/>
    <w:rsid w:val="00467EFB"/>
    <w:rsid w:val="00472296"/>
    <w:rsid w:val="004726DD"/>
    <w:rsid w:val="0047304F"/>
    <w:rsid w:val="0047467E"/>
    <w:rsid w:val="00474B65"/>
    <w:rsid w:val="00474E9C"/>
    <w:rsid w:val="004752BD"/>
    <w:rsid w:val="00475E02"/>
    <w:rsid w:val="004776B8"/>
    <w:rsid w:val="00477B3B"/>
    <w:rsid w:val="00482E1A"/>
    <w:rsid w:val="00483B26"/>
    <w:rsid w:val="004855A7"/>
    <w:rsid w:val="004856F1"/>
    <w:rsid w:val="00492BBB"/>
    <w:rsid w:val="00492E8E"/>
    <w:rsid w:val="00495010"/>
    <w:rsid w:val="00497873"/>
    <w:rsid w:val="00497B2C"/>
    <w:rsid w:val="004A05EE"/>
    <w:rsid w:val="004A15AA"/>
    <w:rsid w:val="004A15C4"/>
    <w:rsid w:val="004A1CB0"/>
    <w:rsid w:val="004A2B6E"/>
    <w:rsid w:val="004A3448"/>
    <w:rsid w:val="004A3F9B"/>
    <w:rsid w:val="004A535F"/>
    <w:rsid w:val="004A53FB"/>
    <w:rsid w:val="004A7CBC"/>
    <w:rsid w:val="004B064D"/>
    <w:rsid w:val="004B1A3B"/>
    <w:rsid w:val="004B2310"/>
    <w:rsid w:val="004B359E"/>
    <w:rsid w:val="004B3683"/>
    <w:rsid w:val="004B42D4"/>
    <w:rsid w:val="004B6FBD"/>
    <w:rsid w:val="004C0F33"/>
    <w:rsid w:val="004C10A6"/>
    <w:rsid w:val="004C13A8"/>
    <w:rsid w:val="004C1B8C"/>
    <w:rsid w:val="004C2C14"/>
    <w:rsid w:val="004C37FA"/>
    <w:rsid w:val="004C3AE8"/>
    <w:rsid w:val="004C5A7D"/>
    <w:rsid w:val="004C624C"/>
    <w:rsid w:val="004C6B21"/>
    <w:rsid w:val="004C796D"/>
    <w:rsid w:val="004D1665"/>
    <w:rsid w:val="004D1910"/>
    <w:rsid w:val="004D227E"/>
    <w:rsid w:val="004D3183"/>
    <w:rsid w:val="004D4607"/>
    <w:rsid w:val="004D5BED"/>
    <w:rsid w:val="004D5F7C"/>
    <w:rsid w:val="004D6949"/>
    <w:rsid w:val="004E0AA3"/>
    <w:rsid w:val="004E16D0"/>
    <w:rsid w:val="004E25E8"/>
    <w:rsid w:val="004E334D"/>
    <w:rsid w:val="004E3635"/>
    <w:rsid w:val="004E367B"/>
    <w:rsid w:val="004E5234"/>
    <w:rsid w:val="004E61FB"/>
    <w:rsid w:val="004E7DF0"/>
    <w:rsid w:val="004E7E9E"/>
    <w:rsid w:val="004F0F33"/>
    <w:rsid w:val="004F25FE"/>
    <w:rsid w:val="004F3254"/>
    <w:rsid w:val="004F3BBA"/>
    <w:rsid w:val="004F40C7"/>
    <w:rsid w:val="004F44F2"/>
    <w:rsid w:val="004F5917"/>
    <w:rsid w:val="004F6069"/>
    <w:rsid w:val="005033AC"/>
    <w:rsid w:val="00503FA2"/>
    <w:rsid w:val="005054D4"/>
    <w:rsid w:val="0050572D"/>
    <w:rsid w:val="005060F6"/>
    <w:rsid w:val="00506B5B"/>
    <w:rsid w:val="00507705"/>
    <w:rsid w:val="00507A8F"/>
    <w:rsid w:val="00507B6C"/>
    <w:rsid w:val="00510145"/>
    <w:rsid w:val="0051099A"/>
    <w:rsid w:val="00512056"/>
    <w:rsid w:val="00512303"/>
    <w:rsid w:val="00512D57"/>
    <w:rsid w:val="00513350"/>
    <w:rsid w:val="005144E0"/>
    <w:rsid w:val="00515587"/>
    <w:rsid w:val="00515ED5"/>
    <w:rsid w:val="005165B0"/>
    <w:rsid w:val="005202CF"/>
    <w:rsid w:val="00521114"/>
    <w:rsid w:val="00521EB9"/>
    <w:rsid w:val="00523B30"/>
    <w:rsid w:val="00523EC4"/>
    <w:rsid w:val="00524BBF"/>
    <w:rsid w:val="00524BEE"/>
    <w:rsid w:val="00524E47"/>
    <w:rsid w:val="00525CC3"/>
    <w:rsid w:val="00525EDD"/>
    <w:rsid w:val="005263B6"/>
    <w:rsid w:val="005264DD"/>
    <w:rsid w:val="005265B9"/>
    <w:rsid w:val="00526600"/>
    <w:rsid w:val="005273F2"/>
    <w:rsid w:val="00527A55"/>
    <w:rsid w:val="00527C68"/>
    <w:rsid w:val="005306DD"/>
    <w:rsid w:val="00531C07"/>
    <w:rsid w:val="00534474"/>
    <w:rsid w:val="005345E4"/>
    <w:rsid w:val="005351D9"/>
    <w:rsid w:val="00535CAC"/>
    <w:rsid w:val="00535E15"/>
    <w:rsid w:val="00536759"/>
    <w:rsid w:val="0053785A"/>
    <w:rsid w:val="00540626"/>
    <w:rsid w:val="00540F02"/>
    <w:rsid w:val="005415E4"/>
    <w:rsid w:val="00541815"/>
    <w:rsid w:val="00542FF1"/>
    <w:rsid w:val="00543153"/>
    <w:rsid w:val="00544873"/>
    <w:rsid w:val="00544B2C"/>
    <w:rsid w:val="00545136"/>
    <w:rsid w:val="00550FD5"/>
    <w:rsid w:val="0055148A"/>
    <w:rsid w:val="00553E6D"/>
    <w:rsid w:val="00555657"/>
    <w:rsid w:val="005562D1"/>
    <w:rsid w:val="005564AE"/>
    <w:rsid w:val="00557B34"/>
    <w:rsid w:val="00557D97"/>
    <w:rsid w:val="005609B7"/>
    <w:rsid w:val="00560EC4"/>
    <w:rsid w:val="00560F2F"/>
    <w:rsid w:val="0056115C"/>
    <w:rsid w:val="00561DED"/>
    <w:rsid w:val="005639D7"/>
    <w:rsid w:val="00563EBA"/>
    <w:rsid w:val="00564376"/>
    <w:rsid w:val="00564B28"/>
    <w:rsid w:val="00567B3B"/>
    <w:rsid w:val="0057043A"/>
    <w:rsid w:val="0057065C"/>
    <w:rsid w:val="0057076C"/>
    <w:rsid w:val="005709F5"/>
    <w:rsid w:val="00572E9F"/>
    <w:rsid w:val="00573376"/>
    <w:rsid w:val="00574215"/>
    <w:rsid w:val="00574E69"/>
    <w:rsid w:val="00575C34"/>
    <w:rsid w:val="005766D0"/>
    <w:rsid w:val="00576953"/>
    <w:rsid w:val="0057749A"/>
    <w:rsid w:val="0057783C"/>
    <w:rsid w:val="00577928"/>
    <w:rsid w:val="005828B3"/>
    <w:rsid w:val="00582F6A"/>
    <w:rsid w:val="005849CB"/>
    <w:rsid w:val="00585009"/>
    <w:rsid w:val="00585A2F"/>
    <w:rsid w:val="0058649E"/>
    <w:rsid w:val="005876B1"/>
    <w:rsid w:val="00587D58"/>
    <w:rsid w:val="00587FEA"/>
    <w:rsid w:val="00590120"/>
    <w:rsid w:val="00590398"/>
    <w:rsid w:val="005907B5"/>
    <w:rsid w:val="00592657"/>
    <w:rsid w:val="005928C1"/>
    <w:rsid w:val="00592D7C"/>
    <w:rsid w:val="005A1FF2"/>
    <w:rsid w:val="005A24F5"/>
    <w:rsid w:val="005A3A80"/>
    <w:rsid w:val="005A4229"/>
    <w:rsid w:val="005A58E7"/>
    <w:rsid w:val="005A765D"/>
    <w:rsid w:val="005B05CC"/>
    <w:rsid w:val="005B33B4"/>
    <w:rsid w:val="005B3C6B"/>
    <w:rsid w:val="005B5806"/>
    <w:rsid w:val="005B5EA4"/>
    <w:rsid w:val="005B5F87"/>
    <w:rsid w:val="005B662E"/>
    <w:rsid w:val="005B67E3"/>
    <w:rsid w:val="005B6865"/>
    <w:rsid w:val="005B6A7F"/>
    <w:rsid w:val="005B6CEA"/>
    <w:rsid w:val="005C0632"/>
    <w:rsid w:val="005C0F68"/>
    <w:rsid w:val="005C1389"/>
    <w:rsid w:val="005C1E25"/>
    <w:rsid w:val="005C59C6"/>
    <w:rsid w:val="005C626F"/>
    <w:rsid w:val="005C62F5"/>
    <w:rsid w:val="005C7086"/>
    <w:rsid w:val="005C70EB"/>
    <w:rsid w:val="005C720C"/>
    <w:rsid w:val="005C7971"/>
    <w:rsid w:val="005D09C9"/>
    <w:rsid w:val="005D0BBD"/>
    <w:rsid w:val="005D0FB3"/>
    <w:rsid w:val="005D1A5E"/>
    <w:rsid w:val="005D20EA"/>
    <w:rsid w:val="005D29B4"/>
    <w:rsid w:val="005D2FFB"/>
    <w:rsid w:val="005D3095"/>
    <w:rsid w:val="005D41AF"/>
    <w:rsid w:val="005D488D"/>
    <w:rsid w:val="005D5499"/>
    <w:rsid w:val="005D5F6F"/>
    <w:rsid w:val="005D62A8"/>
    <w:rsid w:val="005D7920"/>
    <w:rsid w:val="005D7D6C"/>
    <w:rsid w:val="005E08FB"/>
    <w:rsid w:val="005E0A26"/>
    <w:rsid w:val="005E12C4"/>
    <w:rsid w:val="005E232A"/>
    <w:rsid w:val="005E32C0"/>
    <w:rsid w:val="005E4EA1"/>
    <w:rsid w:val="005E5207"/>
    <w:rsid w:val="005E6782"/>
    <w:rsid w:val="005E7069"/>
    <w:rsid w:val="005F1117"/>
    <w:rsid w:val="005F26E7"/>
    <w:rsid w:val="005F2821"/>
    <w:rsid w:val="005F33CE"/>
    <w:rsid w:val="005F3B1C"/>
    <w:rsid w:val="005F47AE"/>
    <w:rsid w:val="005F4E96"/>
    <w:rsid w:val="005F513E"/>
    <w:rsid w:val="005F543B"/>
    <w:rsid w:val="005F561D"/>
    <w:rsid w:val="005F562D"/>
    <w:rsid w:val="005F5E78"/>
    <w:rsid w:val="005F5ED1"/>
    <w:rsid w:val="005F6815"/>
    <w:rsid w:val="00600CE4"/>
    <w:rsid w:val="00601F19"/>
    <w:rsid w:val="006033E5"/>
    <w:rsid w:val="00603FA6"/>
    <w:rsid w:val="00604E29"/>
    <w:rsid w:val="006058DD"/>
    <w:rsid w:val="0060676A"/>
    <w:rsid w:val="00610AF6"/>
    <w:rsid w:val="006139CE"/>
    <w:rsid w:val="00613FC2"/>
    <w:rsid w:val="006149EC"/>
    <w:rsid w:val="00615077"/>
    <w:rsid w:val="00615A57"/>
    <w:rsid w:val="006163D7"/>
    <w:rsid w:val="00616D59"/>
    <w:rsid w:val="0062092B"/>
    <w:rsid w:val="00621122"/>
    <w:rsid w:val="00622CA2"/>
    <w:rsid w:val="00623412"/>
    <w:rsid w:val="00624DD7"/>
    <w:rsid w:val="006251DF"/>
    <w:rsid w:val="006258F8"/>
    <w:rsid w:val="00626D86"/>
    <w:rsid w:val="006274B1"/>
    <w:rsid w:val="00627ACE"/>
    <w:rsid w:val="0063042D"/>
    <w:rsid w:val="00630BED"/>
    <w:rsid w:val="00631615"/>
    <w:rsid w:val="00633233"/>
    <w:rsid w:val="00633B01"/>
    <w:rsid w:val="0063450E"/>
    <w:rsid w:val="00634BC7"/>
    <w:rsid w:val="00636C76"/>
    <w:rsid w:val="006444BC"/>
    <w:rsid w:val="00645935"/>
    <w:rsid w:val="00646779"/>
    <w:rsid w:val="006469F1"/>
    <w:rsid w:val="00646A25"/>
    <w:rsid w:val="00650DF3"/>
    <w:rsid w:val="0065129F"/>
    <w:rsid w:val="006517D4"/>
    <w:rsid w:val="00652CAB"/>
    <w:rsid w:val="00653B8D"/>
    <w:rsid w:val="00653F39"/>
    <w:rsid w:val="00654A25"/>
    <w:rsid w:val="00655EA7"/>
    <w:rsid w:val="00656058"/>
    <w:rsid w:val="00656B5F"/>
    <w:rsid w:val="00657D96"/>
    <w:rsid w:val="00657DB8"/>
    <w:rsid w:val="00661D54"/>
    <w:rsid w:val="00662397"/>
    <w:rsid w:val="00662AFA"/>
    <w:rsid w:val="00662E13"/>
    <w:rsid w:val="00662FB1"/>
    <w:rsid w:val="00664767"/>
    <w:rsid w:val="006657FD"/>
    <w:rsid w:val="00665967"/>
    <w:rsid w:val="006659AF"/>
    <w:rsid w:val="0066644D"/>
    <w:rsid w:val="0066657B"/>
    <w:rsid w:val="006665E0"/>
    <w:rsid w:val="00670CC2"/>
    <w:rsid w:val="0067153A"/>
    <w:rsid w:val="0067241E"/>
    <w:rsid w:val="0067331F"/>
    <w:rsid w:val="00673C2D"/>
    <w:rsid w:val="00674985"/>
    <w:rsid w:val="00674F0C"/>
    <w:rsid w:val="006755E5"/>
    <w:rsid w:val="00675A14"/>
    <w:rsid w:val="00675E4F"/>
    <w:rsid w:val="00676A38"/>
    <w:rsid w:val="0067713C"/>
    <w:rsid w:val="00677CEB"/>
    <w:rsid w:val="0068047A"/>
    <w:rsid w:val="0068123B"/>
    <w:rsid w:val="0068141F"/>
    <w:rsid w:val="006817E8"/>
    <w:rsid w:val="00681DD9"/>
    <w:rsid w:val="006822C6"/>
    <w:rsid w:val="0068326A"/>
    <w:rsid w:val="0068534A"/>
    <w:rsid w:val="00686D2B"/>
    <w:rsid w:val="00686FC9"/>
    <w:rsid w:val="00687A28"/>
    <w:rsid w:val="006907AC"/>
    <w:rsid w:val="0069150B"/>
    <w:rsid w:val="00693899"/>
    <w:rsid w:val="00693DD6"/>
    <w:rsid w:val="00693E7E"/>
    <w:rsid w:val="00694251"/>
    <w:rsid w:val="0069442A"/>
    <w:rsid w:val="006959A0"/>
    <w:rsid w:val="00695C0D"/>
    <w:rsid w:val="006A4FB2"/>
    <w:rsid w:val="006A565D"/>
    <w:rsid w:val="006A6715"/>
    <w:rsid w:val="006A7092"/>
    <w:rsid w:val="006A7F62"/>
    <w:rsid w:val="006B0CE7"/>
    <w:rsid w:val="006B165C"/>
    <w:rsid w:val="006B1DF3"/>
    <w:rsid w:val="006B2BC5"/>
    <w:rsid w:val="006B315F"/>
    <w:rsid w:val="006B4751"/>
    <w:rsid w:val="006B4BB6"/>
    <w:rsid w:val="006B5008"/>
    <w:rsid w:val="006B5444"/>
    <w:rsid w:val="006B7087"/>
    <w:rsid w:val="006B710C"/>
    <w:rsid w:val="006B7441"/>
    <w:rsid w:val="006B7A21"/>
    <w:rsid w:val="006C31AE"/>
    <w:rsid w:val="006C32A8"/>
    <w:rsid w:val="006C3D28"/>
    <w:rsid w:val="006C5041"/>
    <w:rsid w:val="006C5D3B"/>
    <w:rsid w:val="006C6251"/>
    <w:rsid w:val="006C6C82"/>
    <w:rsid w:val="006C7012"/>
    <w:rsid w:val="006C749C"/>
    <w:rsid w:val="006D02AB"/>
    <w:rsid w:val="006D080C"/>
    <w:rsid w:val="006D1E9D"/>
    <w:rsid w:val="006D24DD"/>
    <w:rsid w:val="006D30D6"/>
    <w:rsid w:val="006D398C"/>
    <w:rsid w:val="006D6616"/>
    <w:rsid w:val="006D6F5D"/>
    <w:rsid w:val="006D750F"/>
    <w:rsid w:val="006D7836"/>
    <w:rsid w:val="006D7BAE"/>
    <w:rsid w:val="006E0C63"/>
    <w:rsid w:val="006E1A05"/>
    <w:rsid w:val="006E3AB0"/>
    <w:rsid w:val="006E4FC9"/>
    <w:rsid w:val="006E544B"/>
    <w:rsid w:val="006E5AF5"/>
    <w:rsid w:val="006E72E5"/>
    <w:rsid w:val="006E7B2D"/>
    <w:rsid w:val="006F027B"/>
    <w:rsid w:val="006F0508"/>
    <w:rsid w:val="006F08EB"/>
    <w:rsid w:val="006F29E3"/>
    <w:rsid w:val="006F2A8D"/>
    <w:rsid w:val="006F33EB"/>
    <w:rsid w:val="006F4760"/>
    <w:rsid w:val="006F5748"/>
    <w:rsid w:val="007000E7"/>
    <w:rsid w:val="0070149F"/>
    <w:rsid w:val="00701A54"/>
    <w:rsid w:val="007032F0"/>
    <w:rsid w:val="00704663"/>
    <w:rsid w:val="00706F40"/>
    <w:rsid w:val="00710539"/>
    <w:rsid w:val="007118F2"/>
    <w:rsid w:val="00712445"/>
    <w:rsid w:val="00714466"/>
    <w:rsid w:val="00714DD3"/>
    <w:rsid w:val="00716661"/>
    <w:rsid w:val="00716B2C"/>
    <w:rsid w:val="00717081"/>
    <w:rsid w:val="00717725"/>
    <w:rsid w:val="007205DE"/>
    <w:rsid w:val="00720DB9"/>
    <w:rsid w:val="007217C4"/>
    <w:rsid w:val="00722286"/>
    <w:rsid w:val="0072268F"/>
    <w:rsid w:val="00723030"/>
    <w:rsid w:val="007234C8"/>
    <w:rsid w:val="00723CB8"/>
    <w:rsid w:val="00724911"/>
    <w:rsid w:val="00725476"/>
    <w:rsid w:val="00733741"/>
    <w:rsid w:val="007345B0"/>
    <w:rsid w:val="007354C8"/>
    <w:rsid w:val="00735A5F"/>
    <w:rsid w:val="00735E88"/>
    <w:rsid w:val="00736BFC"/>
    <w:rsid w:val="0074151E"/>
    <w:rsid w:val="00741BD6"/>
    <w:rsid w:val="00742371"/>
    <w:rsid w:val="00742A12"/>
    <w:rsid w:val="00743F46"/>
    <w:rsid w:val="00744B87"/>
    <w:rsid w:val="00745DBB"/>
    <w:rsid w:val="007467C3"/>
    <w:rsid w:val="00746C36"/>
    <w:rsid w:val="00747361"/>
    <w:rsid w:val="00747640"/>
    <w:rsid w:val="0074781E"/>
    <w:rsid w:val="00747B1A"/>
    <w:rsid w:val="00747DE5"/>
    <w:rsid w:val="00747F5F"/>
    <w:rsid w:val="0075103C"/>
    <w:rsid w:val="0075113E"/>
    <w:rsid w:val="007515F6"/>
    <w:rsid w:val="00751C97"/>
    <w:rsid w:val="00752610"/>
    <w:rsid w:val="007536C9"/>
    <w:rsid w:val="00755295"/>
    <w:rsid w:val="0075642E"/>
    <w:rsid w:val="00757387"/>
    <w:rsid w:val="0075754A"/>
    <w:rsid w:val="007604AE"/>
    <w:rsid w:val="00762B05"/>
    <w:rsid w:val="00763463"/>
    <w:rsid w:val="00763688"/>
    <w:rsid w:val="00763DE6"/>
    <w:rsid w:val="007644C1"/>
    <w:rsid w:val="00764971"/>
    <w:rsid w:val="007649ED"/>
    <w:rsid w:val="00764A51"/>
    <w:rsid w:val="00764C4F"/>
    <w:rsid w:val="00765003"/>
    <w:rsid w:val="00765A1E"/>
    <w:rsid w:val="00766A39"/>
    <w:rsid w:val="00767590"/>
    <w:rsid w:val="00773074"/>
    <w:rsid w:val="0077438C"/>
    <w:rsid w:val="00774803"/>
    <w:rsid w:val="007764FF"/>
    <w:rsid w:val="00776D3D"/>
    <w:rsid w:val="0078084F"/>
    <w:rsid w:val="00781474"/>
    <w:rsid w:val="00781910"/>
    <w:rsid w:val="00781F88"/>
    <w:rsid w:val="007840DB"/>
    <w:rsid w:val="00785831"/>
    <w:rsid w:val="00785A19"/>
    <w:rsid w:val="00785C07"/>
    <w:rsid w:val="00786E02"/>
    <w:rsid w:val="00790A1A"/>
    <w:rsid w:val="00790D7E"/>
    <w:rsid w:val="00791325"/>
    <w:rsid w:val="00791588"/>
    <w:rsid w:val="00791CC1"/>
    <w:rsid w:val="00793FD9"/>
    <w:rsid w:val="00794668"/>
    <w:rsid w:val="007946A2"/>
    <w:rsid w:val="0079541D"/>
    <w:rsid w:val="007967E4"/>
    <w:rsid w:val="00796EF1"/>
    <w:rsid w:val="00797239"/>
    <w:rsid w:val="007A0624"/>
    <w:rsid w:val="007A094F"/>
    <w:rsid w:val="007A0FF3"/>
    <w:rsid w:val="007A26C8"/>
    <w:rsid w:val="007A366E"/>
    <w:rsid w:val="007A4C7B"/>
    <w:rsid w:val="007A6569"/>
    <w:rsid w:val="007A6AA6"/>
    <w:rsid w:val="007A78C5"/>
    <w:rsid w:val="007A7E6A"/>
    <w:rsid w:val="007B11B4"/>
    <w:rsid w:val="007B137F"/>
    <w:rsid w:val="007B143C"/>
    <w:rsid w:val="007B24C5"/>
    <w:rsid w:val="007B5596"/>
    <w:rsid w:val="007B5C6A"/>
    <w:rsid w:val="007B6CB3"/>
    <w:rsid w:val="007B6EB7"/>
    <w:rsid w:val="007C0053"/>
    <w:rsid w:val="007C10CD"/>
    <w:rsid w:val="007C11FD"/>
    <w:rsid w:val="007C140F"/>
    <w:rsid w:val="007C35E6"/>
    <w:rsid w:val="007C44D1"/>
    <w:rsid w:val="007C459A"/>
    <w:rsid w:val="007C4A7C"/>
    <w:rsid w:val="007C4E46"/>
    <w:rsid w:val="007C52EA"/>
    <w:rsid w:val="007C62E2"/>
    <w:rsid w:val="007C7669"/>
    <w:rsid w:val="007C7C51"/>
    <w:rsid w:val="007D0770"/>
    <w:rsid w:val="007D0B5F"/>
    <w:rsid w:val="007D0BDC"/>
    <w:rsid w:val="007D14EE"/>
    <w:rsid w:val="007D1CB7"/>
    <w:rsid w:val="007D2CE1"/>
    <w:rsid w:val="007D2E69"/>
    <w:rsid w:val="007D3972"/>
    <w:rsid w:val="007D540E"/>
    <w:rsid w:val="007D624C"/>
    <w:rsid w:val="007D625B"/>
    <w:rsid w:val="007E0017"/>
    <w:rsid w:val="007E0741"/>
    <w:rsid w:val="007E2225"/>
    <w:rsid w:val="007E2E72"/>
    <w:rsid w:val="007E3949"/>
    <w:rsid w:val="007E5346"/>
    <w:rsid w:val="007E5704"/>
    <w:rsid w:val="007E5BC1"/>
    <w:rsid w:val="007E6C67"/>
    <w:rsid w:val="007E75B3"/>
    <w:rsid w:val="007F00F1"/>
    <w:rsid w:val="007F023F"/>
    <w:rsid w:val="007F0EB8"/>
    <w:rsid w:val="007F237F"/>
    <w:rsid w:val="007F2B64"/>
    <w:rsid w:val="007F416C"/>
    <w:rsid w:val="007F4674"/>
    <w:rsid w:val="007F4C7A"/>
    <w:rsid w:val="007F53D0"/>
    <w:rsid w:val="007F687F"/>
    <w:rsid w:val="008001A1"/>
    <w:rsid w:val="00800A64"/>
    <w:rsid w:val="00802469"/>
    <w:rsid w:val="0080261C"/>
    <w:rsid w:val="008033D6"/>
    <w:rsid w:val="00803715"/>
    <w:rsid w:val="00804181"/>
    <w:rsid w:val="008042B2"/>
    <w:rsid w:val="00804556"/>
    <w:rsid w:val="00804982"/>
    <w:rsid w:val="008053C2"/>
    <w:rsid w:val="00805417"/>
    <w:rsid w:val="008068B7"/>
    <w:rsid w:val="00807133"/>
    <w:rsid w:val="008071E7"/>
    <w:rsid w:val="008108CC"/>
    <w:rsid w:val="00811014"/>
    <w:rsid w:val="00811BE0"/>
    <w:rsid w:val="00811C33"/>
    <w:rsid w:val="008120B1"/>
    <w:rsid w:val="00812B7F"/>
    <w:rsid w:val="00812E50"/>
    <w:rsid w:val="008146C8"/>
    <w:rsid w:val="00814C0E"/>
    <w:rsid w:val="00814CC7"/>
    <w:rsid w:val="0081519C"/>
    <w:rsid w:val="0081528C"/>
    <w:rsid w:val="0081668E"/>
    <w:rsid w:val="00817A52"/>
    <w:rsid w:val="00817A87"/>
    <w:rsid w:val="00820157"/>
    <w:rsid w:val="00820697"/>
    <w:rsid w:val="008206E0"/>
    <w:rsid w:val="00820724"/>
    <w:rsid w:val="0082198D"/>
    <w:rsid w:val="00821BC5"/>
    <w:rsid w:val="00821CBB"/>
    <w:rsid w:val="00822332"/>
    <w:rsid w:val="00823EAA"/>
    <w:rsid w:val="0082783C"/>
    <w:rsid w:val="00830E86"/>
    <w:rsid w:val="00831284"/>
    <w:rsid w:val="00831902"/>
    <w:rsid w:val="008324E6"/>
    <w:rsid w:val="00833857"/>
    <w:rsid w:val="008345CA"/>
    <w:rsid w:val="008346ED"/>
    <w:rsid w:val="00834A1E"/>
    <w:rsid w:val="00834A9C"/>
    <w:rsid w:val="008355DC"/>
    <w:rsid w:val="008356D7"/>
    <w:rsid w:val="00836DFA"/>
    <w:rsid w:val="00840B7C"/>
    <w:rsid w:val="008422D7"/>
    <w:rsid w:val="008424F0"/>
    <w:rsid w:val="00842A6D"/>
    <w:rsid w:val="008439D2"/>
    <w:rsid w:val="00845B91"/>
    <w:rsid w:val="0084772E"/>
    <w:rsid w:val="00847FAA"/>
    <w:rsid w:val="008510E7"/>
    <w:rsid w:val="008512BF"/>
    <w:rsid w:val="00853088"/>
    <w:rsid w:val="00853E5C"/>
    <w:rsid w:val="008540AD"/>
    <w:rsid w:val="0085469D"/>
    <w:rsid w:val="008551DB"/>
    <w:rsid w:val="00855624"/>
    <w:rsid w:val="008579D0"/>
    <w:rsid w:val="00860166"/>
    <w:rsid w:val="00863659"/>
    <w:rsid w:val="00863810"/>
    <w:rsid w:val="00863BD1"/>
    <w:rsid w:val="00866D95"/>
    <w:rsid w:val="00867BE3"/>
    <w:rsid w:val="00867E03"/>
    <w:rsid w:val="00867EA7"/>
    <w:rsid w:val="00870229"/>
    <w:rsid w:val="00871640"/>
    <w:rsid w:val="00872F98"/>
    <w:rsid w:val="00873F09"/>
    <w:rsid w:val="0087485A"/>
    <w:rsid w:val="00875F44"/>
    <w:rsid w:val="00876E41"/>
    <w:rsid w:val="008774B6"/>
    <w:rsid w:val="008812AD"/>
    <w:rsid w:val="00881D7D"/>
    <w:rsid w:val="008828F4"/>
    <w:rsid w:val="00882A47"/>
    <w:rsid w:val="0088336D"/>
    <w:rsid w:val="00883501"/>
    <w:rsid w:val="0088470B"/>
    <w:rsid w:val="008871A4"/>
    <w:rsid w:val="00891037"/>
    <w:rsid w:val="0089134C"/>
    <w:rsid w:val="00891A81"/>
    <w:rsid w:val="00891B38"/>
    <w:rsid w:val="00891BF8"/>
    <w:rsid w:val="00892528"/>
    <w:rsid w:val="00892E33"/>
    <w:rsid w:val="00893FFE"/>
    <w:rsid w:val="00896A05"/>
    <w:rsid w:val="008A10CB"/>
    <w:rsid w:val="008A1DAD"/>
    <w:rsid w:val="008A38C8"/>
    <w:rsid w:val="008A5862"/>
    <w:rsid w:val="008A610C"/>
    <w:rsid w:val="008A65ED"/>
    <w:rsid w:val="008A6D54"/>
    <w:rsid w:val="008A7DA1"/>
    <w:rsid w:val="008A7FBE"/>
    <w:rsid w:val="008B0180"/>
    <w:rsid w:val="008B0671"/>
    <w:rsid w:val="008B24C5"/>
    <w:rsid w:val="008B3F03"/>
    <w:rsid w:val="008B5F41"/>
    <w:rsid w:val="008B698E"/>
    <w:rsid w:val="008B69B4"/>
    <w:rsid w:val="008B72B6"/>
    <w:rsid w:val="008B78F6"/>
    <w:rsid w:val="008C01A3"/>
    <w:rsid w:val="008C0810"/>
    <w:rsid w:val="008C0EE3"/>
    <w:rsid w:val="008C1B5D"/>
    <w:rsid w:val="008C29A6"/>
    <w:rsid w:val="008C39E0"/>
    <w:rsid w:val="008C3EB8"/>
    <w:rsid w:val="008C4C15"/>
    <w:rsid w:val="008C7C28"/>
    <w:rsid w:val="008D15ED"/>
    <w:rsid w:val="008D1A72"/>
    <w:rsid w:val="008D1B32"/>
    <w:rsid w:val="008D215A"/>
    <w:rsid w:val="008D22C3"/>
    <w:rsid w:val="008D3586"/>
    <w:rsid w:val="008D3DDE"/>
    <w:rsid w:val="008D4A83"/>
    <w:rsid w:val="008D4F17"/>
    <w:rsid w:val="008D5221"/>
    <w:rsid w:val="008D617C"/>
    <w:rsid w:val="008D721A"/>
    <w:rsid w:val="008E06A1"/>
    <w:rsid w:val="008E0759"/>
    <w:rsid w:val="008E128B"/>
    <w:rsid w:val="008E2130"/>
    <w:rsid w:val="008E25BA"/>
    <w:rsid w:val="008E4230"/>
    <w:rsid w:val="008E452F"/>
    <w:rsid w:val="008E574E"/>
    <w:rsid w:val="008E73D8"/>
    <w:rsid w:val="008E7C7B"/>
    <w:rsid w:val="008F0472"/>
    <w:rsid w:val="008F0741"/>
    <w:rsid w:val="008F081D"/>
    <w:rsid w:val="008F5895"/>
    <w:rsid w:val="008F5D9E"/>
    <w:rsid w:val="008F62D6"/>
    <w:rsid w:val="008F6692"/>
    <w:rsid w:val="008F78FC"/>
    <w:rsid w:val="00901535"/>
    <w:rsid w:val="00901DAA"/>
    <w:rsid w:val="00901EAA"/>
    <w:rsid w:val="0090262D"/>
    <w:rsid w:val="00902A3F"/>
    <w:rsid w:val="0090304A"/>
    <w:rsid w:val="009034D1"/>
    <w:rsid w:val="00903FE1"/>
    <w:rsid w:val="009053AE"/>
    <w:rsid w:val="00905AED"/>
    <w:rsid w:val="00905B65"/>
    <w:rsid w:val="0090651F"/>
    <w:rsid w:val="009073E1"/>
    <w:rsid w:val="009109BB"/>
    <w:rsid w:val="00911540"/>
    <w:rsid w:val="00912827"/>
    <w:rsid w:val="0091420A"/>
    <w:rsid w:val="00914C06"/>
    <w:rsid w:val="00914FD9"/>
    <w:rsid w:val="00915248"/>
    <w:rsid w:val="0091785A"/>
    <w:rsid w:val="009200FA"/>
    <w:rsid w:val="00920298"/>
    <w:rsid w:val="00920CB6"/>
    <w:rsid w:val="00921ACD"/>
    <w:rsid w:val="00921CF9"/>
    <w:rsid w:val="009255A4"/>
    <w:rsid w:val="009263F9"/>
    <w:rsid w:val="0093009A"/>
    <w:rsid w:val="0093010E"/>
    <w:rsid w:val="00930C15"/>
    <w:rsid w:val="00930EAA"/>
    <w:rsid w:val="0093240E"/>
    <w:rsid w:val="009325C6"/>
    <w:rsid w:val="00932ADD"/>
    <w:rsid w:val="009331EA"/>
    <w:rsid w:val="00933C0B"/>
    <w:rsid w:val="00933D99"/>
    <w:rsid w:val="009340F9"/>
    <w:rsid w:val="00934B9D"/>
    <w:rsid w:val="00934ECB"/>
    <w:rsid w:val="009353C6"/>
    <w:rsid w:val="00936C0B"/>
    <w:rsid w:val="00940BE8"/>
    <w:rsid w:val="0094362E"/>
    <w:rsid w:val="00943D6E"/>
    <w:rsid w:val="00943FC2"/>
    <w:rsid w:val="009440C6"/>
    <w:rsid w:val="00944DD1"/>
    <w:rsid w:val="0094531E"/>
    <w:rsid w:val="0094703C"/>
    <w:rsid w:val="00950A5C"/>
    <w:rsid w:val="00951645"/>
    <w:rsid w:val="00952DC5"/>
    <w:rsid w:val="00953070"/>
    <w:rsid w:val="0095310F"/>
    <w:rsid w:val="00953D90"/>
    <w:rsid w:val="00954FF2"/>
    <w:rsid w:val="009551FA"/>
    <w:rsid w:val="00955C20"/>
    <w:rsid w:val="00956725"/>
    <w:rsid w:val="00956AA7"/>
    <w:rsid w:val="0095700F"/>
    <w:rsid w:val="009573DF"/>
    <w:rsid w:val="00960E90"/>
    <w:rsid w:val="00961138"/>
    <w:rsid w:val="0096138D"/>
    <w:rsid w:val="00962BA6"/>
    <w:rsid w:val="00963023"/>
    <w:rsid w:val="009633B7"/>
    <w:rsid w:val="0096360D"/>
    <w:rsid w:val="009638FE"/>
    <w:rsid w:val="00964082"/>
    <w:rsid w:val="00965B2F"/>
    <w:rsid w:val="00965EF8"/>
    <w:rsid w:val="00965F6D"/>
    <w:rsid w:val="00966436"/>
    <w:rsid w:val="00967C53"/>
    <w:rsid w:val="0097124F"/>
    <w:rsid w:val="00971962"/>
    <w:rsid w:val="00973972"/>
    <w:rsid w:val="00974D71"/>
    <w:rsid w:val="009752B8"/>
    <w:rsid w:val="00975C2B"/>
    <w:rsid w:val="00976BEE"/>
    <w:rsid w:val="00980364"/>
    <w:rsid w:val="00983071"/>
    <w:rsid w:val="00984092"/>
    <w:rsid w:val="009840BE"/>
    <w:rsid w:val="0098464C"/>
    <w:rsid w:val="0098593C"/>
    <w:rsid w:val="00986091"/>
    <w:rsid w:val="00986C09"/>
    <w:rsid w:val="00987B47"/>
    <w:rsid w:val="009902AA"/>
    <w:rsid w:val="009902D5"/>
    <w:rsid w:val="00990B8D"/>
    <w:rsid w:val="0099135A"/>
    <w:rsid w:val="00991811"/>
    <w:rsid w:val="00991943"/>
    <w:rsid w:val="00991950"/>
    <w:rsid w:val="009920AC"/>
    <w:rsid w:val="00993FBD"/>
    <w:rsid w:val="00994604"/>
    <w:rsid w:val="00995FF9"/>
    <w:rsid w:val="00996384"/>
    <w:rsid w:val="009A2ECD"/>
    <w:rsid w:val="009A2FAF"/>
    <w:rsid w:val="009A318B"/>
    <w:rsid w:val="009A37DE"/>
    <w:rsid w:val="009A3F1F"/>
    <w:rsid w:val="009A5E28"/>
    <w:rsid w:val="009A6B9F"/>
    <w:rsid w:val="009B2C4F"/>
    <w:rsid w:val="009B4557"/>
    <w:rsid w:val="009B5217"/>
    <w:rsid w:val="009B5458"/>
    <w:rsid w:val="009B5DC7"/>
    <w:rsid w:val="009B6369"/>
    <w:rsid w:val="009B6C27"/>
    <w:rsid w:val="009C04B9"/>
    <w:rsid w:val="009C0E32"/>
    <w:rsid w:val="009C14F1"/>
    <w:rsid w:val="009C23D7"/>
    <w:rsid w:val="009C427B"/>
    <w:rsid w:val="009C49C1"/>
    <w:rsid w:val="009C6A49"/>
    <w:rsid w:val="009C6DE4"/>
    <w:rsid w:val="009C705C"/>
    <w:rsid w:val="009C745F"/>
    <w:rsid w:val="009D0A4E"/>
    <w:rsid w:val="009D0C82"/>
    <w:rsid w:val="009D1748"/>
    <w:rsid w:val="009D3D08"/>
    <w:rsid w:val="009D6A32"/>
    <w:rsid w:val="009D7574"/>
    <w:rsid w:val="009D7B3B"/>
    <w:rsid w:val="009D7B59"/>
    <w:rsid w:val="009E0177"/>
    <w:rsid w:val="009E0437"/>
    <w:rsid w:val="009E0D82"/>
    <w:rsid w:val="009E1EC6"/>
    <w:rsid w:val="009E1FDF"/>
    <w:rsid w:val="009E24FD"/>
    <w:rsid w:val="009E2818"/>
    <w:rsid w:val="009E2B5B"/>
    <w:rsid w:val="009E3A94"/>
    <w:rsid w:val="009E3F52"/>
    <w:rsid w:val="009F08CE"/>
    <w:rsid w:val="009F0FE3"/>
    <w:rsid w:val="009F10C7"/>
    <w:rsid w:val="009F2D81"/>
    <w:rsid w:val="009F32B8"/>
    <w:rsid w:val="009F48F0"/>
    <w:rsid w:val="009F60B5"/>
    <w:rsid w:val="009F619D"/>
    <w:rsid w:val="009F6787"/>
    <w:rsid w:val="009F6A45"/>
    <w:rsid w:val="009F7AA1"/>
    <w:rsid w:val="00A01105"/>
    <w:rsid w:val="00A01DCB"/>
    <w:rsid w:val="00A02BD3"/>
    <w:rsid w:val="00A03C4A"/>
    <w:rsid w:val="00A03E31"/>
    <w:rsid w:val="00A03E6E"/>
    <w:rsid w:val="00A07E9C"/>
    <w:rsid w:val="00A1163A"/>
    <w:rsid w:val="00A11D60"/>
    <w:rsid w:val="00A136DF"/>
    <w:rsid w:val="00A1399C"/>
    <w:rsid w:val="00A148AB"/>
    <w:rsid w:val="00A14963"/>
    <w:rsid w:val="00A14F96"/>
    <w:rsid w:val="00A17FE4"/>
    <w:rsid w:val="00A22563"/>
    <w:rsid w:val="00A24ACD"/>
    <w:rsid w:val="00A25BAC"/>
    <w:rsid w:val="00A2640D"/>
    <w:rsid w:val="00A271ED"/>
    <w:rsid w:val="00A27D04"/>
    <w:rsid w:val="00A300B8"/>
    <w:rsid w:val="00A30379"/>
    <w:rsid w:val="00A31F80"/>
    <w:rsid w:val="00A3224D"/>
    <w:rsid w:val="00A33255"/>
    <w:rsid w:val="00A33407"/>
    <w:rsid w:val="00A33CC1"/>
    <w:rsid w:val="00A353A1"/>
    <w:rsid w:val="00A362ED"/>
    <w:rsid w:val="00A36800"/>
    <w:rsid w:val="00A3683C"/>
    <w:rsid w:val="00A3731E"/>
    <w:rsid w:val="00A42860"/>
    <w:rsid w:val="00A42EE6"/>
    <w:rsid w:val="00A433D6"/>
    <w:rsid w:val="00A436C9"/>
    <w:rsid w:val="00A44764"/>
    <w:rsid w:val="00A44C33"/>
    <w:rsid w:val="00A44E46"/>
    <w:rsid w:val="00A46272"/>
    <w:rsid w:val="00A479E9"/>
    <w:rsid w:val="00A50C3C"/>
    <w:rsid w:val="00A51E55"/>
    <w:rsid w:val="00A52171"/>
    <w:rsid w:val="00A54376"/>
    <w:rsid w:val="00A5689A"/>
    <w:rsid w:val="00A56AB4"/>
    <w:rsid w:val="00A56C46"/>
    <w:rsid w:val="00A60CF7"/>
    <w:rsid w:val="00A6102A"/>
    <w:rsid w:val="00A61055"/>
    <w:rsid w:val="00A61CDA"/>
    <w:rsid w:val="00A62B41"/>
    <w:rsid w:val="00A67A26"/>
    <w:rsid w:val="00A70FE9"/>
    <w:rsid w:val="00A7143B"/>
    <w:rsid w:val="00A71FBD"/>
    <w:rsid w:val="00A728CC"/>
    <w:rsid w:val="00A729C6"/>
    <w:rsid w:val="00A72F1C"/>
    <w:rsid w:val="00A72F45"/>
    <w:rsid w:val="00A732A2"/>
    <w:rsid w:val="00A73541"/>
    <w:rsid w:val="00A73B65"/>
    <w:rsid w:val="00A754F8"/>
    <w:rsid w:val="00A760A9"/>
    <w:rsid w:val="00A76576"/>
    <w:rsid w:val="00A76D34"/>
    <w:rsid w:val="00A76E71"/>
    <w:rsid w:val="00A775D3"/>
    <w:rsid w:val="00A77719"/>
    <w:rsid w:val="00A8147F"/>
    <w:rsid w:val="00A81DE5"/>
    <w:rsid w:val="00A82479"/>
    <w:rsid w:val="00A8288F"/>
    <w:rsid w:val="00A83ECF"/>
    <w:rsid w:val="00A84C62"/>
    <w:rsid w:val="00A852D3"/>
    <w:rsid w:val="00A86235"/>
    <w:rsid w:val="00A869C5"/>
    <w:rsid w:val="00A86B36"/>
    <w:rsid w:val="00A87358"/>
    <w:rsid w:val="00A8755A"/>
    <w:rsid w:val="00A93416"/>
    <w:rsid w:val="00A9376D"/>
    <w:rsid w:val="00A9419A"/>
    <w:rsid w:val="00A959C9"/>
    <w:rsid w:val="00A96031"/>
    <w:rsid w:val="00A9627E"/>
    <w:rsid w:val="00A96D08"/>
    <w:rsid w:val="00A97009"/>
    <w:rsid w:val="00A97374"/>
    <w:rsid w:val="00A978CE"/>
    <w:rsid w:val="00A97B4D"/>
    <w:rsid w:val="00AA079C"/>
    <w:rsid w:val="00AA0862"/>
    <w:rsid w:val="00AA0D40"/>
    <w:rsid w:val="00AA24CE"/>
    <w:rsid w:val="00AA2ECA"/>
    <w:rsid w:val="00AA4171"/>
    <w:rsid w:val="00AA4D0F"/>
    <w:rsid w:val="00AA680B"/>
    <w:rsid w:val="00AA721B"/>
    <w:rsid w:val="00AA7545"/>
    <w:rsid w:val="00AA7A33"/>
    <w:rsid w:val="00AA7EE0"/>
    <w:rsid w:val="00AB05B1"/>
    <w:rsid w:val="00AB0A3E"/>
    <w:rsid w:val="00AB1E74"/>
    <w:rsid w:val="00AB2033"/>
    <w:rsid w:val="00AB3AC3"/>
    <w:rsid w:val="00AB6F38"/>
    <w:rsid w:val="00AB761D"/>
    <w:rsid w:val="00AB7B3F"/>
    <w:rsid w:val="00AC0761"/>
    <w:rsid w:val="00AC3A60"/>
    <w:rsid w:val="00AC3E73"/>
    <w:rsid w:val="00AC5214"/>
    <w:rsid w:val="00AC556F"/>
    <w:rsid w:val="00AC7354"/>
    <w:rsid w:val="00AC7F54"/>
    <w:rsid w:val="00AD02F9"/>
    <w:rsid w:val="00AD095E"/>
    <w:rsid w:val="00AD1052"/>
    <w:rsid w:val="00AD178A"/>
    <w:rsid w:val="00AD1E7A"/>
    <w:rsid w:val="00AD3081"/>
    <w:rsid w:val="00AD3E8B"/>
    <w:rsid w:val="00AD6916"/>
    <w:rsid w:val="00AE0898"/>
    <w:rsid w:val="00AE0CE8"/>
    <w:rsid w:val="00AE165C"/>
    <w:rsid w:val="00AE29B0"/>
    <w:rsid w:val="00AE2BD0"/>
    <w:rsid w:val="00AE4849"/>
    <w:rsid w:val="00AE5A23"/>
    <w:rsid w:val="00AE5F6E"/>
    <w:rsid w:val="00AE6EB4"/>
    <w:rsid w:val="00AE7A38"/>
    <w:rsid w:val="00AF05A5"/>
    <w:rsid w:val="00AF1C79"/>
    <w:rsid w:val="00AF1F80"/>
    <w:rsid w:val="00AF2810"/>
    <w:rsid w:val="00AF3F69"/>
    <w:rsid w:val="00AF3F98"/>
    <w:rsid w:val="00AF3FDC"/>
    <w:rsid w:val="00AF42CE"/>
    <w:rsid w:val="00AF46D9"/>
    <w:rsid w:val="00AF49F3"/>
    <w:rsid w:val="00AF528B"/>
    <w:rsid w:val="00AF6AB2"/>
    <w:rsid w:val="00AF6CB1"/>
    <w:rsid w:val="00AF7512"/>
    <w:rsid w:val="00AF7FCA"/>
    <w:rsid w:val="00B0022D"/>
    <w:rsid w:val="00B023C6"/>
    <w:rsid w:val="00B0409E"/>
    <w:rsid w:val="00B04960"/>
    <w:rsid w:val="00B05339"/>
    <w:rsid w:val="00B05FF7"/>
    <w:rsid w:val="00B062FF"/>
    <w:rsid w:val="00B06C83"/>
    <w:rsid w:val="00B07076"/>
    <w:rsid w:val="00B1042A"/>
    <w:rsid w:val="00B11C41"/>
    <w:rsid w:val="00B124E9"/>
    <w:rsid w:val="00B1441E"/>
    <w:rsid w:val="00B1497E"/>
    <w:rsid w:val="00B14BCF"/>
    <w:rsid w:val="00B14DEE"/>
    <w:rsid w:val="00B16E86"/>
    <w:rsid w:val="00B16EE8"/>
    <w:rsid w:val="00B202AE"/>
    <w:rsid w:val="00B207E8"/>
    <w:rsid w:val="00B219F6"/>
    <w:rsid w:val="00B2293A"/>
    <w:rsid w:val="00B23531"/>
    <w:rsid w:val="00B25690"/>
    <w:rsid w:val="00B258FD"/>
    <w:rsid w:val="00B25FB2"/>
    <w:rsid w:val="00B260B1"/>
    <w:rsid w:val="00B260C3"/>
    <w:rsid w:val="00B3166B"/>
    <w:rsid w:val="00B320CD"/>
    <w:rsid w:val="00B32EE8"/>
    <w:rsid w:val="00B344DF"/>
    <w:rsid w:val="00B3483F"/>
    <w:rsid w:val="00B34B03"/>
    <w:rsid w:val="00B351A0"/>
    <w:rsid w:val="00B3617D"/>
    <w:rsid w:val="00B368DB"/>
    <w:rsid w:val="00B40B36"/>
    <w:rsid w:val="00B40D8A"/>
    <w:rsid w:val="00B4172E"/>
    <w:rsid w:val="00B42044"/>
    <w:rsid w:val="00B42A53"/>
    <w:rsid w:val="00B4382A"/>
    <w:rsid w:val="00B44C03"/>
    <w:rsid w:val="00B45CDF"/>
    <w:rsid w:val="00B4674C"/>
    <w:rsid w:val="00B46A11"/>
    <w:rsid w:val="00B46BF5"/>
    <w:rsid w:val="00B50D81"/>
    <w:rsid w:val="00B5339D"/>
    <w:rsid w:val="00B541B8"/>
    <w:rsid w:val="00B56462"/>
    <w:rsid w:val="00B56F0C"/>
    <w:rsid w:val="00B5776E"/>
    <w:rsid w:val="00B6171B"/>
    <w:rsid w:val="00B61B30"/>
    <w:rsid w:val="00B6356A"/>
    <w:rsid w:val="00B63634"/>
    <w:rsid w:val="00B63793"/>
    <w:rsid w:val="00B63869"/>
    <w:rsid w:val="00B64DF8"/>
    <w:rsid w:val="00B651FB"/>
    <w:rsid w:val="00B6587D"/>
    <w:rsid w:val="00B669CD"/>
    <w:rsid w:val="00B6760F"/>
    <w:rsid w:val="00B67C98"/>
    <w:rsid w:val="00B67E0E"/>
    <w:rsid w:val="00B70060"/>
    <w:rsid w:val="00B71626"/>
    <w:rsid w:val="00B71756"/>
    <w:rsid w:val="00B72C6D"/>
    <w:rsid w:val="00B73E82"/>
    <w:rsid w:val="00B741D8"/>
    <w:rsid w:val="00B742B9"/>
    <w:rsid w:val="00B761BF"/>
    <w:rsid w:val="00B77886"/>
    <w:rsid w:val="00B80B4B"/>
    <w:rsid w:val="00B80E42"/>
    <w:rsid w:val="00B8122B"/>
    <w:rsid w:val="00B816A2"/>
    <w:rsid w:val="00B820E3"/>
    <w:rsid w:val="00B83179"/>
    <w:rsid w:val="00B835D0"/>
    <w:rsid w:val="00B85618"/>
    <w:rsid w:val="00B85BCA"/>
    <w:rsid w:val="00B86C97"/>
    <w:rsid w:val="00B86D59"/>
    <w:rsid w:val="00B875F8"/>
    <w:rsid w:val="00B879BB"/>
    <w:rsid w:val="00B90176"/>
    <w:rsid w:val="00B90D21"/>
    <w:rsid w:val="00B91F61"/>
    <w:rsid w:val="00B92917"/>
    <w:rsid w:val="00B93305"/>
    <w:rsid w:val="00B94169"/>
    <w:rsid w:val="00B941C0"/>
    <w:rsid w:val="00B94496"/>
    <w:rsid w:val="00B9474A"/>
    <w:rsid w:val="00B95663"/>
    <w:rsid w:val="00B976E9"/>
    <w:rsid w:val="00B977DD"/>
    <w:rsid w:val="00BA0622"/>
    <w:rsid w:val="00BA1591"/>
    <w:rsid w:val="00BA22B1"/>
    <w:rsid w:val="00BA23D5"/>
    <w:rsid w:val="00BA283A"/>
    <w:rsid w:val="00BA2CB5"/>
    <w:rsid w:val="00BA41DD"/>
    <w:rsid w:val="00BA495C"/>
    <w:rsid w:val="00BA5DC8"/>
    <w:rsid w:val="00BA69CD"/>
    <w:rsid w:val="00BB0503"/>
    <w:rsid w:val="00BB073C"/>
    <w:rsid w:val="00BB0897"/>
    <w:rsid w:val="00BB19E5"/>
    <w:rsid w:val="00BB4609"/>
    <w:rsid w:val="00BB483A"/>
    <w:rsid w:val="00BB6471"/>
    <w:rsid w:val="00BB6DF2"/>
    <w:rsid w:val="00BB6DFA"/>
    <w:rsid w:val="00BB731E"/>
    <w:rsid w:val="00BB74C5"/>
    <w:rsid w:val="00BB7B4C"/>
    <w:rsid w:val="00BC2462"/>
    <w:rsid w:val="00BC3093"/>
    <w:rsid w:val="00BC5A6F"/>
    <w:rsid w:val="00BC79C3"/>
    <w:rsid w:val="00BD05A5"/>
    <w:rsid w:val="00BD133F"/>
    <w:rsid w:val="00BD145A"/>
    <w:rsid w:val="00BD2926"/>
    <w:rsid w:val="00BD3B60"/>
    <w:rsid w:val="00BD3EF5"/>
    <w:rsid w:val="00BD4399"/>
    <w:rsid w:val="00BD4859"/>
    <w:rsid w:val="00BD531B"/>
    <w:rsid w:val="00BD531E"/>
    <w:rsid w:val="00BD5D59"/>
    <w:rsid w:val="00BD604A"/>
    <w:rsid w:val="00BD717B"/>
    <w:rsid w:val="00BD7A6F"/>
    <w:rsid w:val="00BD7AC9"/>
    <w:rsid w:val="00BE1827"/>
    <w:rsid w:val="00BE18C4"/>
    <w:rsid w:val="00BE1D27"/>
    <w:rsid w:val="00BE25E2"/>
    <w:rsid w:val="00BE2C62"/>
    <w:rsid w:val="00BE2C8F"/>
    <w:rsid w:val="00BE2FD5"/>
    <w:rsid w:val="00BE4205"/>
    <w:rsid w:val="00BE7433"/>
    <w:rsid w:val="00BF188B"/>
    <w:rsid w:val="00BF19F6"/>
    <w:rsid w:val="00BF326D"/>
    <w:rsid w:val="00BF35DF"/>
    <w:rsid w:val="00BF3AD1"/>
    <w:rsid w:val="00BF3CAC"/>
    <w:rsid w:val="00BF4C66"/>
    <w:rsid w:val="00BF4EED"/>
    <w:rsid w:val="00BF79EA"/>
    <w:rsid w:val="00C00B14"/>
    <w:rsid w:val="00C00C7B"/>
    <w:rsid w:val="00C01139"/>
    <w:rsid w:val="00C025FC"/>
    <w:rsid w:val="00C03501"/>
    <w:rsid w:val="00C046EF"/>
    <w:rsid w:val="00C0477E"/>
    <w:rsid w:val="00C05605"/>
    <w:rsid w:val="00C070BD"/>
    <w:rsid w:val="00C07CD0"/>
    <w:rsid w:val="00C10D23"/>
    <w:rsid w:val="00C116DD"/>
    <w:rsid w:val="00C11BF1"/>
    <w:rsid w:val="00C11F5A"/>
    <w:rsid w:val="00C12B69"/>
    <w:rsid w:val="00C14177"/>
    <w:rsid w:val="00C141A6"/>
    <w:rsid w:val="00C15663"/>
    <w:rsid w:val="00C15DDB"/>
    <w:rsid w:val="00C166B7"/>
    <w:rsid w:val="00C17351"/>
    <w:rsid w:val="00C222E9"/>
    <w:rsid w:val="00C22683"/>
    <w:rsid w:val="00C22779"/>
    <w:rsid w:val="00C229ED"/>
    <w:rsid w:val="00C24991"/>
    <w:rsid w:val="00C25061"/>
    <w:rsid w:val="00C2529D"/>
    <w:rsid w:val="00C25681"/>
    <w:rsid w:val="00C26E80"/>
    <w:rsid w:val="00C31274"/>
    <w:rsid w:val="00C33E49"/>
    <w:rsid w:val="00C34275"/>
    <w:rsid w:val="00C350EE"/>
    <w:rsid w:val="00C35511"/>
    <w:rsid w:val="00C35620"/>
    <w:rsid w:val="00C36BD0"/>
    <w:rsid w:val="00C431CB"/>
    <w:rsid w:val="00C43473"/>
    <w:rsid w:val="00C43C36"/>
    <w:rsid w:val="00C43F7F"/>
    <w:rsid w:val="00C4514E"/>
    <w:rsid w:val="00C45564"/>
    <w:rsid w:val="00C45FBC"/>
    <w:rsid w:val="00C46543"/>
    <w:rsid w:val="00C46DBC"/>
    <w:rsid w:val="00C479BC"/>
    <w:rsid w:val="00C47D11"/>
    <w:rsid w:val="00C5072C"/>
    <w:rsid w:val="00C51010"/>
    <w:rsid w:val="00C513C9"/>
    <w:rsid w:val="00C53348"/>
    <w:rsid w:val="00C53428"/>
    <w:rsid w:val="00C53658"/>
    <w:rsid w:val="00C54833"/>
    <w:rsid w:val="00C54958"/>
    <w:rsid w:val="00C54AEF"/>
    <w:rsid w:val="00C54C32"/>
    <w:rsid w:val="00C55814"/>
    <w:rsid w:val="00C5605B"/>
    <w:rsid w:val="00C56384"/>
    <w:rsid w:val="00C56E0F"/>
    <w:rsid w:val="00C56E56"/>
    <w:rsid w:val="00C57168"/>
    <w:rsid w:val="00C57BEC"/>
    <w:rsid w:val="00C6089C"/>
    <w:rsid w:val="00C60A03"/>
    <w:rsid w:val="00C633E7"/>
    <w:rsid w:val="00C636E4"/>
    <w:rsid w:val="00C65689"/>
    <w:rsid w:val="00C65C4E"/>
    <w:rsid w:val="00C674E3"/>
    <w:rsid w:val="00C67AE4"/>
    <w:rsid w:val="00C67CA4"/>
    <w:rsid w:val="00C7072F"/>
    <w:rsid w:val="00C714F2"/>
    <w:rsid w:val="00C71BCF"/>
    <w:rsid w:val="00C71FE0"/>
    <w:rsid w:val="00C73EB9"/>
    <w:rsid w:val="00C74F87"/>
    <w:rsid w:val="00C752D6"/>
    <w:rsid w:val="00C77547"/>
    <w:rsid w:val="00C77685"/>
    <w:rsid w:val="00C77928"/>
    <w:rsid w:val="00C8017A"/>
    <w:rsid w:val="00C81C36"/>
    <w:rsid w:val="00C8241F"/>
    <w:rsid w:val="00C82FEB"/>
    <w:rsid w:val="00C8330B"/>
    <w:rsid w:val="00C842EF"/>
    <w:rsid w:val="00C84919"/>
    <w:rsid w:val="00C84CAA"/>
    <w:rsid w:val="00C85128"/>
    <w:rsid w:val="00C867E8"/>
    <w:rsid w:val="00C8776B"/>
    <w:rsid w:val="00C87A94"/>
    <w:rsid w:val="00C90CAF"/>
    <w:rsid w:val="00C92E46"/>
    <w:rsid w:val="00C933E7"/>
    <w:rsid w:val="00C93AE0"/>
    <w:rsid w:val="00C93D24"/>
    <w:rsid w:val="00C94201"/>
    <w:rsid w:val="00C94432"/>
    <w:rsid w:val="00C948F6"/>
    <w:rsid w:val="00C96F40"/>
    <w:rsid w:val="00C97F0C"/>
    <w:rsid w:val="00CA03EB"/>
    <w:rsid w:val="00CA051E"/>
    <w:rsid w:val="00CA0E9C"/>
    <w:rsid w:val="00CA2F24"/>
    <w:rsid w:val="00CA33BB"/>
    <w:rsid w:val="00CA3888"/>
    <w:rsid w:val="00CA3E7A"/>
    <w:rsid w:val="00CA461B"/>
    <w:rsid w:val="00CA4697"/>
    <w:rsid w:val="00CA491B"/>
    <w:rsid w:val="00CA4D96"/>
    <w:rsid w:val="00CA6A30"/>
    <w:rsid w:val="00CA6B94"/>
    <w:rsid w:val="00CA72C4"/>
    <w:rsid w:val="00CB11AB"/>
    <w:rsid w:val="00CB1FDD"/>
    <w:rsid w:val="00CB29C0"/>
    <w:rsid w:val="00CB329D"/>
    <w:rsid w:val="00CB35BF"/>
    <w:rsid w:val="00CB3A6D"/>
    <w:rsid w:val="00CB4078"/>
    <w:rsid w:val="00CB6666"/>
    <w:rsid w:val="00CB73AD"/>
    <w:rsid w:val="00CC012A"/>
    <w:rsid w:val="00CC05A1"/>
    <w:rsid w:val="00CC0B0C"/>
    <w:rsid w:val="00CC1C63"/>
    <w:rsid w:val="00CC3117"/>
    <w:rsid w:val="00CC333C"/>
    <w:rsid w:val="00CC34BB"/>
    <w:rsid w:val="00CC389A"/>
    <w:rsid w:val="00CC3ED3"/>
    <w:rsid w:val="00CC53D4"/>
    <w:rsid w:val="00CC6371"/>
    <w:rsid w:val="00CC68BB"/>
    <w:rsid w:val="00CC7734"/>
    <w:rsid w:val="00CD0A82"/>
    <w:rsid w:val="00CD1459"/>
    <w:rsid w:val="00CD235A"/>
    <w:rsid w:val="00CD2B05"/>
    <w:rsid w:val="00CD4087"/>
    <w:rsid w:val="00CD44C7"/>
    <w:rsid w:val="00CD5B93"/>
    <w:rsid w:val="00CD67C5"/>
    <w:rsid w:val="00CD7A4A"/>
    <w:rsid w:val="00CE0182"/>
    <w:rsid w:val="00CE092F"/>
    <w:rsid w:val="00CE1501"/>
    <w:rsid w:val="00CE1D30"/>
    <w:rsid w:val="00CE2236"/>
    <w:rsid w:val="00CE2E6F"/>
    <w:rsid w:val="00CE2EDF"/>
    <w:rsid w:val="00CE3309"/>
    <w:rsid w:val="00CE3A89"/>
    <w:rsid w:val="00CE3EA6"/>
    <w:rsid w:val="00CE3EE2"/>
    <w:rsid w:val="00CE493E"/>
    <w:rsid w:val="00CE4DF0"/>
    <w:rsid w:val="00CE66E0"/>
    <w:rsid w:val="00CF006D"/>
    <w:rsid w:val="00CF0CFE"/>
    <w:rsid w:val="00CF1E9D"/>
    <w:rsid w:val="00CF421C"/>
    <w:rsid w:val="00CF58FA"/>
    <w:rsid w:val="00CF5D62"/>
    <w:rsid w:val="00CF690F"/>
    <w:rsid w:val="00CF6B03"/>
    <w:rsid w:val="00CF737C"/>
    <w:rsid w:val="00D00527"/>
    <w:rsid w:val="00D00B6A"/>
    <w:rsid w:val="00D01A24"/>
    <w:rsid w:val="00D01AFA"/>
    <w:rsid w:val="00D031D9"/>
    <w:rsid w:val="00D0424B"/>
    <w:rsid w:val="00D0499B"/>
    <w:rsid w:val="00D058BE"/>
    <w:rsid w:val="00D05EC6"/>
    <w:rsid w:val="00D10939"/>
    <w:rsid w:val="00D1093A"/>
    <w:rsid w:val="00D10E6F"/>
    <w:rsid w:val="00D121B2"/>
    <w:rsid w:val="00D12474"/>
    <w:rsid w:val="00D13F6D"/>
    <w:rsid w:val="00D15241"/>
    <w:rsid w:val="00D15321"/>
    <w:rsid w:val="00D15EFA"/>
    <w:rsid w:val="00D15FE2"/>
    <w:rsid w:val="00D16A48"/>
    <w:rsid w:val="00D20017"/>
    <w:rsid w:val="00D20286"/>
    <w:rsid w:val="00D2084C"/>
    <w:rsid w:val="00D213F9"/>
    <w:rsid w:val="00D2307E"/>
    <w:rsid w:val="00D23DCB"/>
    <w:rsid w:val="00D24EFA"/>
    <w:rsid w:val="00D24FFF"/>
    <w:rsid w:val="00D257E2"/>
    <w:rsid w:val="00D2653C"/>
    <w:rsid w:val="00D27CF2"/>
    <w:rsid w:val="00D31B79"/>
    <w:rsid w:val="00D321FC"/>
    <w:rsid w:val="00D3234F"/>
    <w:rsid w:val="00D34588"/>
    <w:rsid w:val="00D34997"/>
    <w:rsid w:val="00D353B4"/>
    <w:rsid w:val="00D36DF2"/>
    <w:rsid w:val="00D408D4"/>
    <w:rsid w:val="00D40D97"/>
    <w:rsid w:val="00D42722"/>
    <w:rsid w:val="00D433BA"/>
    <w:rsid w:val="00D43734"/>
    <w:rsid w:val="00D437BE"/>
    <w:rsid w:val="00D449DB"/>
    <w:rsid w:val="00D45328"/>
    <w:rsid w:val="00D45DF1"/>
    <w:rsid w:val="00D472AE"/>
    <w:rsid w:val="00D47353"/>
    <w:rsid w:val="00D47907"/>
    <w:rsid w:val="00D47A4E"/>
    <w:rsid w:val="00D47ADA"/>
    <w:rsid w:val="00D505C6"/>
    <w:rsid w:val="00D5062E"/>
    <w:rsid w:val="00D51353"/>
    <w:rsid w:val="00D51957"/>
    <w:rsid w:val="00D51D49"/>
    <w:rsid w:val="00D54061"/>
    <w:rsid w:val="00D548CF"/>
    <w:rsid w:val="00D548FC"/>
    <w:rsid w:val="00D54AA7"/>
    <w:rsid w:val="00D55265"/>
    <w:rsid w:val="00D558D8"/>
    <w:rsid w:val="00D57ACD"/>
    <w:rsid w:val="00D57B70"/>
    <w:rsid w:val="00D63089"/>
    <w:rsid w:val="00D63229"/>
    <w:rsid w:val="00D646DE"/>
    <w:rsid w:val="00D652E7"/>
    <w:rsid w:val="00D67ACC"/>
    <w:rsid w:val="00D67FC8"/>
    <w:rsid w:val="00D70C86"/>
    <w:rsid w:val="00D71D64"/>
    <w:rsid w:val="00D7238E"/>
    <w:rsid w:val="00D73C74"/>
    <w:rsid w:val="00D747A2"/>
    <w:rsid w:val="00D76AB7"/>
    <w:rsid w:val="00D7749A"/>
    <w:rsid w:val="00D803AE"/>
    <w:rsid w:val="00D811E5"/>
    <w:rsid w:val="00D81D45"/>
    <w:rsid w:val="00D82622"/>
    <w:rsid w:val="00D834B9"/>
    <w:rsid w:val="00D83FAD"/>
    <w:rsid w:val="00D84B56"/>
    <w:rsid w:val="00D84FE4"/>
    <w:rsid w:val="00D85210"/>
    <w:rsid w:val="00D85D9C"/>
    <w:rsid w:val="00D8647B"/>
    <w:rsid w:val="00D864DD"/>
    <w:rsid w:val="00D86CC4"/>
    <w:rsid w:val="00D86D39"/>
    <w:rsid w:val="00D87575"/>
    <w:rsid w:val="00D8767A"/>
    <w:rsid w:val="00D9194C"/>
    <w:rsid w:val="00D91E34"/>
    <w:rsid w:val="00D9269E"/>
    <w:rsid w:val="00D937AC"/>
    <w:rsid w:val="00D939C7"/>
    <w:rsid w:val="00D94046"/>
    <w:rsid w:val="00D943AF"/>
    <w:rsid w:val="00D943F9"/>
    <w:rsid w:val="00D95266"/>
    <w:rsid w:val="00D9593E"/>
    <w:rsid w:val="00D95B72"/>
    <w:rsid w:val="00D95BD9"/>
    <w:rsid w:val="00D962BC"/>
    <w:rsid w:val="00D9687D"/>
    <w:rsid w:val="00D97B38"/>
    <w:rsid w:val="00DA02AB"/>
    <w:rsid w:val="00DA0888"/>
    <w:rsid w:val="00DA16A1"/>
    <w:rsid w:val="00DA25F4"/>
    <w:rsid w:val="00DA3821"/>
    <w:rsid w:val="00DA62A8"/>
    <w:rsid w:val="00DA6FAC"/>
    <w:rsid w:val="00DA79B1"/>
    <w:rsid w:val="00DA7C54"/>
    <w:rsid w:val="00DA7D4D"/>
    <w:rsid w:val="00DB02C8"/>
    <w:rsid w:val="00DB0D95"/>
    <w:rsid w:val="00DB16D4"/>
    <w:rsid w:val="00DB2F38"/>
    <w:rsid w:val="00DB3056"/>
    <w:rsid w:val="00DB384F"/>
    <w:rsid w:val="00DB3CDB"/>
    <w:rsid w:val="00DB5549"/>
    <w:rsid w:val="00DB6308"/>
    <w:rsid w:val="00DB7560"/>
    <w:rsid w:val="00DB7ECE"/>
    <w:rsid w:val="00DC1B92"/>
    <w:rsid w:val="00DC25AA"/>
    <w:rsid w:val="00DC3429"/>
    <w:rsid w:val="00DC4986"/>
    <w:rsid w:val="00DC5EF8"/>
    <w:rsid w:val="00DC6CB7"/>
    <w:rsid w:val="00DC6E32"/>
    <w:rsid w:val="00DC6E78"/>
    <w:rsid w:val="00DC7897"/>
    <w:rsid w:val="00DC7B5D"/>
    <w:rsid w:val="00DC7EF7"/>
    <w:rsid w:val="00DD16F0"/>
    <w:rsid w:val="00DD197F"/>
    <w:rsid w:val="00DD2725"/>
    <w:rsid w:val="00DD277D"/>
    <w:rsid w:val="00DD2837"/>
    <w:rsid w:val="00DD2FEC"/>
    <w:rsid w:val="00DD3E66"/>
    <w:rsid w:val="00DD41AD"/>
    <w:rsid w:val="00DD4DCE"/>
    <w:rsid w:val="00DD5392"/>
    <w:rsid w:val="00DD7670"/>
    <w:rsid w:val="00DE2BB4"/>
    <w:rsid w:val="00DE2C67"/>
    <w:rsid w:val="00DE3728"/>
    <w:rsid w:val="00DE40F0"/>
    <w:rsid w:val="00DE6164"/>
    <w:rsid w:val="00DE7729"/>
    <w:rsid w:val="00DF0A8D"/>
    <w:rsid w:val="00DF0F80"/>
    <w:rsid w:val="00DF152B"/>
    <w:rsid w:val="00DF3F7C"/>
    <w:rsid w:val="00DF4075"/>
    <w:rsid w:val="00DF40C0"/>
    <w:rsid w:val="00DF48B6"/>
    <w:rsid w:val="00DF5587"/>
    <w:rsid w:val="00DF674C"/>
    <w:rsid w:val="00E00C7C"/>
    <w:rsid w:val="00E01411"/>
    <w:rsid w:val="00E02E2E"/>
    <w:rsid w:val="00E06081"/>
    <w:rsid w:val="00E076AB"/>
    <w:rsid w:val="00E077D8"/>
    <w:rsid w:val="00E1125D"/>
    <w:rsid w:val="00E1407D"/>
    <w:rsid w:val="00E157B7"/>
    <w:rsid w:val="00E17C1E"/>
    <w:rsid w:val="00E17F5D"/>
    <w:rsid w:val="00E20837"/>
    <w:rsid w:val="00E218EC"/>
    <w:rsid w:val="00E229A4"/>
    <w:rsid w:val="00E22F34"/>
    <w:rsid w:val="00E25582"/>
    <w:rsid w:val="00E25D20"/>
    <w:rsid w:val="00E26691"/>
    <w:rsid w:val="00E2685A"/>
    <w:rsid w:val="00E26CAC"/>
    <w:rsid w:val="00E277D4"/>
    <w:rsid w:val="00E27D80"/>
    <w:rsid w:val="00E31843"/>
    <w:rsid w:val="00E31CD0"/>
    <w:rsid w:val="00E32558"/>
    <w:rsid w:val="00E32890"/>
    <w:rsid w:val="00E3335A"/>
    <w:rsid w:val="00E36FAB"/>
    <w:rsid w:val="00E37596"/>
    <w:rsid w:val="00E377C5"/>
    <w:rsid w:val="00E41CD3"/>
    <w:rsid w:val="00E41F95"/>
    <w:rsid w:val="00E43039"/>
    <w:rsid w:val="00E4338F"/>
    <w:rsid w:val="00E43909"/>
    <w:rsid w:val="00E44388"/>
    <w:rsid w:val="00E44FAA"/>
    <w:rsid w:val="00E46547"/>
    <w:rsid w:val="00E478F3"/>
    <w:rsid w:val="00E47EAE"/>
    <w:rsid w:val="00E51B15"/>
    <w:rsid w:val="00E5222A"/>
    <w:rsid w:val="00E52B14"/>
    <w:rsid w:val="00E52DFC"/>
    <w:rsid w:val="00E53A2F"/>
    <w:rsid w:val="00E53A81"/>
    <w:rsid w:val="00E54068"/>
    <w:rsid w:val="00E556F9"/>
    <w:rsid w:val="00E55A99"/>
    <w:rsid w:val="00E5744E"/>
    <w:rsid w:val="00E60523"/>
    <w:rsid w:val="00E61663"/>
    <w:rsid w:val="00E62A53"/>
    <w:rsid w:val="00E63079"/>
    <w:rsid w:val="00E63C13"/>
    <w:rsid w:val="00E654B0"/>
    <w:rsid w:val="00E6609A"/>
    <w:rsid w:val="00E664F4"/>
    <w:rsid w:val="00E70886"/>
    <w:rsid w:val="00E70A69"/>
    <w:rsid w:val="00E7143B"/>
    <w:rsid w:val="00E71A52"/>
    <w:rsid w:val="00E73152"/>
    <w:rsid w:val="00E75032"/>
    <w:rsid w:val="00E75550"/>
    <w:rsid w:val="00E763B3"/>
    <w:rsid w:val="00E76F5E"/>
    <w:rsid w:val="00E774EF"/>
    <w:rsid w:val="00E809F4"/>
    <w:rsid w:val="00E85399"/>
    <w:rsid w:val="00E86CB2"/>
    <w:rsid w:val="00E86E2F"/>
    <w:rsid w:val="00E86FCF"/>
    <w:rsid w:val="00E87701"/>
    <w:rsid w:val="00E90057"/>
    <w:rsid w:val="00E903A0"/>
    <w:rsid w:val="00E90A21"/>
    <w:rsid w:val="00E91B40"/>
    <w:rsid w:val="00E93338"/>
    <w:rsid w:val="00E93FA0"/>
    <w:rsid w:val="00E95619"/>
    <w:rsid w:val="00E95B03"/>
    <w:rsid w:val="00E95CBA"/>
    <w:rsid w:val="00E96812"/>
    <w:rsid w:val="00E97C8F"/>
    <w:rsid w:val="00EA04AB"/>
    <w:rsid w:val="00EA14FC"/>
    <w:rsid w:val="00EA2A88"/>
    <w:rsid w:val="00EA2C8A"/>
    <w:rsid w:val="00EA4403"/>
    <w:rsid w:val="00EA5547"/>
    <w:rsid w:val="00EA654C"/>
    <w:rsid w:val="00EA76F8"/>
    <w:rsid w:val="00EB0879"/>
    <w:rsid w:val="00EB161C"/>
    <w:rsid w:val="00EB1CF2"/>
    <w:rsid w:val="00EB39A7"/>
    <w:rsid w:val="00EB3C90"/>
    <w:rsid w:val="00EB4D4D"/>
    <w:rsid w:val="00EB4EAD"/>
    <w:rsid w:val="00EB5D96"/>
    <w:rsid w:val="00EB6354"/>
    <w:rsid w:val="00EB6B38"/>
    <w:rsid w:val="00EB6CDE"/>
    <w:rsid w:val="00EB7733"/>
    <w:rsid w:val="00EC0561"/>
    <w:rsid w:val="00EC08BA"/>
    <w:rsid w:val="00EC19C0"/>
    <w:rsid w:val="00EC1AF9"/>
    <w:rsid w:val="00EC3536"/>
    <w:rsid w:val="00EC36C9"/>
    <w:rsid w:val="00EC597A"/>
    <w:rsid w:val="00EC5C8E"/>
    <w:rsid w:val="00EC6782"/>
    <w:rsid w:val="00EC734B"/>
    <w:rsid w:val="00EC7437"/>
    <w:rsid w:val="00ED12DC"/>
    <w:rsid w:val="00ED1B76"/>
    <w:rsid w:val="00ED3171"/>
    <w:rsid w:val="00ED3EBC"/>
    <w:rsid w:val="00ED46A0"/>
    <w:rsid w:val="00ED4C3C"/>
    <w:rsid w:val="00ED548C"/>
    <w:rsid w:val="00ED63A3"/>
    <w:rsid w:val="00ED7603"/>
    <w:rsid w:val="00ED7F68"/>
    <w:rsid w:val="00EE10E8"/>
    <w:rsid w:val="00EE15C2"/>
    <w:rsid w:val="00EE3851"/>
    <w:rsid w:val="00EE4630"/>
    <w:rsid w:val="00EE489B"/>
    <w:rsid w:val="00EE506F"/>
    <w:rsid w:val="00EE72F8"/>
    <w:rsid w:val="00EE737C"/>
    <w:rsid w:val="00EE7DCF"/>
    <w:rsid w:val="00EF00D7"/>
    <w:rsid w:val="00EF05F6"/>
    <w:rsid w:val="00EF07B7"/>
    <w:rsid w:val="00EF4E8A"/>
    <w:rsid w:val="00EF5D96"/>
    <w:rsid w:val="00EF5EAD"/>
    <w:rsid w:val="00EF68D7"/>
    <w:rsid w:val="00EF68D8"/>
    <w:rsid w:val="00EF6907"/>
    <w:rsid w:val="00EF7312"/>
    <w:rsid w:val="00F007B9"/>
    <w:rsid w:val="00F0159A"/>
    <w:rsid w:val="00F031B8"/>
    <w:rsid w:val="00F03C2D"/>
    <w:rsid w:val="00F04D59"/>
    <w:rsid w:val="00F056E2"/>
    <w:rsid w:val="00F0666B"/>
    <w:rsid w:val="00F06FCD"/>
    <w:rsid w:val="00F1009E"/>
    <w:rsid w:val="00F10597"/>
    <w:rsid w:val="00F11845"/>
    <w:rsid w:val="00F119FE"/>
    <w:rsid w:val="00F11B08"/>
    <w:rsid w:val="00F128FC"/>
    <w:rsid w:val="00F12FCB"/>
    <w:rsid w:val="00F13467"/>
    <w:rsid w:val="00F13CB2"/>
    <w:rsid w:val="00F13F73"/>
    <w:rsid w:val="00F14119"/>
    <w:rsid w:val="00F15242"/>
    <w:rsid w:val="00F159C4"/>
    <w:rsid w:val="00F15BF6"/>
    <w:rsid w:val="00F174C7"/>
    <w:rsid w:val="00F2031A"/>
    <w:rsid w:val="00F2081D"/>
    <w:rsid w:val="00F21143"/>
    <w:rsid w:val="00F2144D"/>
    <w:rsid w:val="00F21680"/>
    <w:rsid w:val="00F221C7"/>
    <w:rsid w:val="00F227D4"/>
    <w:rsid w:val="00F23110"/>
    <w:rsid w:val="00F24871"/>
    <w:rsid w:val="00F24883"/>
    <w:rsid w:val="00F24D61"/>
    <w:rsid w:val="00F2652A"/>
    <w:rsid w:val="00F27314"/>
    <w:rsid w:val="00F27909"/>
    <w:rsid w:val="00F27E9A"/>
    <w:rsid w:val="00F302D7"/>
    <w:rsid w:val="00F30742"/>
    <w:rsid w:val="00F30B11"/>
    <w:rsid w:val="00F31415"/>
    <w:rsid w:val="00F324B2"/>
    <w:rsid w:val="00F32D3D"/>
    <w:rsid w:val="00F340A3"/>
    <w:rsid w:val="00F35D89"/>
    <w:rsid w:val="00F36F07"/>
    <w:rsid w:val="00F37DB5"/>
    <w:rsid w:val="00F40860"/>
    <w:rsid w:val="00F41106"/>
    <w:rsid w:val="00F41F05"/>
    <w:rsid w:val="00F43388"/>
    <w:rsid w:val="00F44738"/>
    <w:rsid w:val="00F44E77"/>
    <w:rsid w:val="00F45504"/>
    <w:rsid w:val="00F46C26"/>
    <w:rsid w:val="00F473CD"/>
    <w:rsid w:val="00F47D7D"/>
    <w:rsid w:val="00F5053F"/>
    <w:rsid w:val="00F515D9"/>
    <w:rsid w:val="00F527A5"/>
    <w:rsid w:val="00F5353D"/>
    <w:rsid w:val="00F53673"/>
    <w:rsid w:val="00F53894"/>
    <w:rsid w:val="00F54F23"/>
    <w:rsid w:val="00F5567C"/>
    <w:rsid w:val="00F565D9"/>
    <w:rsid w:val="00F6046F"/>
    <w:rsid w:val="00F605A3"/>
    <w:rsid w:val="00F60BE9"/>
    <w:rsid w:val="00F60C6D"/>
    <w:rsid w:val="00F60EA6"/>
    <w:rsid w:val="00F61769"/>
    <w:rsid w:val="00F620EF"/>
    <w:rsid w:val="00F63F15"/>
    <w:rsid w:val="00F64665"/>
    <w:rsid w:val="00F64B13"/>
    <w:rsid w:val="00F66528"/>
    <w:rsid w:val="00F702BB"/>
    <w:rsid w:val="00F711E3"/>
    <w:rsid w:val="00F737BC"/>
    <w:rsid w:val="00F74253"/>
    <w:rsid w:val="00F74389"/>
    <w:rsid w:val="00F75742"/>
    <w:rsid w:val="00F762FA"/>
    <w:rsid w:val="00F77259"/>
    <w:rsid w:val="00F805F3"/>
    <w:rsid w:val="00F814C1"/>
    <w:rsid w:val="00F82333"/>
    <w:rsid w:val="00F835D9"/>
    <w:rsid w:val="00F8465A"/>
    <w:rsid w:val="00F84ACE"/>
    <w:rsid w:val="00F84D21"/>
    <w:rsid w:val="00F873A7"/>
    <w:rsid w:val="00F874CF"/>
    <w:rsid w:val="00F874E5"/>
    <w:rsid w:val="00F87D36"/>
    <w:rsid w:val="00F90793"/>
    <w:rsid w:val="00F912A7"/>
    <w:rsid w:val="00F91576"/>
    <w:rsid w:val="00F91AAA"/>
    <w:rsid w:val="00F91ACB"/>
    <w:rsid w:val="00F91FCA"/>
    <w:rsid w:val="00F92C2F"/>
    <w:rsid w:val="00F93993"/>
    <w:rsid w:val="00F93C4F"/>
    <w:rsid w:val="00F950C2"/>
    <w:rsid w:val="00F95258"/>
    <w:rsid w:val="00F97B78"/>
    <w:rsid w:val="00F97D28"/>
    <w:rsid w:val="00FA1189"/>
    <w:rsid w:val="00FA2140"/>
    <w:rsid w:val="00FA2758"/>
    <w:rsid w:val="00FA36B7"/>
    <w:rsid w:val="00FA3919"/>
    <w:rsid w:val="00FA3BB5"/>
    <w:rsid w:val="00FA42C7"/>
    <w:rsid w:val="00FA69E8"/>
    <w:rsid w:val="00FA6A2B"/>
    <w:rsid w:val="00FA74CD"/>
    <w:rsid w:val="00FA7858"/>
    <w:rsid w:val="00FB05EE"/>
    <w:rsid w:val="00FB1303"/>
    <w:rsid w:val="00FB1DF3"/>
    <w:rsid w:val="00FB204E"/>
    <w:rsid w:val="00FB3C83"/>
    <w:rsid w:val="00FB581B"/>
    <w:rsid w:val="00FB5D5C"/>
    <w:rsid w:val="00FB67B8"/>
    <w:rsid w:val="00FB6E86"/>
    <w:rsid w:val="00FB7D26"/>
    <w:rsid w:val="00FC16EE"/>
    <w:rsid w:val="00FC24C5"/>
    <w:rsid w:val="00FC2653"/>
    <w:rsid w:val="00FC45BB"/>
    <w:rsid w:val="00FC5363"/>
    <w:rsid w:val="00FD01A1"/>
    <w:rsid w:val="00FD0352"/>
    <w:rsid w:val="00FD14C2"/>
    <w:rsid w:val="00FD15DD"/>
    <w:rsid w:val="00FD1BA7"/>
    <w:rsid w:val="00FD2212"/>
    <w:rsid w:val="00FD24B6"/>
    <w:rsid w:val="00FD4063"/>
    <w:rsid w:val="00FD5014"/>
    <w:rsid w:val="00FD55E0"/>
    <w:rsid w:val="00FD58E9"/>
    <w:rsid w:val="00FD6283"/>
    <w:rsid w:val="00FD6C91"/>
    <w:rsid w:val="00FD6D10"/>
    <w:rsid w:val="00FD7B84"/>
    <w:rsid w:val="00FD7C9B"/>
    <w:rsid w:val="00FE0030"/>
    <w:rsid w:val="00FE0219"/>
    <w:rsid w:val="00FE0543"/>
    <w:rsid w:val="00FE1D70"/>
    <w:rsid w:val="00FE266B"/>
    <w:rsid w:val="00FE3F9E"/>
    <w:rsid w:val="00FE4128"/>
    <w:rsid w:val="00FE444E"/>
    <w:rsid w:val="00FE482E"/>
    <w:rsid w:val="00FE4DCD"/>
    <w:rsid w:val="00FE52AB"/>
    <w:rsid w:val="00FE60ED"/>
    <w:rsid w:val="00FE7B3E"/>
    <w:rsid w:val="00FF0313"/>
    <w:rsid w:val="00FF058E"/>
    <w:rsid w:val="00FF0B47"/>
    <w:rsid w:val="00FF15B8"/>
    <w:rsid w:val="00FF202B"/>
    <w:rsid w:val="00FF246E"/>
    <w:rsid w:val="00FF35AF"/>
    <w:rsid w:val="00FF4456"/>
    <w:rsid w:val="00FF4596"/>
    <w:rsid w:val="00FF48A6"/>
    <w:rsid w:val="00FF5550"/>
    <w:rsid w:val="00FF5866"/>
    <w:rsid w:val="00FF62A8"/>
    <w:rsid w:val="00FF6E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B43CF6"/>
  <w15:docId w15:val="{45E7440E-B071-444A-AB83-CBA624D99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7603"/>
    <w:pPr>
      <w:keepNext/>
      <w:keepLines/>
      <w:spacing w:before="360" w:after="240"/>
      <w:outlineLvl w:val="0"/>
    </w:pPr>
    <w:rPr>
      <w:rFonts w:asciiTheme="majorHAnsi" w:eastAsiaTheme="majorEastAsia" w:hAnsiTheme="majorHAnsi" w:cstheme="majorBidi"/>
      <w:b/>
      <w:sz w:val="28"/>
      <w:szCs w:val="32"/>
    </w:rPr>
  </w:style>
  <w:style w:type="paragraph" w:styleId="Heading2">
    <w:name w:val="heading 2"/>
    <w:basedOn w:val="Normal"/>
    <w:next w:val="Normal"/>
    <w:link w:val="Heading2Char"/>
    <w:uiPriority w:val="9"/>
    <w:unhideWhenUsed/>
    <w:qFormat/>
    <w:rsid w:val="00C54AEF"/>
    <w:pPr>
      <w:keepNext/>
      <w:keepLines/>
      <w:spacing w:before="160" w:after="120" w:line="360" w:lineRule="auto"/>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unhideWhenUsed/>
    <w:qFormat/>
    <w:rsid w:val="009B6369"/>
    <w:pPr>
      <w:keepNext/>
      <w:keepLines/>
      <w:spacing w:before="40" w:line="480" w:lineRule="auto"/>
      <w:outlineLvl w:val="2"/>
    </w:pPr>
    <w:rPr>
      <w:rFonts w:eastAsiaTheme="majorEastAsia" w:cstheme="majorBidi"/>
      <w:i/>
      <w:szCs w:val="24"/>
    </w:rPr>
  </w:style>
  <w:style w:type="paragraph" w:styleId="Heading4">
    <w:name w:val="heading 4"/>
    <w:basedOn w:val="Normal"/>
    <w:next w:val="Normal"/>
    <w:link w:val="Heading4Char"/>
    <w:uiPriority w:val="9"/>
    <w:unhideWhenUsed/>
    <w:qFormat/>
    <w:rsid w:val="000414F6"/>
    <w:pPr>
      <w:keepNext/>
      <w:keepLines/>
      <w:spacing w:before="40" w:after="0" w:line="480" w:lineRule="auto"/>
      <w:outlineLvl w:val="3"/>
    </w:pPr>
    <w:rPr>
      <w:rFonts w:asciiTheme="majorHAnsi" w:eastAsiaTheme="majorEastAsia" w:hAnsiTheme="majorHAnsi" w:cstheme="majorBidi"/>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7603"/>
    <w:rPr>
      <w:rFonts w:asciiTheme="majorHAnsi" w:eastAsiaTheme="majorEastAsia" w:hAnsiTheme="majorHAnsi" w:cstheme="majorBidi"/>
      <w:b/>
      <w:sz w:val="28"/>
      <w:szCs w:val="32"/>
    </w:rPr>
  </w:style>
  <w:style w:type="character" w:customStyle="1" w:styleId="Heading2Char">
    <w:name w:val="Heading 2 Char"/>
    <w:basedOn w:val="DefaultParagraphFont"/>
    <w:link w:val="Heading2"/>
    <w:uiPriority w:val="9"/>
    <w:rsid w:val="00C54AEF"/>
    <w:rPr>
      <w:rFonts w:asciiTheme="majorHAnsi" w:eastAsiaTheme="majorEastAsia" w:hAnsiTheme="majorHAnsi" w:cstheme="majorBidi"/>
      <w:b/>
      <w:szCs w:val="26"/>
    </w:rPr>
  </w:style>
  <w:style w:type="character" w:styleId="CommentReference">
    <w:name w:val="annotation reference"/>
    <w:basedOn w:val="DefaultParagraphFont"/>
    <w:uiPriority w:val="99"/>
    <w:semiHidden/>
    <w:unhideWhenUsed/>
    <w:rsid w:val="00914C06"/>
    <w:rPr>
      <w:sz w:val="16"/>
      <w:szCs w:val="16"/>
    </w:rPr>
  </w:style>
  <w:style w:type="paragraph" w:styleId="CommentText">
    <w:name w:val="annotation text"/>
    <w:basedOn w:val="Normal"/>
    <w:link w:val="CommentTextChar"/>
    <w:uiPriority w:val="99"/>
    <w:unhideWhenUsed/>
    <w:rsid w:val="00914C06"/>
    <w:pPr>
      <w:spacing w:line="240" w:lineRule="auto"/>
    </w:pPr>
    <w:rPr>
      <w:sz w:val="20"/>
      <w:szCs w:val="20"/>
    </w:rPr>
  </w:style>
  <w:style w:type="character" w:customStyle="1" w:styleId="CommentTextChar">
    <w:name w:val="Comment Text Char"/>
    <w:basedOn w:val="DefaultParagraphFont"/>
    <w:link w:val="CommentText"/>
    <w:uiPriority w:val="99"/>
    <w:rsid w:val="00914C06"/>
    <w:rPr>
      <w:sz w:val="20"/>
      <w:szCs w:val="20"/>
    </w:rPr>
  </w:style>
  <w:style w:type="paragraph" w:styleId="CommentSubject">
    <w:name w:val="annotation subject"/>
    <w:basedOn w:val="CommentText"/>
    <w:next w:val="CommentText"/>
    <w:link w:val="CommentSubjectChar"/>
    <w:uiPriority w:val="99"/>
    <w:semiHidden/>
    <w:unhideWhenUsed/>
    <w:rsid w:val="00914C06"/>
    <w:rPr>
      <w:b/>
      <w:bCs/>
    </w:rPr>
  </w:style>
  <w:style w:type="character" w:customStyle="1" w:styleId="CommentSubjectChar">
    <w:name w:val="Comment Subject Char"/>
    <w:basedOn w:val="CommentTextChar"/>
    <w:link w:val="CommentSubject"/>
    <w:uiPriority w:val="99"/>
    <w:semiHidden/>
    <w:rsid w:val="00914C06"/>
    <w:rPr>
      <w:b/>
      <w:bCs/>
      <w:sz w:val="20"/>
      <w:szCs w:val="20"/>
    </w:rPr>
  </w:style>
  <w:style w:type="paragraph" w:styleId="BalloonText">
    <w:name w:val="Balloon Text"/>
    <w:basedOn w:val="Normal"/>
    <w:link w:val="BalloonTextChar"/>
    <w:uiPriority w:val="99"/>
    <w:semiHidden/>
    <w:unhideWhenUsed/>
    <w:rsid w:val="00914C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4C06"/>
    <w:rPr>
      <w:rFonts w:ascii="Segoe UI" w:hAnsi="Segoe UI" w:cs="Segoe UI"/>
      <w:sz w:val="18"/>
      <w:szCs w:val="18"/>
    </w:rPr>
  </w:style>
  <w:style w:type="table" w:styleId="TableGrid">
    <w:name w:val="Table Grid"/>
    <w:basedOn w:val="TableNormal"/>
    <w:uiPriority w:val="39"/>
    <w:rsid w:val="000349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130"/>
    <w:pPr>
      <w:ind w:left="720"/>
      <w:contextualSpacing/>
    </w:pPr>
  </w:style>
  <w:style w:type="paragraph" w:styleId="NoSpacing">
    <w:name w:val="No Spacing"/>
    <w:uiPriority w:val="1"/>
    <w:qFormat/>
    <w:rsid w:val="00723CB8"/>
    <w:pPr>
      <w:spacing w:after="0" w:line="240" w:lineRule="auto"/>
    </w:pPr>
  </w:style>
  <w:style w:type="paragraph" w:styleId="Caption">
    <w:name w:val="caption"/>
    <w:basedOn w:val="Normal"/>
    <w:next w:val="Normal"/>
    <w:uiPriority w:val="35"/>
    <w:unhideWhenUsed/>
    <w:qFormat/>
    <w:rsid w:val="00781910"/>
    <w:pPr>
      <w:spacing w:after="200" w:line="240" w:lineRule="auto"/>
    </w:pPr>
    <w:rPr>
      <w:i/>
      <w:iCs/>
      <w:color w:val="44546A" w:themeColor="text2"/>
      <w:sz w:val="18"/>
      <w:szCs w:val="18"/>
    </w:rPr>
  </w:style>
  <w:style w:type="character" w:styleId="Hyperlink">
    <w:name w:val="Hyperlink"/>
    <w:basedOn w:val="DefaultParagraphFont"/>
    <w:uiPriority w:val="99"/>
    <w:unhideWhenUsed/>
    <w:rsid w:val="009C23D7"/>
    <w:rPr>
      <w:color w:val="0563C1" w:themeColor="hyperlink"/>
      <w:u w:val="single"/>
    </w:rPr>
  </w:style>
  <w:style w:type="paragraph" w:customStyle="1" w:styleId="EndNoteBibliographyTitle">
    <w:name w:val="EndNote Bibliography Title"/>
    <w:basedOn w:val="Normal"/>
    <w:link w:val="EndNoteBibliographyTitleChar"/>
    <w:rsid w:val="003106A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106AB"/>
    <w:rPr>
      <w:rFonts w:ascii="Calibri" w:hAnsi="Calibri" w:cs="Calibri"/>
      <w:noProof/>
      <w:lang w:val="en-US"/>
    </w:rPr>
  </w:style>
  <w:style w:type="paragraph" w:customStyle="1" w:styleId="EndNoteBibliography">
    <w:name w:val="EndNote Bibliography"/>
    <w:basedOn w:val="Normal"/>
    <w:link w:val="EndNoteBibliographyChar"/>
    <w:rsid w:val="003106A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106AB"/>
    <w:rPr>
      <w:rFonts w:ascii="Calibri" w:hAnsi="Calibri" w:cs="Calibri"/>
      <w:noProof/>
      <w:lang w:val="en-US"/>
    </w:rPr>
  </w:style>
  <w:style w:type="paragraph" w:styleId="Header">
    <w:name w:val="header"/>
    <w:basedOn w:val="Normal"/>
    <w:link w:val="HeaderChar"/>
    <w:uiPriority w:val="99"/>
    <w:unhideWhenUsed/>
    <w:rsid w:val="00F91A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1AAA"/>
  </w:style>
  <w:style w:type="paragraph" w:styleId="Footer">
    <w:name w:val="footer"/>
    <w:basedOn w:val="Normal"/>
    <w:link w:val="FooterChar"/>
    <w:uiPriority w:val="99"/>
    <w:unhideWhenUsed/>
    <w:rsid w:val="00F91A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1AAA"/>
  </w:style>
  <w:style w:type="paragraph" w:styleId="NormalWeb">
    <w:name w:val="Normal (Web)"/>
    <w:basedOn w:val="Normal"/>
    <w:uiPriority w:val="99"/>
    <w:semiHidden/>
    <w:unhideWhenUsed/>
    <w:rsid w:val="008D4F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9B6369"/>
    <w:rPr>
      <w:rFonts w:eastAsiaTheme="majorEastAsia" w:cstheme="majorBidi"/>
      <w:i/>
      <w:szCs w:val="24"/>
    </w:rPr>
  </w:style>
  <w:style w:type="character" w:styleId="FollowedHyperlink">
    <w:name w:val="FollowedHyperlink"/>
    <w:basedOn w:val="DefaultParagraphFont"/>
    <w:uiPriority w:val="99"/>
    <w:semiHidden/>
    <w:unhideWhenUsed/>
    <w:rsid w:val="008C39E0"/>
    <w:rPr>
      <w:color w:val="954F72" w:themeColor="followedHyperlink"/>
      <w:u w:val="single"/>
    </w:rPr>
  </w:style>
  <w:style w:type="paragraph" w:styleId="Revision">
    <w:name w:val="Revision"/>
    <w:hidden/>
    <w:uiPriority w:val="99"/>
    <w:semiHidden/>
    <w:rsid w:val="00800A64"/>
    <w:pPr>
      <w:spacing w:after="0" w:line="240" w:lineRule="auto"/>
    </w:pPr>
  </w:style>
  <w:style w:type="character" w:customStyle="1" w:styleId="Heading4Char">
    <w:name w:val="Heading 4 Char"/>
    <w:basedOn w:val="DefaultParagraphFont"/>
    <w:link w:val="Heading4"/>
    <w:uiPriority w:val="9"/>
    <w:rsid w:val="000414F6"/>
    <w:rPr>
      <w:rFonts w:asciiTheme="majorHAnsi" w:eastAsiaTheme="majorEastAsia" w:hAnsiTheme="majorHAnsi" w:cstheme="majorBidi"/>
      <w:i/>
      <w:iCs/>
    </w:rPr>
  </w:style>
  <w:style w:type="character" w:customStyle="1" w:styleId="UnresolvedMention1">
    <w:name w:val="Unresolved Mention1"/>
    <w:basedOn w:val="DefaultParagraphFont"/>
    <w:uiPriority w:val="99"/>
    <w:semiHidden/>
    <w:unhideWhenUsed/>
    <w:rsid w:val="0014537E"/>
    <w:rPr>
      <w:color w:val="605E5C"/>
      <w:shd w:val="clear" w:color="auto" w:fill="E1DFDD"/>
    </w:rPr>
  </w:style>
  <w:style w:type="character" w:styleId="UnresolvedMention">
    <w:name w:val="Unresolved Mention"/>
    <w:basedOn w:val="DefaultParagraphFont"/>
    <w:uiPriority w:val="99"/>
    <w:semiHidden/>
    <w:unhideWhenUsed/>
    <w:rsid w:val="00A76E71"/>
    <w:rPr>
      <w:color w:val="605E5C"/>
      <w:shd w:val="clear" w:color="auto" w:fill="E1DFDD"/>
    </w:rPr>
  </w:style>
  <w:style w:type="character" w:styleId="Strong">
    <w:name w:val="Strong"/>
    <w:basedOn w:val="DefaultParagraphFont"/>
    <w:uiPriority w:val="22"/>
    <w:qFormat/>
    <w:rsid w:val="005901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19317">
      <w:bodyDiv w:val="1"/>
      <w:marLeft w:val="0"/>
      <w:marRight w:val="0"/>
      <w:marTop w:val="0"/>
      <w:marBottom w:val="0"/>
      <w:divBdr>
        <w:top w:val="none" w:sz="0" w:space="0" w:color="auto"/>
        <w:left w:val="none" w:sz="0" w:space="0" w:color="auto"/>
        <w:bottom w:val="none" w:sz="0" w:space="0" w:color="auto"/>
        <w:right w:val="none" w:sz="0" w:space="0" w:color="auto"/>
      </w:divBdr>
    </w:div>
    <w:div w:id="137846655">
      <w:bodyDiv w:val="1"/>
      <w:marLeft w:val="0"/>
      <w:marRight w:val="0"/>
      <w:marTop w:val="0"/>
      <w:marBottom w:val="0"/>
      <w:divBdr>
        <w:top w:val="none" w:sz="0" w:space="0" w:color="auto"/>
        <w:left w:val="none" w:sz="0" w:space="0" w:color="auto"/>
        <w:bottom w:val="none" w:sz="0" w:space="0" w:color="auto"/>
        <w:right w:val="none" w:sz="0" w:space="0" w:color="auto"/>
      </w:divBdr>
    </w:div>
    <w:div w:id="313607068">
      <w:bodyDiv w:val="1"/>
      <w:marLeft w:val="0"/>
      <w:marRight w:val="0"/>
      <w:marTop w:val="0"/>
      <w:marBottom w:val="0"/>
      <w:divBdr>
        <w:top w:val="none" w:sz="0" w:space="0" w:color="auto"/>
        <w:left w:val="none" w:sz="0" w:space="0" w:color="auto"/>
        <w:bottom w:val="none" w:sz="0" w:space="0" w:color="auto"/>
        <w:right w:val="none" w:sz="0" w:space="0" w:color="auto"/>
      </w:divBdr>
    </w:div>
    <w:div w:id="581767260">
      <w:bodyDiv w:val="1"/>
      <w:marLeft w:val="0"/>
      <w:marRight w:val="0"/>
      <w:marTop w:val="0"/>
      <w:marBottom w:val="0"/>
      <w:divBdr>
        <w:top w:val="none" w:sz="0" w:space="0" w:color="auto"/>
        <w:left w:val="none" w:sz="0" w:space="0" w:color="auto"/>
        <w:bottom w:val="none" w:sz="0" w:space="0" w:color="auto"/>
        <w:right w:val="none" w:sz="0" w:space="0" w:color="auto"/>
      </w:divBdr>
    </w:div>
    <w:div w:id="642194421">
      <w:bodyDiv w:val="1"/>
      <w:marLeft w:val="0"/>
      <w:marRight w:val="0"/>
      <w:marTop w:val="0"/>
      <w:marBottom w:val="0"/>
      <w:divBdr>
        <w:top w:val="none" w:sz="0" w:space="0" w:color="auto"/>
        <w:left w:val="none" w:sz="0" w:space="0" w:color="auto"/>
        <w:bottom w:val="none" w:sz="0" w:space="0" w:color="auto"/>
        <w:right w:val="none" w:sz="0" w:space="0" w:color="auto"/>
      </w:divBdr>
    </w:div>
    <w:div w:id="654379527">
      <w:bodyDiv w:val="1"/>
      <w:marLeft w:val="0"/>
      <w:marRight w:val="0"/>
      <w:marTop w:val="0"/>
      <w:marBottom w:val="0"/>
      <w:divBdr>
        <w:top w:val="none" w:sz="0" w:space="0" w:color="auto"/>
        <w:left w:val="none" w:sz="0" w:space="0" w:color="auto"/>
        <w:bottom w:val="none" w:sz="0" w:space="0" w:color="auto"/>
        <w:right w:val="none" w:sz="0" w:space="0" w:color="auto"/>
      </w:divBdr>
      <w:divsChild>
        <w:div w:id="196771179">
          <w:marLeft w:val="0"/>
          <w:marRight w:val="0"/>
          <w:marTop w:val="0"/>
          <w:marBottom w:val="0"/>
          <w:divBdr>
            <w:top w:val="none" w:sz="0" w:space="0" w:color="auto"/>
            <w:left w:val="none" w:sz="0" w:space="0" w:color="auto"/>
            <w:bottom w:val="none" w:sz="0" w:space="0" w:color="auto"/>
            <w:right w:val="none" w:sz="0" w:space="0" w:color="auto"/>
          </w:divBdr>
        </w:div>
        <w:div w:id="251470620">
          <w:marLeft w:val="0"/>
          <w:marRight w:val="0"/>
          <w:marTop w:val="0"/>
          <w:marBottom w:val="0"/>
          <w:divBdr>
            <w:top w:val="none" w:sz="0" w:space="0" w:color="auto"/>
            <w:left w:val="none" w:sz="0" w:space="0" w:color="auto"/>
            <w:bottom w:val="none" w:sz="0" w:space="0" w:color="auto"/>
            <w:right w:val="none" w:sz="0" w:space="0" w:color="auto"/>
          </w:divBdr>
        </w:div>
      </w:divsChild>
    </w:div>
    <w:div w:id="715272589">
      <w:bodyDiv w:val="1"/>
      <w:marLeft w:val="0"/>
      <w:marRight w:val="0"/>
      <w:marTop w:val="0"/>
      <w:marBottom w:val="0"/>
      <w:divBdr>
        <w:top w:val="none" w:sz="0" w:space="0" w:color="auto"/>
        <w:left w:val="none" w:sz="0" w:space="0" w:color="auto"/>
        <w:bottom w:val="none" w:sz="0" w:space="0" w:color="auto"/>
        <w:right w:val="none" w:sz="0" w:space="0" w:color="auto"/>
      </w:divBdr>
    </w:div>
    <w:div w:id="871456507">
      <w:bodyDiv w:val="1"/>
      <w:marLeft w:val="0"/>
      <w:marRight w:val="0"/>
      <w:marTop w:val="0"/>
      <w:marBottom w:val="0"/>
      <w:divBdr>
        <w:top w:val="none" w:sz="0" w:space="0" w:color="auto"/>
        <w:left w:val="none" w:sz="0" w:space="0" w:color="auto"/>
        <w:bottom w:val="none" w:sz="0" w:space="0" w:color="auto"/>
        <w:right w:val="none" w:sz="0" w:space="0" w:color="auto"/>
      </w:divBdr>
    </w:div>
    <w:div w:id="883295529">
      <w:bodyDiv w:val="1"/>
      <w:marLeft w:val="0"/>
      <w:marRight w:val="0"/>
      <w:marTop w:val="0"/>
      <w:marBottom w:val="0"/>
      <w:divBdr>
        <w:top w:val="none" w:sz="0" w:space="0" w:color="auto"/>
        <w:left w:val="none" w:sz="0" w:space="0" w:color="auto"/>
        <w:bottom w:val="none" w:sz="0" w:space="0" w:color="auto"/>
        <w:right w:val="none" w:sz="0" w:space="0" w:color="auto"/>
      </w:divBdr>
    </w:div>
    <w:div w:id="921568985">
      <w:bodyDiv w:val="1"/>
      <w:marLeft w:val="0"/>
      <w:marRight w:val="0"/>
      <w:marTop w:val="0"/>
      <w:marBottom w:val="0"/>
      <w:divBdr>
        <w:top w:val="none" w:sz="0" w:space="0" w:color="auto"/>
        <w:left w:val="none" w:sz="0" w:space="0" w:color="auto"/>
        <w:bottom w:val="none" w:sz="0" w:space="0" w:color="auto"/>
        <w:right w:val="none" w:sz="0" w:space="0" w:color="auto"/>
      </w:divBdr>
      <w:divsChild>
        <w:div w:id="259340136">
          <w:marLeft w:val="0"/>
          <w:marRight w:val="0"/>
          <w:marTop w:val="0"/>
          <w:marBottom w:val="0"/>
          <w:divBdr>
            <w:top w:val="none" w:sz="0" w:space="0" w:color="auto"/>
            <w:left w:val="none" w:sz="0" w:space="0" w:color="auto"/>
            <w:bottom w:val="none" w:sz="0" w:space="0" w:color="auto"/>
            <w:right w:val="none" w:sz="0" w:space="0" w:color="auto"/>
          </w:divBdr>
        </w:div>
        <w:div w:id="598559917">
          <w:marLeft w:val="0"/>
          <w:marRight w:val="0"/>
          <w:marTop w:val="0"/>
          <w:marBottom w:val="0"/>
          <w:divBdr>
            <w:top w:val="none" w:sz="0" w:space="0" w:color="auto"/>
            <w:left w:val="none" w:sz="0" w:space="0" w:color="auto"/>
            <w:bottom w:val="none" w:sz="0" w:space="0" w:color="auto"/>
            <w:right w:val="none" w:sz="0" w:space="0" w:color="auto"/>
          </w:divBdr>
        </w:div>
        <w:div w:id="833956039">
          <w:marLeft w:val="0"/>
          <w:marRight w:val="0"/>
          <w:marTop w:val="0"/>
          <w:marBottom w:val="0"/>
          <w:divBdr>
            <w:top w:val="none" w:sz="0" w:space="0" w:color="auto"/>
            <w:left w:val="none" w:sz="0" w:space="0" w:color="auto"/>
            <w:bottom w:val="none" w:sz="0" w:space="0" w:color="auto"/>
            <w:right w:val="none" w:sz="0" w:space="0" w:color="auto"/>
          </w:divBdr>
        </w:div>
        <w:div w:id="1183202964">
          <w:marLeft w:val="0"/>
          <w:marRight w:val="0"/>
          <w:marTop w:val="0"/>
          <w:marBottom w:val="0"/>
          <w:divBdr>
            <w:top w:val="none" w:sz="0" w:space="0" w:color="auto"/>
            <w:left w:val="none" w:sz="0" w:space="0" w:color="auto"/>
            <w:bottom w:val="none" w:sz="0" w:space="0" w:color="auto"/>
            <w:right w:val="none" w:sz="0" w:space="0" w:color="auto"/>
          </w:divBdr>
        </w:div>
        <w:div w:id="1531992128">
          <w:marLeft w:val="0"/>
          <w:marRight w:val="0"/>
          <w:marTop w:val="0"/>
          <w:marBottom w:val="0"/>
          <w:divBdr>
            <w:top w:val="none" w:sz="0" w:space="0" w:color="auto"/>
            <w:left w:val="none" w:sz="0" w:space="0" w:color="auto"/>
            <w:bottom w:val="none" w:sz="0" w:space="0" w:color="auto"/>
            <w:right w:val="none" w:sz="0" w:space="0" w:color="auto"/>
          </w:divBdr>
        </w:div>
        <w:div w:id="1738438084">
          <w:marLeft w:val="0"/>
          <w:marRight w:val="0"/>
          <w:marTop w:val="0"/>
          <w:marBottom w:val="0"/>
          <w:divBdr>
            <w:top w:val="none" w:sz="0" w:space="0" w:color="auto"/>
            <w:left w:val="none" w:sz="0" w:space="0" w:color="auto"/>
            <w:bottom w:val="none" w:sz="0" w:space="0" w:color="auto"/>
            <w:right w:val="none" w:sz="0" w:space="0" w:color="auto"/>
          </w:divBdr>
        </w:div>
        <w:div w:id="1976064982">
          <w:marLeft w:val="0"/>
          <w:marRight w:val="0"/>
          <w:marTop w:val="0"/>
          <w:marBottom w:val="0"/>
          <w:divBdr>
            <w:top w:val="none" w:sz="0" w:space="0" w:color="auto"/>
            <w:left w:val="none" w:sz="0" w:space="0" w:color="auto"/>
            <w:bottom w:val="none" w:sz="0" w:space="0" w:color="auto"/>
            <w:right w:val="none" w:sz="0" w:space="0" w:color="auto"/>
          </w:divBdr>
        </w:div>
      </w:divsChild>
    </w:div>
    <w:div w:id="1163013927">
      <w:bodyDiv w:val="1"/>
      <w:marLeft w:val="0"/>
      <w:marRight w:val="0"/>
      <w:marTop w:val="0"/>
      <w:marBottom w:val="0"/>
      <w:divBdr>
        <w:top w:val="none" w:sz="0" w:space="0" w:color="auto"/>
        <w:left w:val="none" w:sz="0" w:space="0" w:color="auto"/>
        <w:bottom w:val="none" w:sz="0" w:space="0" w:color="auto"/>
        <w:right w:val="none" w:sz="0" w:space="0" w:color="auto"/>
      </w:divBdr>
    </w:div>
    <w:div w:id="1480684718">
      <w:bodyDiv w:val="1"/>
      <w:marLeft w:val="0"/>
      <w:marRight w:val="0"/>
      <w:marTop w:val="0"/>
      <w:marBottom w:val="0"/>
      <w:divBdr>
        <w:top w:val="none" w:sz="0" w:space="0" w:color="auto"/>
        <w:left w:val="none" w:sz="0" w:space="0" w:color="auto"/>
        <w:bottom w:val="none" w:sz="0" w:space="0" w:color="auto"/>
        <w:right w:val="none" w:sz="0" w:space="0" w:color="auto"/>
      </w:divBdr>
      <w:divsChild>
        <w:div w:id="958415375">
          <w:marLeft w:val="0"/>
          <w:marRight w:val="0"/>
          <w:marTop w:val="0"/>
          <w:marBottom w:val="0"/>
          <w:divBdr>
            <w:top w:val="none" w:sz="0" w:space="0" w:color="auto"/>
            <w:left w:val="none" w:sz="0" w:space="0" w:color="auto"/>
            <w:bottom w:val="none" w:sz="0" w:space="0" w:color="auto"/>
            <w:right w:val="none" w:sz="0" w:space="0" w:color="auto"/>
          </w:divBdr>
        </w:div>
        <w:div w:id="2131126821">
          <w:marLeft w:val="0"/>
          <w:marRight w:val="0"/>
          <w:marTop w:val="0"/>
          <w:marBottom w:val="0"/>
          <w:divBdr>
            <w:top w:val="none" w:sz="0" w:space="0" w:color="auto"/>
            <w:left w:val="none" w:sz="0" w:space="0" w:color="auto"/>
            <w:bottom w:val="none" w:sz="0" w:space="0" w:color="auto"/>
            <w:right w:val="none" w:sz="0" w:space="0" w:color="auto"/>
          </w:divBdr>
        </w:div>
      </w:divsChild>
    </w:div>
    <w:div w:id="1565528345">
      <w:bodyDiv w:val="1"/>
      <w:marLeft w:val="0"/>
      <w:marRight w:val="0"/>
      <w:marTop w:val="0"/>
      <w:marBottom w:val="0"/>
      <w:divBdr>
        <w:top w:val="none" w:sz="0" w:space="0" w:color="auto"/>
        <w:left w:val="none" w:sz="0" w:space="0" w:color="auto"/>
        <w:bottom w:val="none" w:sz="0" w:space="0" w:color="auto"/>
        <w:right w:val="none" w:sz="0" w:space="0" w:color="auto"/>
      </w:divBdr>
    </w:div>
    <w:div w:id="1578393940">
      <w:bodyDiv w:val="1"/>
      <w:marLeft w:val="0"/>
      <w:marRight w:val="0"/>
      <w:marTop w:val="0"/>
      <w:marBottom w:val="0"/>
      <w:divBdr>
        <w:top w:val="none" w:sz="0" w:space="0" w:color="auto"/>
        <w:left w:val="none" w:sz="0" w:space="0" w:color="auto"/>
        <w:bottom w:val="none" w:sz="0" w:space="0" w:color="auto"/>
        <w:right w:val="none" w:sz="0" w:space="0" w:color="auto"/>
      </w:divBdr>
    </w:div>
    <w:div w:id="1631015675">
      <w:bodyDiv w:val="1"/>
      <w:marLeft w:val="0"/>
      <w:marRight w:val="0"/>
      <w:marTop w:val="0"/>
      <w:marBottom w:val="0"/>
      <w:divBdr>
        <w:top w:val="none" w:sz="0" w:space="0" w:color="auto"/>
        <w:left w:val="none" w:sz="0" w:space="0" w:color="auto"/>
        <w:bottom w:val="none" w:sz="0" w:space="0" w:color="auto"/>
        <w:right w:val="none" w:sz="0" w:space="0" w:color="auto"/>
      </w:divBdr>
    </w:div>
    <w:div w:id="18239613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doi.org/10.1016/S0140-6736(12)61425-1"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3310/hta1028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016/j.jval.2019.07.00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doi.org/10.1017/s0266462309090229"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doi.org/10.3310/hta111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0366D0-216A-4BC5-984B-5410B4A4C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17661</Words>
  <Characters>100674</Characters>
  <Application>Microsoft Office Word</Application>
  <DocSecurity>0</DocSecurity>
  <Lines>838</Lines>
  <Paragraphs>236</Paragraphs>
  <ScaleCrop>false</ScaleCrop>
  <HeadingPairs>
    <vt:vector size="2" baseType="variant">
      <vt:variant>
        <vt:lpstr>Title</vt:lpstr>
      </vt:variant>
      <vt:variant>
        <vt:i4>1</vt:i4>
      </vt:variant>
    </vt:vector>
  </HeadingPairs>
  <TitlesOfParts>
    <vt:vector size="1" baseType="lpstr">
      <vt:lpstr/>
    </vt:vector>
  </TitlesOfParts>
  <Company>London School of Hygiene &amp; Tropical Medicine</Company>
  <LinksUpToDate>false</LinksUpToDate>
  <CharactersWithSpaces>118099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Jack Williams</dc:creator>
  <cp:lastModifiedBy>Jack Williams</cp:lastModifiedBy>
  <cp:revision>4</cp:revision>
  <cp:lastPrinted>2022-02-24T15:13:00Z</cp:lastPrinted>
  <dcterms:created xsi:type="dcterms:W3CDTF">2022-02-24T17:45:00Z</dcterms:created>
  <dcterms:modified xsi:type="dcterms:W3CDTF">2022-02-24T17:53:00Z</dcterms:modified>
</cp:coreProperties>
</file>