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4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Additional Materials </w:t>
      </w:r>
      <w:bookmarkStart w:id="9" w:name="_GoBack"/>
      <w:bookmarkEnd w:id="9"/>
    </w:p>
    <w:p>
      <w:pPr>
        <w:rPr>
          <w:rFonts w:cs="Times New Roman"/>
          <w:sz w:val="24"/>
          <w:lang w:val="en-GB"/>
        </w:rPr>
      </w:pPr>
    </w:p>
    <w:p>
      <w:pPr>
        <w:rPr>
          <w:rFonts w:cs="Times New Roman"/>
          <w:b/>
          <w:bCs/>
          <w:sz w:val="24"/>
          <w:lang w:val="en-GB"/>
        </w:rPr>
      </w:pPr>
      <w:bookmarkStart w:id="0" w:name="_Hlk98370904"/>
      <w:r>
        <w:rPr>
          <w:rFonts w:cs="Times New Roman"/>
          <w:b/>
          <w:bCs/>
          <w:sz w:val="24"/>
          <w:lang w:val="en-GB"/>
        </w:rPr>
        <w:t>Additional Table 1. Univariate cox analysis in the development cohort</w:t>
      </w:r>
    </w:p>
    <w:bookmarkEnd w:id="0"/>
    <w:tbl>
      <w:tblPr>
        <w:tblStyle w:val="9"/>
        <w:tblW w:w="0" w:type="auto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2"/>
        <w:gridCol w:w="1356"/>
        <w:gridCol w:w="709"/>
        <w:gridCol w:w="1417"/>
        <w:gridCol w:w="8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b/>
                <w:bCs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b/>
                <w:bCs/>
                <w:kern w:val="0"/>
                <w:sz w:val="24"/>
                <w:lang w:val="en-GB" w:bidi="ar"/>
              </w:rPr>
              <w:t>Basic characteristics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b/>
                <w:bCs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b/>
                <w:bCs/>
                <w:kern w:val="0"/>
                <w:sz w:val="24"/>
                <w:lang w:val="en-GB" w:bidi="ar"/>
              </w:rPr>
              <w:t>Coefficient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b/>
                <w:bCs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b/>
                <w:bCs/>
                <w:kern w:val="0"/>
                <w:sz w:val="24"/>
                <w:lang w:val="en-GB" w:bidi="ar"/>
              </w:rPr>
              <w:t>HR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b/>
                <w:bCs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b/>
                <w:bCs/>
                <w:kern w:val="0"/>
                <w:sz w:val="24"/>
                <w:lang w:val="en-GB" w:bidi="ar"/>
              </w:rPr>
              <w:t>95% CI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b/>
                <w:bCs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b/>
                <w:bCs/>
                <w:kern w:val="0"/>
                <w:sz w:val="24"/>
                <w:lang w:val="en-GB" w:bidi="ar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Age group, y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35–44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Reference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45–54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0.65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1.92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1.53–2.40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55–64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1.03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2.79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2.21–3.54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65–74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1,36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3.93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2.83–5.44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≥75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1.37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3.94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2.13–7.31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Male vs</w:t>
            </w:r>
            <w:r>
              <w:rPr>
                <w:rFonts w:eastAsia="宋体" w:cs="Times New Roman"/>
                <w:i/>
                <w:iCs/>
                <w:kern w:val="0"/>
                <w:sz w:val="24"/>
                <w:lang w:val="en-GB" w:bidi="ar"/>
              </w:rPr>
              <w:t>.</w:t>
            </w:r>
            <w:r>
              <w:rPr>
                <w:rFonts w:eastAsia="宋体" w:cs="Times New Roman"/>
                <w:kern w:val="0"/>
                <w:sz w:val="24"/>
                <w:lang w:val="en-GB" w:bidi="ar"/>
              </w:rPr>
              <w:t xml:space="preserve"> Female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0.11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1.21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0.95–1.33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Current smoking vs. No smoking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0.07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1.07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0.91–1.28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Current drinking vs. No drinking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0.06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1.06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0.87–1.28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BMI, kg/m</w:t>
            </w:r>
            <w:r>
              <w:rPr>
                <w:rFonts w:eastAsia="宋体" w:cs="Times New Roman"/>
                <w:kern w:val="0"/>
                <w:sz w:val="24"/>
                <w:vertAlign w:val="superscript"/>
                <w:lang w:val="en-GB" w:bidi="ar"/>
              </w:rPr>
              <w:t>2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&lt;0.01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≤24.9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Reference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25–29.9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0.29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1.34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1.12–1.59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≥30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0.49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1.63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1.17–2.29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High WHR (M: ≥0.90; F: ≥0.80)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0.72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2.05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1.73–2.43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Nationality (Han)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0.14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1.15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0.79–1.69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Marital status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Unmarried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Reference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Married or remarried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0.22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1.25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0.62–2.52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Divorced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0.65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1.91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1.02–3.56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Widowed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0.39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1.47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0.98–2.22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Education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&lt;0.01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Illiterate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Reference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Primary school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0.33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1.39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0.98–1.97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Junior high school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0.01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1.01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0.71–1.43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High school and above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0.01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1.01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0.67–1.56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Family income level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High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Reference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Middle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0.57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1.78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0.92–3.44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Low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0.59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1.82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0.93–3.56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Poor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0.35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1.42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0.63–3.19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SBP grade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&lt;120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Reference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120–129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0.60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1.82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1.401–2.38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130–139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1.12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3.07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2.39–3.94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DBP grade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&lt;70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Reference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70–79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0.27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1.31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1.01–1.69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80–89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0.76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2.15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1.67–2.78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High pulse rate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-0.55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0.58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0.37–0.89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Diabetes mellitus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0.58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1.79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1.44–2.42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History of stroke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0.87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2.38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1.40–4.06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&lt;0.01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History of AF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0.06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1.06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0.26–4.26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History of HF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0.95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2.58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0.96–6.92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HF symptoms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0.59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1.31–2.47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&lt;0.01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Family history of hypertension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1.36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1.10–1,67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&lt;0.01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Family history of diabetes mellitus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-0.52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0.95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0.74–1.22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Family history of CHD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0.33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1.39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1.10–1.75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&lt;0.01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Family history of stroke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0.76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2.14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1.73–2.67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Meat or fish consumption (g per week)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&lt;0.01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Rarely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Reference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250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-0.18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0.83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0.65–1.07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250–500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-0.49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0.61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0.48–0.78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&gt;500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-0.19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0.83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0.65–1.06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Vegetable consumption (kg per week)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Rarely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Reference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-0.25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0.78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0.42–1.44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1.0–1.5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-0.42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0.66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0.37–1.16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1.5–2.0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-0.389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0.68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0.38–1.19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&gt;2.0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-0.11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0.89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0.51–1.56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Fatty food (times per week)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Rarely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Reference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 xml:space="preserve">2–3 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-0.173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0.84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0.672–1.05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≥4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1.30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0.88–1.94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Bean consumption (times per week)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Rarely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Reference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 xml:space="preserve">2–3 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-0.19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0.82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0.71–0.95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 xml:space="preserve">≥4 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-0.61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0.54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0.42–0.70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Tea consumption (times per day)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Never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Reference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 xml:space="preserve">1 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-0.32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0.97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0.78–1.19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&gt;1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0.267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1.31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1.04–1.63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Pickles consumption (times per week)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Rarely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Reference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 xml:space="preserve">2–3 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0.173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1.18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0.98–1.42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 xml:space="preserve">≥4 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-0.16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0.85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0.64–1.13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Lard consumption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0.14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1.16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0.97–1.38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Sleep duration (h per day)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&lt;6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Reference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6–8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-0.01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0.99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0.78–1.25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&gt;8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0.06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1.06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0.79–1.41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Physical labour intensity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Light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Reference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Moderate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-0.78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0.92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0.75–1.19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Heavy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0.34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1.16–1.70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Regular exercise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0.038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1.03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0.83–1.28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Snoring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0.194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1.21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1.02–1.44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High WBC count (10</w:t>
            </w:r>
            <w:r>
              <w:rPr>
                <w:rFonts w:eastAsia="宋体" w:cs="Times New Roman"/>
                <w:kern w:val="0"/>
                <w:sz w:val="24"/>
                <w:vertAlign w:val="superscript"/>
                <w:lang w:val="en-GB" w:bidi="ar"/>
              </w:rPr>
              <w:t>9</w:t>
            </w:r>
            <w:r>
              <w:rPr>
                <w:rFonts w:eastAsia="宋体" w:cs="Times New Roman"/>
                <w:kern w:val="0"/>
                <w:sz w:val="24"/>
                <w:lang w:val="en-GB" w:bidi="ar"/>
              </w:rPr>
              <w:t>/L)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0.086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1.09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0.64–1.85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Anaemia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-0.517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0.59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0.36–0.98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High PLT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-0.11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0.89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0.51–1.55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High ALT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0.32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1.38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1.01–1.87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High AST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0.23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1.26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0.86–1.83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High BUN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0.41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1.50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1.17–1.92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&lt;0.01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eGFR (mL/min/1.73 m</w:t>
            </w:r>
            <w:r>
              <w:rPr>
                <w:rFonts w:eastAsia="宋体" w:cs="Times New Roman"/>
                <w:kern w:val="0"/>
                <w:sz w:val="24"/>
                <w:vertAlign w:val="superscript"/>
                <w:lang w:val="en-GB" w:bidi="ar"/>
              </w:rPr>
              <w:t>2</w:t>
            </w:r>
            <w:r>
              <w:rPr>
                <w:rFonts w:eastAsia="宋体" w:cs="Times New Roman"/>
                <w:kern w:val="0"/>
                <w:sz w:val="24"/>
                <w:lang w:val="en-GB" w:bidi="ar"/>
              </w:rPr>
              <w:t>)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eastAsia="等线" w:cs="Times New Roman"/>
                <w:sz w:val="24"/>
                <w:lang w:val="en-GB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≥90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Reference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60–89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0.37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1.45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1.22–1.73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left="292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&lt;60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0.38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1.46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0.54–3.92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High UA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0.27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1.13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0.91–1.89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High TG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0.21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1.23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0.95–1.58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High TC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0.10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1.11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0.88–1.39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Low HDL-C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-0.11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0.89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0.68–1.16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High LDL-C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-0.10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0.90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0.62–1.31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Low Ca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-0.68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0.51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0.42–0.61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Low P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0.05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1.06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0.86–1.29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Low Mg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-0.704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0.49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0.41–0.58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High K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-0.23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0.79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0.37–1.67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High Na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-0.07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0.93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0.49–1.74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eastAsia="宋体" w:cs="Times New Roman"/>
                <w:kern w:val="0"/>
                <w:sz w:val="24"/>
                <w:lang w:val="en-GB"/>
              </w:rPr>
            </w:pPr>
            <w:r>
              <w:rPr>
                <w:rFonts w:eastAsia="宋体" w:cs="Times New Roman"/>
                <w:kern w:val="0"/>
                <w:sz w:val="24"/>
                <w:lang w:val="en-GB" w:bidi="ar"/>
              </w:rPr>
              <w:t>0.82</w:t>
            </w:r>
          </w:p>
        </w:tc>
      </w:tr>
    </w:tbl>
    <w:p>
      <w:pPr>
        <w:widowControl/>
        <w:jc w:val="left"/>
        <w:rPr>
          <w:rFonts w:cs="Times New Roman"/>
          <w:sz w:val="24"/>
          <w:lang w:val="en-GB"/>
        </w:rPr>
      </w:pPr>
      <w:r>
        <w:rPr>
          <w:rFonts w:eastAsia="宋体" w:cs="Times New Roman"/>
          <w:color w:val="000000" w:themeColor="text1"/>
          <w:kern w:val="0"/>
          <w:sz w:val="24"/>
          <w:lang w:val="en-GB"/>
          <w14:textFill>
            <w14:solidFill>
              <w14:schemeClr w14:val="tx1"/>
            </w14:solidFill>
          </w14:textFill>
        </w:rPr>
        <w:t>AF,</w:t>
      </w:r>
      <w:r>
        <w:rPr>
          <w:rFonts w:cs="Times New Roman"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宋体" w:cs="Times New Roman"/>
          <w:color w:val="000000" w:themeColor="text1"/>
          <w:kern w:val="0"/>
          <w:sz w:val="24"/>
          <w:lang w:val="en-GB"/>
          <w14:textFill>
            <w14:solidFill>
              <w14:schemeClr w14:val="tx1"/>
            </w14:solidFill>
          </w14:textFill>
        </w:rPr>
        <w:t>atrial fibrillation; ALT, alanine aminotransferase; AST, aspartate aminotransferase; BMI, body mass index; BUN,</w:t>
      </w:r>
      <w:r>
        <w:rPr>
          <w:rFonts w:cs="Times New Roman"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宋体" w:cs="Times New Roman"/>
          <w:color w:val="000000" w:themeColor="text1"/>
          <w:kern w:val="0"/>
          <w:sz w:val="24"/>
          <w:lang w:val="en-GB"/>
          <w14:textFill>
            <w14:solidFill>
              <w14:schemeClr w14:val="tx1"/>
            </w14:solidFill>
          </w14:textFill>
        </w:rPr>
        <w:t>blood urea nitrogen; CI, confidence interval; CHD, coronary heart disease; DBP, diastolic blood pressure; eGFR, estimated glomerular filtration rate; HDL-C, high-density lipoprotein cholesterol; HF,</w:t>
      </w:r>
      <w:r>
        <w:rPr>
          <w:rFonts w:cs="Times New Roman"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宋体" w:cs="Times New Roman"/>
          <w:color w:val="000000" w:themeColor="text1"/>
          <w:kern w:val="0"/>
          <w:sz w:val="24"/>
          <w:lang w:val="en-GB"/>
          <w14:textFill>
            <w14:solidFill>
              <w14:schemeClr w14:val="tx1"/>
            </w14:solidFill>
          </w14:textFill>
        </w:rPr>
        <w:t>heart failure; HR, hazard ratio; LDL-C, low-density lipoprotein cholesterol; PLT, platelet; SBP, systolic blood pressure; TC, total cholesterol; TG, triglyceride; UA, uric acid; WBC,</w:t>
      </w:r>
      <w:r>
        <w:rPr>
          <w:rFonts w:cs="Times New Roman"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宋体" w:cs="Times New Roman"/>
          <w:color w:val="000000" w:themeColor="text1"/>
          <w:kern w:val="0"/>
          <w:sz w:val="24"/>
          <w:lang w:val="en-GB"/>
          <w14:textFill>
            <w14:solidFill>
              <w14:schemeClr w14:val="tx1"/>
            </w14:solidFill>
          </w14:textFill>
        </w:rPr>
        <w:t>white blood cell; WHR, waist-to-hip ratio.</w:t>
      </w:r>
      <w:r>
        <w:rPr>
          <w:rFonts w:cs="Times New Roman"/>
          <w:sz w:val="24"/>
          <w:lang w:val="en-GB"/>
        </w:rPr>
        <w:br w:type="page"/>
      </w:r>
    </w:p>
    <w:p>
      <w:pPr>
        <w:rPr>
          <w:rFonts w:cs="Times New Roman"/>
          <w:sz w:val="24"/>
          <w:lang w:val="en-GB"/>
        </w:rPr>
      </w:pPr>
      <w:bookmarkStart w:id="1" w:name="_Hlk98370916"/>
      <w:r>
        <w:rPr>
          <w:rFonts w:cs="Times New Roman"/>
          <w:b/>
          <w:bCs/>
          <w:sz w:val="24"/>
          <w:lang w:val="en-GB"/>
        </w:rPr>
        <w:t>Additional Table 2. Parameters of the Cox proportional hazards model for hypertension prediction with model 2</w:t>
      </w:r>
    </w:p>
    <w:bookmarkEnd w:id="1"/>
    <w:p>
      <w:pPr>
        <w:rPr>
          <w:rFonts w:cs="Times New Roman"/>
          <w:sz w:val="24"/>
          <w:lang w:val="en-GB"/>
        </w:rPr>
      </w:pPr>
    </w:p>
    <w:tbl>
      <w:tblPr>
        <w:tblStyle w:val="10"/>
        <w:tblW w:w="5000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2"/>
        <w:gridCol w:w="1559"/>
        <w:gridCol w:w="1559"/>
        <w:gridCol w:w="1559"/>
        <w:gridCol w:w="155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481" w:type="pct"/>
          </w:tcPr>
          <w:p>
            <w:pPr>
              <w:rPr>
                <w:rFonts w:cs="Times New Roman"/>
                <w:b/>
                <w:bCs/>
                <w:sz w:val="24"/>
                <w:lang w:val="en-GB"/>
              </w:rPr>
            </w:pPr>
            <w:r>
              <w:rPr>
                <w:rFonts w:cs="Times New Roman"/>
                <w:b/>
                <w:bCs/>
                <w:sz w:val="24"/>
                <w:lang w:val="en-GB"/>
              </w:rPr>
              <w:t>Variables</w:t>
            </w:r>
          </w:p>
        </w:tc>
        <w:tc>
          <w:tcPr>
            <w:tcW w:w="880" w:type="pct"/>
          </w:tcPr>
          <w:p>
            <w:pPr>
              <w:jc w:val="center"/>
              <w:rPr>
                <w:rFonts w:cs="Times New Roman"/>
                <w:b/>
                <w:bCs/>
                <w:sz w:val="24"/>
                <w:lang w:val="en-GB"/>
              </w:rPr>
            </w:pPr>
            <w:r>
              <w:rPr>
                <w:rFonts w:cs="Times New Roman"/>
                <w:b/>
                <w:bCs/>
                <w:sz w:val="24"/>
                <w:lang w:val="en-GB"/>
              </w:rPr>
              <w:t>Coefficient</w:t>
            </w:r>
          </w:p>
        </w:tc>
        <w:tc>
          <w:tcPr>
            <w:tcW w:w="880" w:type="pct"/>
          </w:tcPr>
          <w:p>
            <w:pPr>
              <w:jc w:val="center"/>
              <w:rPr>
                <w:rFonts w:cs="Times New Roman"/>
                <w:b/>
                <w:bCs/>
                <w:sz w:val="24"/>
                <w:lang w:val="en-GB"/>
              </w:rPr>
            </w:pPr>
            <w:r>
              <w:rPr>
                <w:rFonts w:cs="Times New Roman"/>
                <w:b/>
                <w:bCs/>
                <w:sz w:val="24"/>
                <w:lang w:val="en-GB"/>
              </w:rPr>
              <w:t>HR</w:t>
            </w:r>
          </w:p>
        </w:tc>
        <w:tc>
          <w:tcPr>
            <w:tcW w:w="880" w:type="pct"/>
          </w:tcPr>
          <w:p>
            <w:pPr>
              <w:jc w:val="center"/>
              <w:rPr>
                <w:rFonts w:cs="Times New Roman"/>
                <w:b/>
                <w:bCs/>
                <w:i/>
                <w:sz w:val="24"/>
                <w:lang w:val="en-GB"/>
              </w:rPr>
            </w:pPr>
            <w:r>
              <w:rPr>
                <w:rFonts w:cs="Times New Roman"/>
                <w:b/>
                <w:bCs/>
                <w:sz w:val="24"/>
                <w:lang w:val="en-GB"/>
              </w:rPr>
              <w:t>95% CI</w:t>
            </w:r>
          </w:p>
        </w:tc>
        <w:tc>
          <w:tcPr>
            <w:tcW w:w="880" w:type="pct"/>
          </w:tcPr>
          <w:p>
            <w:pPr>
              <w:jc w:val="center"/>
              <w:rPr>
                <w:rFonts w:cs="Times New Roman"/>
                <w:b/>
                <w:bCs/>
                <w:iCs/>
                <w:sz w:val="24"/>
                <w:lang w:val="en-GB"/>
              </w:rPr>
            </w:pPr>
            <w:r>
              <w:rPr>
                <w:rFonts w:cs="Times New Roman"/>
                <w:b/>
                <w:bCs/>
                <w:iCs/>
                <w:sz w:val="24"/>
                <w:lang w:val="en-GB"/>
              </w:rPr>
              <w:t>P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481" w:type="pct"/>
            <w:vAlign w:val="center"/>
          </w:tcPr>
          <w:p>
            <w:pPr>
              <w:rPr>
                <w:rFonts w:cs="Times New Roman"/>
                <w:b/>
                <w:sz w:val="24"/>
                <w:lang w:val="en-GB"/>
              </w:rPr>
            </w:pPr>
            <w:r>
              <w:rPr>
                <w:rFonts w:cs="Times New Roman"/>
                <w:b/>
                <w:sz w:val="24"/>
                <w:lang w:val="en-GB"/>
              </w:rPr>
              <w:t>Age group, y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481" w:type="pct"/>
          </w:tcPr>
          <w:p>
            <w:pPr>
              <w:ind w:firstLine="240" w:firstLineChars="100"/>
              <w:rPr>
                <w:rFonts w:cs="Times New Roman"/>
                <w:sz w:val="24"/>
                <w:lang w:val="en-GB"/>
              </w:rPr>
            </w:pPr>
            <w:r>
              <w:rPr>
                <w:rFonts w:cs="Times New Roman"/>
                <w:sz w:val="24"/>
                <w:lang w:val="en-GB"/>
              </w:rPr>
              <w:t>35–44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cs="Times New Roman"/>
                <w:sz w:val="24"/>
                <w:lang w:val="en-GB"/>
              </w:rPr>
              <w:t>Reference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cs="Times New Roman"/>
                <w:sz w:val="24"/>
                <w:lang w:val="en-GB"/>
              </w:rPr>
              <w:t>1.00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cs="Times New Roman"/>
                <w:sz w:val="24"/>
                <w:lang w:val="en-GB"/>
              </w:rPr>
              <w:t>-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i/>
                <w:sz w:val="24"/>
                <w:lang w:val="en-GB"/>
              </w:rPr>
            </w:pPr>
            <w:r>
              <w:rPr>
                <w:rFonts w:cs="Times New Roman"/>
                <w:i/>
                <w:sz w:val="24"/>
                <w:lang w:val="en-GB"/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481" w:type="pct"/>
          </w:tcPr>
          <w:p>
            <w:pPr>
              <w:ind w:firstLine="240" w:firstLineChars="100"/>
              <w:rPr>
                <w:rFonts w:cs="Times New Roman"/>
                <w:sz w:val="24"/>
                <w:lang w:val="en-GB"/>
              </w:rPr>
            </w:pPr>
            <w:r>
              <w:rPr>
                <w:rFonts w:cs="Times New Roman"/>
                <w:sz w:val="24"/>
                <w:lang w:val="en-GB"/>
              </w:rPr>
              <w:t>45–54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0.56 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1.74 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1.39–2.19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&lt;0.001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481" w:type="pct"/>
          </w:tcPr>
          <w:p>
            <w:pPr>
              <w:ind w:firstLine="240" w:firstLineChars="100"/>
              <w:rPr>
                <w:rFonts w:eastAsia="宋体" w:cs="Times New Roman"/>
                <w:sz w:val="24"/>
                <w:lang w:val="en-GB"/>
              </w:rPr>
            </w:pPr>
            <w:r>
              <w:rPr>
                <w:rFonts w:cs="Times New Roman"/>
                <w:sz w:val="24"/>
                <w:lang w:val="en-GB"/>
              </w:rPr>
              <w:t>55–64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1.02 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2.76 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2.17–3.52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&lt;0.001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481" w:type="pct"/>
          </w:tcPr>
          <w:p>
            <w:pPr>
              <w:ind w:firstLine="240" w:firstLineChars="100"/>
              <w:rPr>
                <w:rFonts w:eastAsia="宋体" w:cs="Times New Roman"/>
                <w:sz w:val="24"/>
                <w:lang w:val="en-GB"/>
              </w:rPr>
            </w:pPr>
            <w:r>
              <w:rPr>
                <w:rFonts w:cs="Times New Roman"/>
                <w:sz w:val="24"/>
                <w:lang w:val="en-GB"/>
              </w:rPr>
              <w:t>65–74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1.65 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5.21 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3.64–7.45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&lt;0.001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481" w:type="pct"/>
            <w:vAlign w:val="center"/>
          </w:tcPr>
          <w:p>
            <w:pPr>
              <w:ind w:firstLine="240" w:firstLineChars="100"/>
              <w:rPr>
                <w:rFonts w:cs="Times New Roman"/>
                <w:sz w:val="24"/>
                <w:lang w:val="en-GB"/>
              </w:rPr>
            </w:pPr>
            <w:r>
              <w:rPr>
                <w:rFonts w:cs="Times New Roman"/>
                <w:sz w:val="24"/>
                <w:lang w:val="en-GB"/>
              </w:rPr>
              <w:t>≥75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1.97 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7.20 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3.78–13.71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&lt;0.001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481" w:type="pct"/>
            <w:vAlign w:val="center"/>
          </w:tcPr>
          <w:p>
            <w:pPr>
              <w:rPr>
                <w:rFonts w:cs="Times New Roman"/>
                <w:b/>
                <w:sz w:val="24"/>
                <w:lang w:val="en-GB"/>
              </w:rPr>
            </w:pPr>
            <w:r>
              <w:rPr>
                <w:rFonts w:cs="Times New Roman"/>
                <w:b/>
                <w:sz w:val="24"/>
                <w:lang w:val="en-GB"/>
              </w:rPr>
              <w:t>High WHR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0.68 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1.97 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1.65–2.35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&lt;0.001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481" w:type="pct"/>
            <w:vAlign w:val="center"/>
          </w:tcPr>
          <w:p>
            <w:pPr>
              <w:rPr>
                <w:rFonts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  <w:t>SBP grade (mmHg)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1481" w:type="pct"/>
            <w:vAlign w:val="center"/>
          </w:tcPr>
          <w:p>
            <w:pPr>
              <w:ind w:firstLine="240" w:firstLineChars="100"/>
              <w:rPr>
                <w:rFonts w:eastAsia="宋体"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微软雅黑" w:cs="Times New Roman"/>
                <w:color w:val="000000" w:themeColor="text1"/>
                <w:sz w:val="24"/>
                <w:shd w:val="clear" w:color="auto" w:fill="FFFFFF"/>
                <w:lang w:val="en-GB"/>
                <w14:textFill>
                  <w14:solidFill>
                    <w14:schemeClr w14:val="tx1"/>
                  </w14:solidFill>
                </w14:textFill>
              </w:rPr>
              <w:t>&lt;120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cs="Times New Roman"/>
                <w:sz w:val="24"/>
                <w:lang w:val="en-GB"/>
              </w:rPr>
              <w:t>Reference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cs="Times New Roman"/>
                <w:sz w:val="24"/>
                <w:lang w:val="en-GB"/>
              </w:rPr>
              <w:t>1.00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cs="Times New Roman"/>
                <w:sz w:val="24"/>
                <w:lang w:val="en-GB"/>
              </w:rPr>
              <w:t>-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cs="Times New Roman"/>
                <w:i/>
                <w:sz w:val="24"/>
                <w:lang w:val="en-GB"/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1481" w:type="pct"/>
            <w:vAlign w:val="center"/>
          </w:tcPr>
          <w:p>
            <w:pPr>
              <w:ind w:firstLine="240" w:firstLineChars="100"/>
              <w:rPr>
                <w:rFonts w:eastAsia="宋体"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  <w:t>120–129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0.36 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1.44 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1.09–1.90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0.01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481" w:type="pct"/>
            <w:vAlign w:val="center"/>
          </w:tcPr>
          <w:p>
            <w:pPr>
              <w:ind w:firstLine="240" w:firstLineChars="100"/>
              <w:rPr>
                <w:rFonts w:eastAsia="宋体"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  <w:t>130–139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0.65 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1.92 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1.45–2.54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&lt;0.001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481" w:type="pct"/>
            <w:vAlign w:val="center"/>
          </w:tcPr>
          <w:p>
            <w:pPr>
              <w:rPr>
                <w:rFonts w:eastAsia="宋体"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  <w:t>DBP grade (mmHg)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481" w:type="pct"/>
            <w:vAlign w:val="center"/>
          </w:tcPr>
          <w:p>
            <w:pPr>
              <w:ind w:firstLine="240" w:firstLineChars="100"/>
              <w:rPr>
                <w:rFonts w:eastAsia="宋体" w:cs="Times New Roman"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  <w:t>&lt;70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cs="Times New Roman"/>
                <w:sz w:val="24"/>
                <w:lang w:val="en-GB"/>
              </w:rPr>
              <w:t>Reference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cs="Times New Roman"/>
                <w:sz w:val="24"/>
                <w:lang w:val="en-GB"/>
              </w:rPr>
              <w:t>1.00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cs="Times New Roman"/>
                <w:sz w:val="24"/>
                <w:lang w:val="en-GB"/>
              </w:rPr>
              <w:t>-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cs="Times New Roman"/>
                <w:i/>
                <w:sz w:val="24"/>
                <w:lang w:val="en-GB"/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481" w:type="pct"/>
            <w:vAlign w:val="center"/>
          </w:tcPr>
          <w:p>
            <w:pPr>
              <w:ind w:firstLine="240" w:firstLineChars="100"/>
              <w:rPr>
                <w:rFonts w:eastAsia="宋体" w:cs="Times New Roman"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  <w:t>70–79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0.28 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1.32 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1.01–1.73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0.04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481" w:type="pct"/>
            <w:vAlign w:val="center"/>
          </w:tcPr>
          <w:p>
            <w:pPr>
              <w:ind w:firstLine="240" w:firstLineChars="100"/>
              <w:rPr>
                <w:rFonts w:eastAsia="宋体" w:cs="Times New Roman"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  <w:t>80–89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0.63 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1.89 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1.41–2.52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&lt;0.001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1481" w:type="pct"/>
            <w:vAlign w:val="center"/>
          </w:tcPr>
          <w:p>
            <w:pPr>
              <w:rPr>
                <w:rFonts w:eastAsia="宋体" w:cs="Times New Roman"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  <w:t>High pulse rate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-0.70 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0.50 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0.32–0.78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&lt;0.01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1481" w:type="pct"/>
            <w:vAlign w:val="center"/>
          </w:tcPr>
          <w:p>
            <w:pPr>
              <w:rPr>
                <w:rFonts w:eastAsia="宋体"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  <w:t>Diabetes mellitus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0.47 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1.60 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1.17–2.19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&lt;0.01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1481" w:type="pct"/>
            <w:vAlign w:val="center"/>
          </w:tcPr>
          <w:p>
            <w:pPr>
              <w:rPr>
                <w:rFonts w:eastAsia="宋体"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  <w:t>Family history of hypertension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0.34 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1.40 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1.12–1.75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&lt;0.01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1481" w:type="pct"/>
            <w:vAlign w:val="center"/>
          </w:tcPr>
          <w:p>
            <w:pPr>
              <w:rPr>
                <w:rFonts w:eastAsia="宋体"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  <w:t>Family history of stroke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0.44 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1.55 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1.23–1.94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&lt;0.001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1481" w:type="pct"/>
            <w:vAlign w:val="center"/>
          </w:tcPr>
          <w:p>
            <w:pPr>
              <w:rPr>
                <w:rFonts w:eastAsia="宋体"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  <w:t>Bean (times per week)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1481" w:type="pct"/>
            <w:vAlign w:val="center"/>
          </w:tcPr>
          <w:p>
            <w:pPr>
              <w:ind w:firstLine="240" w:firstLineChars="100"/>
              <w:rPr>
                <w:rFonts w:eastAsia="宋体"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  <w:t>Rarely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cs="Times New Roman"/>
                <w:sz w:val="24"/>
                <w:lang w:val="en-GB"/>
              </w:rPr>
              <w:t>Reference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cs="Times New Roman"/>
                <w:sz w:val="24"/>
                <w:lang w:val="en-GB"/>
              </w:rPr>
              <w:t>1.00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cs="Times New Roman"/>
                <w:sz w:val="24"/>
                <w:lang w:val="en-GB"/>
              </w:rPr>
              <w:t>-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cs="Times New Roman"/>
                <w:i/>
                <w:sz w:val="24"/>
                <w:lang w:val="en-GB"/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1481" w:type="pct"/>
            <w:vAlign w:val="center"/>
          </w:tcPr>
          <w:p>
            <w:pPr>
              <w:ind w:firstLine="240" w:firstLineChars="100"/>
              <w:rPr>
                <w:rFonts w:eastAsia="宋体"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2–3 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-0.11 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0.89 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0.75–1.07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0.23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1481" w:type="pct"/>
            <w:vAlign w:val="center"/>
          </w:tcPr>
          <w:p>
            <w:pPr>
              <w:ind w:firstLine="240" w:firstLineChars="100"/>
              <w:rPr>
                <w:rFonts w:eastAsia="宋体"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≥4 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-0.61 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0.54 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0.39–0.74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&lt;0.001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1481" w:type="pct"/>
            <w:vAlign w:val="center"/>
          </w:tcPr>
          <w:p>
            <w:pPr>
              <w:rPr>
                <w:rFonts w:eastAsia="宋体"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  <w:t>Physical labour intensity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1481" w:type="pct"/>
            <w:vAlign w:val="center"/>
          </w:tcPr>
          <w:p>
            <w:pPr>
              <w:ind w:firstLine="240" w:firstLineChars="100"/>
              <w:rPr>
                <w:rFonts w:eastAsia="宋体"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  <w:t>Light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cs="Times New Roman"/>
                <w:sz w:val="24"/>
                <w:lang w:val="en-GB"/>
              </w:rPr>
              <w:t>Reference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cs="Times New Roman"/>
                <w:sz w:val="24"/>
                <w:lang w:val="en-GB"/>
              </w:rPr>
              <w:t>1.00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cs="Times New Roman"/>
                <w:sz w:val="24"/>
                <w:lang w:val="en-GB"/>
              </w:rPr>
              <w:t>-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cs="Times New Roman"/>
                <w:i/>
                <w:sz w:val="24"/>
                <w:lang w:val="en-GB"/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1481" w:type="pct"/>
            <w:vAlign w:val="center"/>
          </w:tcPr>
          <w:p>
            <w:pPr>
              <w:ind w:firstLine="240" w:firstLineChars="100"/>
              <w:rPr>
                <w:rFonts w:eastAsia="宋体"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  <w:t>Moderate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0.20 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1.23 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0.94–1.61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0.14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1481" w:type="pct"/>
            <w:vAlign w:val="center"/>
          </w:tcPr>
          <w:p>
            <w:pPr>
              <w:ind w:firstLine="240" w:firstLineChars="100"/>
              <w:rPr>
                <w:rFonts w:eastAsia="宋体"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  <w:t>Heavy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0.51 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1.67 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1.35–2.07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cs="Times New Roman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&lt;0.001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1481" w:type="pct"/>
            <w:vAlign w:val="center"/>
          </w:tcPr>
          <w:p>
            <w:pPr>
              <w:rPr>
                <w:rFonts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  <w:t>Low Ca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eastAsia="等线" w:cs="Times New Roman"/>
                <w:color w:val="000000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-0.52 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eastAsia="等线" w:cs="Times New Roman"/>
                <w:color w:val="000000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0.60 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eastAsia="等线" w:cs="Times New Roman"/>
                <w:color w:val="000000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0.49–0.72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eastAsia="等线" w:cs="Times New Roman"/>
                <w:color w:val="000000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&lt;0.001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1481" w:type="pct"/>
            <w:vAlign w:val="center"/>
          </w:tcPr>
          <w:p>
            <w:pPr>
              <w:rPr>
                <w:rFonts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/>
                <w:bCs/>
                <w:color w:val="000000" w:themeColor="text1"/>
                <w:sz w:val="24"/>
                <w:lang w:val="en-GB"/>
                <w14:textFill>
                  <w14:solidFill>
                    <w14:schemeClr w14:val="tx1"/>
                  </w14:solidFill>
                </w14:textFill>
              </w:rPr>
              <w:t>Low Mg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eastAsia="等线" w:cs="Times New Roman"/>
                <w:color w:val="000000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-0.46 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eastAsia="等线" w:cs="Times New Roman"/>
                <w:color w:val="000000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 xml:space="preserve">0.63 </w:t>
            </w:r>
          </w:p>
        </w:tc>
        <w:tc>
          <w:tcPr>
            <w:tcW w:w="880" w:type="pct"/>
            <w:vAlign w:val="bottom"/>
          </w:tcPr>
          <w:p>
            <w:pPr>
              <w:jc w:val="center"/>
              <w:rPr>
                <w:rFonts w:eastAsia="等线" w:cs="Times New Roman"/>
                <w:color w:val="000000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0.53–0.76</w:t>
            </w: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eastAsia="等线" w:cs="Times New Roman"/>
                <w:color w:val="000000"/>
                <w:sz w:val="24"/>
                <w:lang w:val="en-GB"/>
              </w:rPr>
            </w:pPr>
            <w:r>
              <w:rPr>
                <w:rFonts w:eastAsia="等线" w:cs="Times New Roman"/>
                <w:color w:val="000000"/>
                <w:sz w:val="24"/>
                <w:lang w:val="en-GB"/>
              </w:rPr>
              <w:t>&lt;0.001</w:t>
            </w:r>
          </w:p>
        </w:tc>
      </w:tr>
    </w:tbl>
    <w:p>
      <w:pPr>
        <w:widowControl/>
        <w:jc w:val="left"/>
        <w:rPr>
          <w:rFonts w:cs="Times New Roman"/>
          <w:sz w:val="24"/>
          <w:lang w:val="en-GB"/>
        </w:rPr>
      </w:pPr>
      <w:r>
        <w:rPr>
          <w:rFonts w:eastAsia="宋体" w:cs="Times New Roman"/>
          <w:color w:val="000000" w:themeColor="text1"/>
          <w:kern w:val="0"/>
          <w:sz w:val="24"/>
          <w:lang w:val="en-GB"/>
          <w14:textFill>
            <w14:solidFill>
              <w14:schemeClr w14:val="tx1"/>
            </w14:solidFill>
          </w14:textFill>
        </w:rPr>
        <w:t>CI, confidence interval; DBP, diastolic blood pressure; HR, hazard ratio; SBP, systolic blood pressure; WHR, waist-to-hip ratio.</w:t>
      </w:r>
      <w:r>
        <w:rPr>
          <w:rFonts w:cs="Times New Roman"/>
          <w:sz w:val="24"/>
          <w:lang w:val="en-GB"/>
        </w:rPr>
        <w:br w:type="page"/>
      </w:r>
    </w:p>
    <w:p>
      <w:pPr>
        <w:rPr>
          <w:rFonts w:cs="Times New Roman"/>
          <w:sz w:val="24"/>
          <w:lang w:val="en-GB"/>
        </w:rPr>
      </w:pPr>
    </w:p>
    <w:p>
      <w:pPr>
        <w:rPr>
          <w:rFonts w:cs="Times New Roman"/>
          <w:sz w:val="24"/>
          <w:lang w:val="en-GB"/>
        </w:rPr>
      </w:pPr>
      <w:r>
        <w:rPr>
          <w:rFonts w:cs="Times New Roman"/>
          <w:sz w:val="24"/>
          <w:lang w:val="en-GB" w:eastAsia="en-US" w:bidi="he-IL"/>
        </w:rPr>
        <w:drawing>
          <wp:inline distT="0" distB="0" distL="0" distR="0">
            <wp:extent cx="5038725" cy="4143375"/>
            <wp:effectExtent l="0" t="0" r="9525" b="9525"/>
            <wp:docPr id="5" name="Picture 5" descr="C:\Users\S Y Santosh\Desktop\GXUEY_1_8\Figures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:\Users\S Y Santosh\Desktop\GXUEY_1_8\Figures\Figure S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cs="Times New Roman"/>
          <w:sz w:val="24"/>
          <w:lang w:val="en-GB"/>
        </w:rPr>
      </w:pPr>
    </w:p>
    <w:p>
      <w:pPr>
        <w:rPr>
          <w:rFonts w:cs="Times New Roman"/>
          <w:sz w:val="24"/>
          <w:lang w:val="en-GB"/>
        </w:rPr>
      </w:pPr>
      <w:bookmarkStart w:id="2" w:name="_Hlk98370923"/>
    </w:p>
    <w:p>
      <w:pPr>
        <w:rPr>
          <w:rFonts w:cs="Times New Roman"/>
          <w:sz w:val="24"/>
          <w:lang w:val="en-GB"/>
        </w:rPr>
      </w:pPr>
      <w:r>
        <w:rPr>
          <w:rFonts w:cs="Times New Roman"/>
          <w:b/>
          <w:bCs/>
          <w:sz w:val="24"/>
          <w:lang w:val="en-GB"/>
        </w:rPr>
        <w:t>Additional Figure 1.</w:t>
      </w:r>
      <w:r>
        <w:rPr>
          <w:rFonts w:cs="Times New Roman"/>
          <w:sz w:val="24"/>
          <w:lang w:val="en-GB"/>
        </w:rPr>
        <w:t xml:space="preserve"> Study population screening process</w:t>
      </w:r>
    </w:p>
    <w:bookmarkEnd w:id="2"/>
    <w:p>
      <w:pPr>
        <w:rPr>
          <w:rFonts w:cs="Times New Roman"/>
          <w:sz w:val="24"/>
          <w:lang w:val="en-GB"/>
        </w:rPr>
      </w:pPr>
    </w:p>
    <w:p>
      <w:pPr>
        <w:widowControl/>
        <w:jc w:val="left"/>
        <w:rPr>
          <w:rFonts w:cs="Times New Roman"/>
          <w:sz w:val="24"/>
          <w:lang w:val="en-GB"/>
        </w:rPr>
      </w:pPr>
      <w:r>
        <w:rPr>
          <w:rFonts w:cs="Times New Roman"/>
          <w:sz w:val="24"/>
          <w:lang w:val="en-GB"/>
        </w:rPr>
        <w:br w:type="page"/>
      </w:r>
    </w:p>
    <w:p>
      <w:pPr>
        <w:rPr>
          <w:rFonts w:cs="Times New Roman"/>
          <w:sz w:val="24"/>
          <w:lang w:val="en-GB"/>
        </w:rPr>
      </w:pPr>
    </w:p>
    <w:p>
      <w:pPr>
        <w:rPr>
          <w:rFonts w:cs="Times New Roman"/>
          <w:sz w:val="24"/>
          <w:lang w:val="en-GB"/>
        </w:rPr>
      </w:pPr>
    </w:p>
    <w:p>
      <w:pPr>
        <w:jc w:val="center"/>
        <w:rPr>
          <w:rFonts w:cs="Times New Roman"/>
          <w:sz w:val="24"/>
          <w:lang w:val="en-GB"/>
        </w:rPr>
      </w:pPr>
      <w:r>
        <w:rPr>
          <w:rFonts w:cs="Times New Roman"/>
          <w:sz w:val="24"/>
          <w:lang w:val="en-GB" w:eastAsia="en-US" w:bidi="he-IL"/>
        </w:rPr>
        <w:drawing>
          <wp:inline distT="0" distB="0" distL="0" distR="0">
            <wp:extent cx="3238500" cy="2409825"/>
            <wp:effectExtent l="0" t="0" r="0" b="9525"/>
            <wp:docPr id="6" name="Picture 6" descr="C:\Users\S Y Santosh\Desktop\GXUEY_1_8\Figures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:\Users\S Y Santosh\Desktop\GXUEY_1_8\Figures\Figure S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cs="Times New Roman"/>
          <w:sz w:val="24"/>
          <w:lang w:val="en-GB"/>
        </w:rPr>
      </w:pPr>
    </w:p>
    <w:p>
      <w:pPr>
        <w:rPr>
          <w:rFonts w:cs="Times New Roman"/>
          <w:sz w:val="24"/>
          <w:lang w:val="en-GB"/>
        </w:rPr>
      </w:pPr>
      <w:bookmarkStart w:id="3" w:name="_Hlk98370958"/>
      <w:r>
        <w:rPr>
          <w:rFonts w:cs="Times New Roman"/>
          <w:b/>
          <w:bCs/>
          <w:sz w:val="24"/>
          <w:lang w:val="en-GB"/>
        </w:rPr>
        <w:t>Additional Figure 2.</w:t>
      </w:r>
      <w:r>
        <w:rPr>
          <w:rFonts w:cs="Times New Roman"/>
          <w:sz w:val="24"/>
          <w:lang w:val="en-GB"/>
        </w:rPr>
        <w:t xml:space="preserve"> Process of variable screening and cross-validation using LASSO-Cox regression.</w:t>
      </w:r>
      <w:r>
        <w:rPr>
          <w:sz w:val="24"/>
          <w:lang w:val="en-GB"/>
        </w:rPr>
        <w:t xml:space="preserve"> </w:t>
      </w:r>
      <w:r>
        <w:rPr>
          <w:rFonts w:cs="Times New Roman"/>
          <w:sz w:val="24"/>
          <w:lang w:val="en-GB"/>
        </w:rPr>
        <w:t>LASSO, least absolute shrinkage and selection operator.</w:t>
      </w:r>
    </w:p>
    <w:p>
      <w:pPr>
        <w:widowControl/>
        <w:jc w:val="left"/>
        <w:rPr>
          <w:rFonts w:cs="Times New Roman"/>
          <w:sz w:val="24"/>
          <w:lang w:val="en-GB"/>
        </w:rPr>
      </w:pPr>
      <w:r>
        <w:rPr>
          <w:rFonts w:cs="Times New Roman"/>
          <w:sz w:val="24"/>
          <w:lang w:val="en-GB"/>
        </w:rPr>
        <w:br w:type="page"/>
      </w:r>
    </w:p>
    <w:bookmarkEnd w:id="3"/>
    <w:p>
      <w:pPr>
        <w:rPr>
          <w:rFonts w:cs="Times New Roman"/>
          <w:sz w:val="24"/>
          <w:lang w:val="en-GB"/>
        </w:rPr>
      </w:pPr>
    </w:p>
    <w:p>
      <w:pPr>
        <w:rPr>
          <w:rFonts w:cs="Times New Roman"/>
          <w:sz w:val="24"/>
          <w:lang w:val="en-GB"/>
        </w:rPr>
      </w:pPr>
      <w:r>
        <w:rPr>
          <w:rFonts w:cs="Times New Roman"/>
          <w:sz w:val="24"/>
          <w:lang w:val="en-GB" w:eastAsia="en-US" w:bidi="he-IL"/>
        </w:rPr>
        <w:drawing>
          <wp:inline distT="0" distB="0" distL="0" distR="0">
            <wp:extent cx="5038725" cy="3314700"/>
            <wp:effectExtent l="0" t="0" r="9525" b="0"/>
            <wp:docPr id="7" name="Picture 7" descr="C:\Users\S Y Santosh\Desktop\GXUEY_1_8\Figures\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:\Users\S Y Santosh\Desktop\GXUEY_1_8\Figures\Figure S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cs="Times New Roman"/>
          <w:sz w:val="24"/>
          <w:lang w:val="en-GB"/>
        </w:rPr>
      </w:pPr>
    </w:p>
    <w:p>
      <w:pPr>
        <w:rPr>
          <w:rFonts w:cs="Times New Roman"/>
          <w:sz w:val="24"/>
          <w:lang w:val="en-GB"/>
        </w:rPr>
      </w:pPr>
      <w:bookmarkStart w:id="4" w:name="_Hlk98370964"/>
      <w:r>
        <w:rPr>
          <w:rFonts w:cs="Times New Roman"/>
          <w:b/>
          <w:bCs/>
          <w:sz w:val="24"/>
          <w:lang w:val="en-GB"/>
        </w:rPr>
        <w:t>Additional Figure 3.</w:t>
      </w:r>
      <w:r>
        <w:rPr>
          <w:rFonts w:cs="Times New Roman"/>
          <w:sz w:val="24"/>
          <w:lang w:val="en-GB"/>
        </w:rPr>
        <w:t xml:space="preserve"> Process of variable screening and cross-validation using LASSO-Cox regression. LASSO, least absolute shrinkage and selection operator.</w:t>
      </w:r>
    </w:p>
    <w:bookmarkEnd w:id="4"/>
    <w:p>
      <w:pPr>
        <w:rPr>
          <w:rFonts w:cs="Times New Roman"/>
          <w:sz w:val="24"/>
          <w:lang w:val="en-GB"/>
        </w:rPr>
      </w:pPr>
    </w:p>
    <w:p>
      <w:pPr>
        <w:widowControl/>
        <w:jc w:val="left"/>
        <w:rPr>
          <w:rFonts w:cs="Times New Roman"/>
          <w:sz w:val="24"/>
          <w:lang w:val="en-GB"/>
        </w:rPr>
      </w:pPr>
      <w:r>
        <w:rPr>
          <w:rFonts w:cs="Times New Roman"/>
          <w:sz w:val="24"/>
          <w:lang w:val="en-GB"/>
        </w:rPr>
        <w:br w:type="page"/>
      </w:r>
    </w:p>
    <w:p>
      <w:pPr>
        <w:rPr>
          <w:rFonts w:cs="Times New Roman"/>
          <w:sz w:val="24"/>
          <w:lang w:val="en-GB"/>
        </w:rPr>
      </w:pPr>
    </w:p>
    <w:p>
      <w:pPr>
        <w:rPr>
          <w:rFonts w:cs="Times New Roman"/>
          <w:sz w:val="24"/>
          <w:lang w:val="en-GB"/>
        </w:rPr>
      </w:pPr>
      <w:r>
        <w:rPr>
          <w:rFonts w:cs="Times New Roman"/>
          <w:sz w:val="24"/>
          <w:lang w:val="en-GB" w:eastAsia="en-US" w:bidi="he-IL"/>
        </w:rPr>
        <w:drawing>
          <wp:inline distT="0" distB="0" distL="0" distR="0">
            <wp:extent cx="5038725" cy="5143500"/>
            <wp:effectExtent l="0" t="0" r="9525" b="0"/>
            <wp:docPr id="11" name="Picture 11" descr="C:\Users\S Y Santosh\Desktop\GXUEY_1_8\Figures\Figure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:\Users\S Y Santosh\Desktop\GXUEY_1_8\Figures\Figure S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cs="Times New Roman"/>
          <w:sz w:val="24"/>
          <w:lang w:val="en-GB"/>
        </w:rPr>
      </w:pPr>
    </w:p>
    <w:p>
      <w:pPr>
        <w:rPr>
          <w:rFonts w:cs="Times New Roman"/>
          <w:sz w:val="24"/>
          <w:lang w:val="en-GB"/>
        </w:rPr>
      </w:pPr>
      <w:bookmarkStart w:id="5" w:name="_Hlk98370975"/>
      <w:r>
        <w:rPr>
          <w:rFonts w:cs="Times New Roman"/>
          <w:b/>
          <w:bCs/>
          <w:sz w:val="24"/>
          <w:lang w:val="en-GB"/>
        </w:rPr>
        <w:t>Additional Figure 4.</w:t>
      </w:r>
      <w:r>
        <w:rPr>
          <w:rFonts w:cs="Times New Roman"/>
          <w:sz w:val="24"/>
          <w:lang w:val="en-GB"/>
        </w:rPr>
        <w:t xml:space="preserve"> Forest plot of Model 1.</w:t>
      </w:r>
      <w:r>
        <w:rPr>
          <w:sz w:val="24"/>
          <w:lang w:val="en-GB"/>
        </w:rPr>
        <w:t xml:space="preserve"> </w:t>
      </w:r>
      <w:r>
        <w:rPr>
          <w:rFonts w:cs="Times New Roman"/>
          <w:sz w:val="24"/>
          <w:lang w:val="en-GB"/>
        </w:rPr>
        <w:t>CI confidence interval; DBP, diastolic blood pressure; HR, hazard ratio; HTN, hypertension; SBP, systolic blood pressure; WHR, waist-to-hip ratio.</w:t>
      </w:r>
    </w:p>
    <w:bookmarkEnd w:id="5"/>
    <w:p>
      <w:pPr>
        <w:rPr>
          <w:rFonts w:cs="Times New Roman"/>
          <w:sz w:val="24"/>
          <w:lang w:val="en-GB"/>
        </w:rPr>
      </w:pPr>
    </w:p>
    <w:p>
      <w:pPr>
        <w:widowControl/>
        <w:jc w:val="left"/>
        <w:rPr>
          <w:rFonts w:cs="Times New Roman"/>
          <w:sz w:val="24"/>
          <w:lang w:val="en-GB"/>
        </w:rPr>
      </w:pPr>
      <w:r>
        <w:rPr>
          <w:rFonts w:cs="Times New Roman"/>
          <w:sz w:val="24"/>
          <w:lang w:val="en-GB"/>
        </w:rPr>
        <w:br w:type="page"/>
      </w:r>
    </w:p>
    <w:p>
      <w:pPr>
        <w:rPr>
          <w:rFonts w:cs="Times New Roman"/>
          <w:sz w:val="24"/>
          <w:lang w:val="en-GB"/>
        </w:rPr>
      </w:pPr>
      <w:r>
        <w:rPr>
          <w:rFonts w:cs="Times New Roman"/>
          <w:sz w:val="24"/>
          <w:lang w:val="en-GB" w:eastAsia="en-US" w:bidi="he-IL"/>
        </w:rPr>
        <w:drawing>
          <wp:inline distT="0" distB="0" distL="0" distR="0">
            <wp:extent cx="5486400" cy="2658745"/>
            <wp:effectExtent l="0" t="0" r="0" b="8255"/>
            <wp:docPr id="15" name="Picture 15" descr="C:\Users\S Y Santosh\Desktop\GXUEY_1_8\Figures\Figure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:\Users\S Y Santosh\Desktop\GXUEY_1_8\Figures\Figure S5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cs="Times New Roman"/>
          <w:sz w:val="24"/>
          <w:lang w:val="en-GB"/>
        </w:rPr>
      </w:pPr>
      <w:bookmarkStart w:id="6" w:name="_Hlk98370983"/>
      <w:r>
        <w:rPr>
          <w:rFonts w:cs="Times New Roman"/>
          <w:b/>
          <w:bCs/>
          <w:sz w:val="24"/>
          <w:lang w:val="en-GB"/>
        </w:rPr>
        <w:t xml:space="preserve">Additional </w:t>
      </w:r>
      <w:r>
        <w:rPr>
          <w:rFonts w:eastAsia="宋体" w:cs="Times New Roman"/>
          <w:b/>
          <w:bCs/>
          <w:sz w:val="24"/>
          <w:lang w:val="en-GB" w:bidi="ar"/>
        </w:rPr>
        <w:t>Figure 5.</w:t>
      </w:r>
      <w:r>
        <w:rPr>
          <w:rFonts w:eastAsia="宋体" w:cs="Times New Roman"/>
          <w:sz w:val="24"/>
          <w:lang w:val="en-GB" w:bidi="ar"/>
        </w:rPr>
        <w:t xml:space="preserve"> ROC curves and cut-off values for Model 1 in </w:t>
      </w:r>
      <w:r>
        <w:rPr>
          <w:rFonts w:eastAsia="宋体" w:cs="Times New Roman"/>
          <w:sz w:val="24"/>
          <w:lang w:val="en-GB"/>
        </w:rPr>
        <w:t xml:space="preserve">the development and validation </w:t>
      </w:r>
      <w:r>
        <w:rPr>
          <w:rFonts w:eastAsia="宋体" w:cs="Times New Roman"/>
          <w:sz w:val="24"/>
          <w:lang w:val="en-GB" w:bidi="ar"/>
        </w:rPr>
        <w:t xml:space="preserve">cohorts. ROC, receiver operating characteristics. </w:t>
      </w:r>
    </w:p>
    <w:bookmarkEnd w:id="6"/>
    <w:p>
      <w:pPr>
        <w:rPr>
          <w:rFonts w:cs="Times New Roman"/>
          <w:sz w:val="24"/>
          <w:lang w:val="en-GB"/>
        </w:rPr>
      </w:pPr>
    </w:p>
    <w:p>
      <w:pPr>
        <w:widowControl/>
        <w:jc w:val="left"/>
        <w:rPr>
          <w:rFonts w:cs="Times New Roman"/>
          <w:sz w:val="24"/>
          <w:lang w:val="en-GB"/>
        </w:rPr>
      </w:pPr>
      <w:r>
        <w:rPr>
          <w:rFonts w:cs="Times New Roman"/>
          <w:sz w:val="24"/>
          <w:lang w:val="en-GB"/>
        </w:rPr>
        <w:br w:type="page"/>
      </w:r>
    </w:p>
    <w:p>
      <w:pPr>
        <w:rPr>
          <w:rFonts w:cs="Times New Roman"/>
          <w:sz w:val="24"/>
          <w:lang w:val="en-GB"/>
        </w:rPr>
      </w:pPr>
    </w:p>
    <w:p>
      <w:pPr>
        <w:rPr>
          <w:rFonts w:cs="Times New Roman"/>
          <w:sz w:val="24"/>
          <w:lang w:val="en-GB"/>
        </w:rPr>
      </w:pPr>
    </w:p>
    <w:p>
      <w:pPr>
        <w:rPr>
          <w:rFonts w:cs="Times New Roman"/>
          <w:sz w:val="24"/>
          <w:lang w:val="en-GB"/>
        </w:rPr>
      </w:pPr>
    </w:p>
    <w:p>
      <w:pPr>
        <w:rPr>
          <w:rFonts w:cs="Times New Roman"/>
          <w:sz w:val="24"/>
          <w:lang w:val="en-GB"/>
        </w:rPr>
      </w:pPr>
      <w:r>
        <w:rPr>
          <w:rFonts w:cs="Times New Roman"/>
          <w:sz w:val="24"/>
          <w:lang w:val="en-GB" w:eastAsia="en-US" w:bidi="he-IL"/>
        </w:rPr>
        <w:drawing>
          <wp:inline distT="0" distB="0" distL="0" distR="0">
            <wp:extent cx="5038725" cy="5505450"/>
            <wp:effectExtent l="0" t="0" r="9525" b="0"/>
            <wp:docPr id="16" name="Picture 16" descr="C:\Users\S Y Santosh\Desktop\GXUEY_1_8\Figures\Figure S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:\Users\S Y Santosh\Desktop\GXUEY_1_8\Figures\Figure S6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cs="Times New Roman"/>
          <w:sz w:val="24"/>
          <w:lang w:val="en-GB"/>
        </w:rPr>
      </w:pPr>
    </w:p>
    <w:p>
      <w:pPr>
        <w:rPr>
          <w:rFonts w:cs="Times New Roman"/>
          <w:sz w:val="24"/>
          <w:lang w:val="en-GB"/>
        </w:rPr>
      </w:pPr>
      <w:bookmarkStart w:id="7" w:name="_Hlk98370989"/>
      <w:r>
        <w:rPr>
          <w:rFonts w:cs="Times New Roman"/>
          <w:b/>
          <w:bCs/>
          <w:sz w:val="24"/>
          <w:lang w:val="en-GB"/>
        </w:rPr>
        <w:t>Additional Figure 6.</w:t>
      </w:r>
      <w:r>
        <w:rPr>
          <w:rFonts w:cs="Times New Roman"/>
          <w:sz w:val="24"/>
          <w:lang w:val="en-GB"/>
        </w:rPr>
        <w:t xml:space="preserve"> Forest plot of Model 2. CI confidence interval; DBP, diastolic blood pressure; HR, hazard ratio; HTN, hypertension; SBP, systolic blood pressure; WHR, waist-to-hip ratio.</w:t>
      </w:r>
    </w:p>
    <w:bookmarkEnd w:id="7"/>
    <w:p>
      <w:pPr>
        <w:rPr>
          <w:rFonts w:cs="Times New Roman"/>
          <w:sz w:val="24"/>
          <w:lang w:val="en-GB"/>
        </w:rPr>
      </w:pPr>
    </w:p>
    <w:p>
      <w:pPr>
        <w:widowControl/>
        <w:jc w:val="left"/>
        <w:rPr>
          <w:rFonts w:cs="Times New Roman"/>
          <w:sz w:val="24"/>
          <w:lang w:val="en-GB"/>
        </w:rPr>
      </w:pPr>
      <w:r>
        <w:rPr>
          <w:rFonts w:cs="Times New Roman"/>
          <w:sz w:val="24"/>
          <w:lang w:val="en-GB"/>
        </w:rPr>
        <w:br w:type="page"/>
      </w:r>
    </w:p>
    <w:p>
      <w:pPr>
        <w:rPr>
          <w:rFonts w:cs="Times New Roman"/>
          <w:sz w:val="24"/>
          <w:lang w:val="en-GB"/>
        </w:rPr>
      </w:pPr>
    </w:p>
    <w:p>
      <w:pPr>
        <w:rPr>
          <w:rFonts w:cs="Times New Roman"/>
          <w:sz w:val="24"/>
          <w:lang w:val="en-GB"/>
        </w:rPr>
      </w:pPr>
      <w:r>
        <w:rPr>
          <w:rFonts w:cs="Times New Roman"/>
          <w:sz w:val="24"/>
          <w:lang w:val="en-GB" w:eastAsia="en-US" w:bidi="he-IL"/>
        </w:rPr>
        <w:drawing>
          <wp:inline distT="0" distB="0" distL="0" distR="0">
            <wp:extent cx="5486400" cy="2658745"/>
            <wp:effectExtent l="0" t="0" r="0" b="8255"/>
            <wp:docPr id="17" name="Picture 17" descr="C:\Users\S Y Santosh\Desktop\GXUEY_1_8\Figures\Figure S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:\Users\S Y Santosh\Desktop\GXUEY_1_8\Figures\Figure S7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cs="Times New Roman"/>
          <w:sz w:val="24"/>
          <w:lang w:val="en-GB"/>
        </w:rPr>
      </w:pPr>
    </w:p>
    <w:p>
      <w:pPr>
        <w:rPr>
          <w:rFonts w:cs="Times New Roman"/>
          <w:sz w:val="24"/>
          <w:lang w:val="en-GB"/>
        </w:rPr>
      </w:pPr>
      <w:bookmarkStart w:id="8" w:name="_Hlk98370996"/>
      <w:r>
        <w:rPr>
          <w:rFonts w:cs="Times New Roman"/>
          <w:b/>
          <w:bCs/>
          <w:sz w:val="24"/>
          <w:lang w:val="en-GB"/>
        </w:rPr>
        <w:t>Additional Figure 7.</w:t>
      </w:r>
      <w:r>
        <w:rPr>
          <w:rFonts w:cs="Times New Roman"/>
          <w:sz w:val="24"/>
          <w:lang w:val="en-GB"/>
        </w:rPr>
        <w:t xml:space="preserve"> ROC curves and cut-off values for Model 2 in </w:t>
      </w:r>
      <w:r>
        <w:rPr>
          <w:rFonts w:eastAsia="宋体" w:cs="Times New Roman"/>
          <w:sz w:val="24"/>
          <w:lang w:val="en-GB"/>
        </w:rPr>
        <w:t xml:space="preserve">the development and validation </w:t>
      </w:r>
      <w:r>
        <w:rPr>
          <w:rFonts w:cs="Times New Roman"/>
          <w:sz w:val="24"/>
          <w:lang w:val="en-GB"/>
        </w:rPr>
        <w:t>cohorts.</w:t>
      </w:r>
      <w:r>
        <w:rPr>
          <w:rFonts w:eastAsia="宋体" w:cs="Times New Roman"/>
          <w:sz w:val="24"/>
          <w:lang w:val="en-GB" w:bidi="ar"/>
        </w:rPr>
        <w:t xml:space="preserve"> ROC, receiver operating characteristics. </w:t>
      </w:r>
    </w:p>
    <w:bookmarkEnd w:id="8"/>
    <w:p>
      <w:pPr>
        <w:rPr>
          <w:rFonts w:cs="Times New Roman"/>
          <w:sz w:val="24"/>
          <w:lang w:val="en-GB"/>
        </w:rPr>
      </w:pPr>
    </w:p>
    <w:p>
      <w:pPr>
        <w:rPr>
          <w:rFonts w:cs="Times New Roman"/>
          <w:sz w:val="24"/>
          <w:lang w:val="en-GB"/>
        </w:rPr>
      </w:pPr>
    </w:p>
    <w:p>
      <w:pPr>
        <w:rPr>
          <w:rFonts w:cs="Times New Roman"/>
          <w:sz w:val="24"/>
          <w:lang w:val="en-GB"/>
        </w:rPr>
      </w:pPr>
    </w:p>
    <w:p>
      <w:pPr>
        <w:rPr>
          <w:rFonts w:cs="Times New Roman"/>
          <w:sz w:val="24"/>
          <w:lang w:val="en-GB"/>
        </w:rPr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5256F12C-FAE8-4063-AB25-D495C6E20339}"/>
    <w:docVar w:name="KY_MEDREF_VERSION" w:val="3"/>
  </w:docVars>
  <w:rsids>
    <w:rsidRoot w:val="00C179D2"/>
    <w:rsid w:val="00007126"/>
    <w:rsid w:val="0003159A"/>
    <w:rsid w:val="00071628"/>
    <w:rsid w:val="00090321"/>
    <w:rsid w:val="001D39A7"/>
    <w:rsid w:val="002F3E0A"/>
    <w:rsid w:val="00303168"/>
    <w:rsid w:val="00312082"/>
    <w:rsid w:val="003740FF"/>
    <w:rsid w:val="003871BC"/>
    <w:rsid w:val="0039101A"/>
    <w:rsid w:val="003A5E31"/>
    <w:rsid w:val="004213F7"/>
    <w:rsid w:val="00442D2B"/>
    <w:rsid w:val="004A60E0"/>
    <w:rsid w:val="004F72B3"/>
    <w:rsid w:val="00506C26"/>
    <w:rsid w:val="00507B24"/>
    <w:rsid w:val="00511E1E"/>
    <w:rsid w:val="00517D44"/>
    <w:rsid w:val="005C4F0C"/>
    <w:rsid w:val="00611764"/>
    <w:rsid w:val="006804AA"/>
    <w:rsid w:val="006860B2"/>
    <w:rsid w:val="006B2831"/>
    <w:rsid w:val="006B5AEB"/>
    <w:rsid w:val="006D5946"/>
    <w:rsid w:val="00730E6E"/>
    <w:rsid w:val="007D0B68"/>
    <w:rsid w:val="00852BC1"/>
    <w:rsid w:val="00872CF4"/>
    <w:rsid w:val="008C6C1C"/>
    <w:rsid w:val="008E23F4"/>
    <w:rsid w:val="009123F9"/>
    <w:rsid w:val="00947306"/>
    <w:rsid w:val="009A16CE"/>
    <w:rsid w:val="009E4F9B"/>
    <w:rsid w:val="00AF6447"/>
    <w:rsid w:val="00B060FB"/>
    <w:rsid w:val="00B63143"/>
    <w:rsid w:val="00B67499"/>
    <w:rsid w:val="00B81646"/>
    <w:rsid w:val="00C179D2"/>
    <w:rsid w:val="00C410E8"/>
    <w:rsid w:val="00C6426B"/>
    <w:rsid w:val="00CD54A1"/>
    <w:rsid w:val="00D17DB6"/>
    <w:rsid w:val="00D54199"/>
    <w:rsid w:val="00D71F10"/>
    <w:rsid w:val="00D81EF4"/>
    <w:rsid w:val="00DE297F"/>
    <w:rsid w:val="00DE3B54"/>
    <w:rsid w:val="00E45B1A"/>
    <w:rsid w:val="00E53FA4"/>
    <w:rsid w:val="00E60980"/>
    <w:rsid w:val="00F5050C"/>
    <w:rsid w:val="00F5792B"/>
    <w:rsid w:val="00FA1861"/>
    <w:rsid w:val="00FD69E4"/>
    <w:rsid w:val="098E4E7E"/>
    <w:rsid w:val="0CFB7147"/>
    <w:rsid w:val="278D7A39"/>
    <w:rsid w:val="31C83639"/>
    <w:rsid w:val="39267C74"/>
    <w:rsid w:val="3DB15B69"/>
    <w:rsid w:val="453078F2"/>
    <w:rsid w:val="49315F32"/>
    <w:rsid w:val="58A0103C"/>
    <w:rsid w:val="65EA1E36"/>
    <w:rsid w:val="6B7F2AE5"/>
    <w:rsid w:val="6F88175C"/>
    <w:rsid w:val="71E30D92"/>
    <w:rsid w:val="7232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widowControl/>
      <w:spacing w:before="360" w:after="120" w:line="480" w:lineRule="auto"/>
      <w:outlineLvl w:val="0"/>
    </w:pPr>
    <w:rPr>
      <w:rFonts w:eastAsia="宋体" w:cs="Times New Roman"/>
      <w:b/>
      <w:bC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qFormat/>
    <w:uiPriority w:val="99"/>
    <w:rPr>
      <w:sz w:val="24"/>
      <w:szCs w:val="20"/>
    </w:rPr>
  </w:style>
  <w:style w:type="paragraph" w:styleId="4">
    <w:name w:val="Balloon Text"/>
    <w:basedOn w:val="1"/>
    <w:link w:val="20"/>
    <w:qFormat/>
    <w:uiPriority w:val="0"/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4"/>
    <w:uiPriority w:val="0"/>
    <w:pPr>
      <w:tabs>
        <w:tab w:val="center" w:pos="4680"/>
        <w:tab w:val="right" w:pos="9360"/>
      </w:tabs>
    </w:pPr>
  </w:style>
  <w:style w:type="paragraph" w:styleId="6">
    <w:name w:val="header"/>
    <w:basedOn w:val="1"/>
    <w:link w:val="13"/>
    <w:qFormat/>
    <w:uiPriority w:val="0"/>
    <w:pPr>
      <w:tabs>
        <w:tab w:val="center" w:pos="4680"/>
        <w:tab w:val="right" w:pos="9360"/>
      </w:tabs>
    </w:p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annotation subject"/>
    <w:basedOn w:val="3"/>
    <w:next w:val="3"/>
    <w:link w:val="16"/>
    <w:qFormat/>
    <w:uiPriority w:val="0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2">
    <w:name w:val="annotation reference"/>
    <w:basedOn w:val="11"/>
    <w:qFormat/>
    <w:uiPriority w:val="99"/>
    <w:rPr>
      <w:sz w:val="16"/>
      <w:szCs w:val="16"/>
    </w:rPr>
  </w:style>
  <w:style w:type="character" w:customStyle="1" w:styleId="13">
    <w:name w:val="Header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eastAsia="zh-CN"/>
    </w:rPr>
  </w:style>
  <w:style w:type="character" w:customStyle="1" w:styleId="14">
    <w:name w:val="Footer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eastAsia="zh-CN"/>
    </w:rPr>
  </w:style>
  <w:style w:type="character" w:customStyle="1" w:styleId="15">
    <w:name w:val="Comment Text Char"/>
    <w:basedOn w:val="11"/>
    <w:link w:val="3"/>
    <w:qFormat/>
    <w:uiPriority w:val="99"/>
    <w:rPr>
      <w:rFonts w:eastAsiaTheme="minorEastAsia" w:cstheme="minorBidi"/>
      <w:kern w:val="2"/>
      <w:sz w:val="24"/>
      <w:lang w:eastAsia="zh-CN"/>
    </w:rPr>
  </w:style>
  <w:style w:type="character" w:customStyle="1" w:styleId="16">
    <w:name w:val="Comment Subject Char"/>
    <w:basedOn w:val="15"/>
    <w:link w:val="8"/>
    <w:qFormat/>
    <w:uiPriority w:val="0"/>
    <w:rPr>
      <w:rFonts w:eastAsiaTheme="minorEastAsia" w:cstheme="minorBidi"/>
      <w:b/>
      <w:bCs/>
      <w:kern w:val="2"/>
      <w:sz w:val="24"/>
      <w:lang w:eastAsia="zh-CN"/>
    </w:rPr>
  </w:style>
  <w:style w:type="character" w:customStyle="1" w:styleId="17">
    <w:name w:val="Heading 1 Char"/>
    <w:basedOn w:val="11"/>
    <w:link w:val="2"/>
    <w:qFormat/>
    <w:uiPriority w:val="9"/>
    <w:rPr>
      <w:b/>
      <w:bCs/>
      <w:color w:val="000000" w:themeColor="text1"/>
      <w:kern w:val="2"/>
      <w:sz w:val="28"/>
      <w:szCs w:val="28"/>
      <w:lang w:eastAsia="zh-CN"/>
      <w14:textFill>
        <w14:solidFill>
          <w14:schemeClr w14:val="tx1"/>
        </w14:solidFill>
      </w14:textFill>
    </w:rPr>
  </w:style>
  <w:style w:type="paragraph" w:customStyle="1" w:styleId="18">
    <w:name w:val="Revision1"/>
    <w:hidden/>
    <w:semiHidden/>
    <w:qFormat/>
    <w:uiPriority w:val="99"/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9">
    <w:name w:val="Revision"/>
    <w:hidden/>
    <w:semiHidden/>
    <w:qFormat/>
    <w:uiPriority w:val="99"/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0">
    <w:name w:val="Balloon Text Char"/>
    <w:basedOn w:val="11"/>
    <w:link w:val="4"/>
    <w:qFormat/>
    <w:uiPriority w:val="0"/>
    <w:rPr>
      <w:rFonts w:ascii="Segoe UI" w:hAnsi="Segoe UI" w:cs="Segoe UI" w:eastAsiaTheme="minorEastAsia"/>
      <w:kern w:val="2"/>
      <w:sz w:val="18"/>
      <w:szCs w:val="1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D8E473-26B5-491F-9117-73ECB8349F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1001</Words>
  <Characters>5709</Characters>
  <Lines>47</Lines>
  <Paragraphs>13</Paragraphs>
  <TotalTime>8</TotalTime>
  <ScaleCrop>false</ScaleCrop>
  <LinksUpToDate>false</LinksUpToDate>
  <CharactersWithSpaces>6697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2022-01-10T12:58:00Z</dcterms:created>
  <dc:creator>樱弥萱</dc:creator>
  <cp:lastModifiedBy>樱弥萱</cp:lastModifiedBy>
  <dcterms:modified xsi:type="dcterms:W3CDTF">2022-03-21T11:27:36Z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7F2E0D45EC154FA08A18F7D2CE816E6C</vt:lpwstr>
  </property>
  <property fmtid="{D5CDD505-2E9C-101B-9397-08002B2CF9AE}" pid="3" name="KSOProductBuildVer">
    <vt:lpwstr>2052-11.1.0.11365</vt:lpwstr>
  </property>
</Properties>
</file>