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77F4FD" w14:textId="77777777" w:rsidR="00830187" w:rsidRPr="00081482" w:rsidRDefault="00830187" w:rsidP="00830187">
      <w:pPr>
        <w:spacing w:before="100" w:beforeAutospacing="1" w:after="100" w:afterAutospacing="1" w:line="240" w:lineRule="auto"/>
        <w:rPr>
          <w:rFonts w:ascii="Arial" w:hAnsi="Arial" w:cs="Arial"/>
          <w:b/>
          <w:bCs/>
        </w:rPr>
      </w:pPr>
      <w:r w:rsidRPr="00081482">
        <w:rPr>
          <w:rFonts w:ascii="Arial" w:hAnsi="Arial" w:cs="Arial"/>
          <w:b/>
          <w:bCs/>
        </w:rPr>
        <w:t>Extended Data figure 1. Standardized mean difference of predefined and algorithmically selected high dimensional variables between COVID-19 and contemporary control.</w:t>
      </w:r>
    </w:p>
    <w:p w14:paraId="3AFE6C78" w14:textId="77777777" w:rsidR="00830187" w:rsidRPr="00081482" w:rsidRDefault="00830187" w:rsidP="00830187">
      <w:pPr>
        <w:spacing w:before="100" w:beforeAutospacing="1" w:after="100" w:afterAutospacing="1" w:line="240" w:lineRule="auto"/>
        <w:rPr>
          <w:rFonts w:ascii="Arial" w:hAnsi="Arial" w:cs="Arial"/>
          <w:b/>
          <w:bCs/>
        </w:rPr>
      </w:pPr>
      <w:r w:rsidRPr="00081482">
        <w:rPr>
          <w:rFonts w:ascii="Arial" w:hAnsi="Arial" w:cs="Arial"/>
          <w:b/>
          <w:bCs/>
        </w:rPr>
        <w:t>Extended Data figure 2. Standardized mean difference of predefined and algorithmically selected high dimensional variables by care setting of the acute infection between COVID-19 and contemporary control.</w:t>
      </w:r>
    </w:p>
    <w:p w14:paraId="4D941A46" w14:textId="77777777" w:rsidR="00830187" w:rsidRPr="00081482" w:rsidRDefault="00830187" w:rsidP="00830187">
      <w:pPr>
        <w:spacing w:before="100" w:beforeAutospacing="1" w:after="100" w:afterAutospacing="1" w:line="240" w:lineRule="auto"/>
        <w:rPr>
          <w:rFonts w:ascii="Arial" w:hAnsi="Arial" w:cs="Arial"/>
          <w:b/>
          <w:bCs/>
        </w:rPr>
      </w:pPr>
      <w:r w:rsidRPr="00081482">
        <w:rPr>
          <w:rFonts w:ascii="Arial" w:hAnsi="Arial" w:cs="Arial"/>
          <w:b/>
          <w:bCs/>
        </w:rPr>
        <w:t>Extended Data figure 3. Standardized mean difference of predefined and algorithmically selected high dimensional variables between COVID-19 and historical control.</w:t>
      </w:r>
    </w:p>
    <w:p w14:paraId="45C0D1BC" w14:textId="77777777" w:rsidR="00830187" w:rsidRPr="00081482" w:rsidRDefault="00830187" w:rsidP="00830187">
      <w:pPr>
        <w:spacing w:before="100" w:beforeAutospacing="1" w:after="100" w:afterAutospacing="1" w:line="240" w:lineRule="auto"/>
        <w:rPr>
          <w:rFonts w:ascii="Arial" w:hAnsi="Arial" w:cs="Arial"/>
          <w:b/>
          <w:bCs/>
        </w:rPr>
      </w:pPr>
      <w:r w:rsidRPr="00081482">
        <w:rPr>
          <w:rFonts w:ascii="Arial" w:hAnsi="Arial" w:cs="Arial"/>
          <w:b/>
          <w:bCs/>
        </w:rPr>
        <w:t>Extended Data figure 4. Standardized mean difference of predefined and algorithmically selected high dimensional variables by care setting of the acute infection between COVID-19 and historical control.</w:t>
      </w:r>
    </w:p>
    <w:p w14:paraId="113AFF21" w14:textId="77777777" w:rsidR="00830187" w:rsidRPr="00081482" w:rsidRDefault="00830187" w:rsidP="00830187">
      <w:pPr>
        <w:spacing w:before="100" w:beforeAutospacing="1" w:after="100" w:afterAutospacing="1" w:line="240" w:lineRule="auto"/>
        <w:rPr>
          <w:rFonts w:ascii="Arial" w:hAnsi="Arial" w:cs="Arial"/>
          <w:color w:val="222222"/>
        </w:rPr>
      </w:pPr>
      <w:r w:rsidRPr="00081482">
        <w:rPr>
          <w:rFonts w:ascii="Arial" w:hAnsi="Arial" w:cs="Arial"/>
          <w:b/>
          <w:bCs/>
        </w:rPr>
        <w:t xml:space="preserve">Extended Data figure 5. Risks and 12-month burdens of incident post-acute COVID-19 neurologic outcomes compared with the historical control cohort. </w:t>
      </w:r>
      <w:r w:rsidRPr="00081482">
        <w:rPr>
          <w:rFonts w:ascii="Arial" w:hAnsi="Arial" w:cs="Arial"/>
          <w:color w:val="222222"/>
        </w:rPr>
        <w:t>Outcomes were ascertained 30 d after the COVID-19-positive test until the end of follow-up. COVID-19 cohort (</w:t>
      </w:r>
      <w:r w:rsidRPr="00081482">
        <w:rPr>
          <w:rFonts w:ascii="Arial" w:hAnsi="Arial" w:cs="Arial"/>
          <w:i/>
          <w:iCs/>
          <w:color w:val="222222"/>
        </w:rPr>
        <w:t>n</w:t>
      </w:r>
      <w:r w:rsidRPr="00081482">
        <w:rPr>
          <w:rFonts w:ascii="Arial" w:hAnsi="Arial" w:cs="Arial"/>
          <w:color w:val="222222"/>
        </w:rPr>
        <w:t> = 154,068) and historical control cohort (</w:t>
      </w:r>
      <w:r w:rsidRPr="00081482">
        <w:rPr>
          <w:rFonts w:ascii="Arial" w:hAnsi="Arial" w:cs="Arial"/>
          <w:i/>
          <w:iCs/>
          <w:color w:val="222222"/>
        </w:rPr>
        <w:t>n</w:t>
      </w:r>
      <w:r w:rsidRPr="00081482">
        <w:rPr>
          <w:rFonts w:ascii="Arial" w:hAnsi="Arial" w:cs="Arial"/>
          <w:color w:val="222222"/>
        </w:rPr>
        <w:t> = 5,859,621). Adjusted HRs and 95% CIs are presented. The length of the bar represents the excess burden per 1,000 persons at 12 months and associated 95% CIs are also shown. TIA, transient ischemic attack.</w:t>
      </w:r>
    </w:p>
    <w:p w14:paraId="1F5A42B2" w14:textId="77777777" w:rsidR="00830187" w:rsidRPr="00081482" w:rsidRDefault="00830187" w:rsidP="00830187">
      <w:pPr>
        <w:spacing w:before="100" w:beforeAutospacing="1" w:after="100" w:afterAutospacing="1" w:line="240" w:lineRule="auto"/>
        <w:rPr>
          <w:rFonts w:ascii="Arial" w:hAnsi="Arial" w:cs="Arial"/>
          <w:b/>
          <w:bCs/>
        </w:rPr>
      </w:pPr>
      <w:r w:rsidRPr="00081482">
        <w:rPr>
          <w:rFonts w:ascii="Arial" w:hAnsi="Arial" w:cs="Arial"/>
          <w:b/>
          <w:bCs/>
        </w:rPr>
        <w:t xml:space="preserve">Extended Data figure 6. Risks and 12-month burdens of incident post-acute COVID-19 composite neurologic outcomes compared with the historical control cohort. </w:t>
      </w:r>
      <w:r w:rsidRPr="00081482">
        <w:rPr>
          <w:rFonts w:ascii="Arial" w:hAnsi="Arial" w:cs="Arial"/>
          <w:color w:val="222222"/>
          <w:shd w:val="clear" w:color="auto" w:fill="FFFFFF"/>
        </w:rPr>
        <w:t xml:space="preserve">Composite outcomes consisted of cerebrovascular disorders (stroke and TIA), cognition and memory (memory problems and Alzheimer’s disease), disorders of the peripheral nerves (paresthesia, peripheral mononeuropathy, polyneuropathy, dysautonomia, and disorders of the facial nerve), episodic disorders (migraine, epilepsy and seizure, and headache disorders), extrapyramidal and movement disorders (abnormal involuntary movements, tremor, Parkinson-like disease, dystonia, and myoclonus), musculoskeletal disorders (joint pain, myalgia, and myopathy), sensory disorders (hearing abnormalities and tinnitus, vision abnormalities, loss of smell, and loss of taste), other neurologic </w:t>
      </w:r>
      <w:r w:rsidRPr="00D11498">
        <w:rPr>
          <w:rFonts w:ascii="Arial" w:hAnsi="Arial" w:cs="Arial"/>
          <w:color w:val="222222"/>
          <w:shd w:val="clear" w:color="auto" w:fill="FFFFFF"/>
        </w:rPr>
        <w:t xml:space="preserve">or related </w:t>
      </w:r>
      <w:r w:rsidRPr="00081482">
        <w:rPr>
          <w:rFonts w:ascii="Arial" w:hAnsi="Arial" w:cs="Arial"/>
          <w:color w:val="222222"/>
          <w:shd w:val="clear" w:color="auto" w:fill="FFFFFF"/>
        </w:rPr>
        <w:t>disorders (dizziness, somnolence, Guillain-</w:t>
      </w:r>
      <w:r>
        <w:rPr>
          <w:rFonts w:ascii="Arial" w:hAnsi="Arial" w:cs="Arial"/>
          <w:color w:val="222222"/>
          <w:shd w:val="clear" w:color="auto" w:fill="FFFFFF"/>
        </w:rPr>
        <w:t>Barré</w:t>
      </w:r>
      <w:r w:rsidRPr="00081482">
        <w:rPr>
          <w:rFonts w:ascii="Arial" w:hAnsi="Arial" w:cs="Arial"/>
          <w:color w:val="222222"/>
          <w:shd w:val="clear" w:color="auto" w:fill="FFFFFF"/>
        </w:rPr>
        <w:t xml:space="preserve"> syndrome, and encephalitis or encephalopathy), and any neurologic outcome (incident occurrence of any neurologic outcome studied). Outcomes were ascertained 30d after the COVID-19-positive test until the end of follow-up. COVID-19 cohort (</w:t>
      </w:r>
      <w:r w:rsidRPr="00081482">
        <w:rPr>
          <w:rFonts w:ascii="Arial" w:hAnsi="Arial" w:cs="Arial"/>
          <w:i/>
          <w:iCs/>
          <w:color w:val="222222"/>
          <w:shd w:val="clear" w:color="auto" w:fill="FFFFFF"/>
        </w:rPr>
        <w:t>n</w:t>
      </w:r>
      <w:r w:rsidRPr="00081482">
        <w:rPr>
          <w:rFonts w:ascii="Arial" w:hAnsi="Arial" w:cs="Arial"/>
          <w:color w:val="222222"/>
          <w:shd w:val="clear" w:color="auto" w:fill="FFFFFF"/>
        </w:rPr>
        <w:t> = 154,068) and historical control cohort (</w:t>
      </w:r>
      <w:r w:rsidRPr="00081482">
        <w:rPr>
          <w:rFonts w:ascii="Arial" w:hAnsi="Arial" w:cs="Arial"/>
          <w:i/>
          <w:iCs/>
          <w:color w:val="222222"/>
          <w:shd w:val="clear" w:color="auto" w:fill="FFFFFF"/>
        </w:rPr>
        <w:t>n</w:t>
      </w:r>
      <w:r w:rsidRPr="00081482">
        <w:rPr>
          <w:rFonts w:ascii="Arial" w:hAnsi="Arial" w:cs="Arial"/>
          <w:color w:val="222222"/>
          <w:shd w:val="clear" w:color="auto" w:fill="FFFFFF"/>
        </w:rPr>
        <w:t xml:space="preserve"> = 5,859,621). Adjusted HRs and 95% CIs are presented. The length of the bar represents the excess burden per 1,000 persons at 12 months and associated 95% CIs are also shown. TIA, transient ischemic attack. </w:t>
      </w:r>
    </w:p>
    <w:p w14:paraId="64BD78DC" w14:textId="77777777" w:rsidR="00830187" w:rsidRPr="00081482" w:rsidRDefault="00830187" w:rsidP="00830187">
      <w:pPr>
        <w:spacing w:before="100" w:beforeAutospacing="1" w:after="100" w:afterAutospacing="1" w:line="240" w:lineRule="auto"/>
        <w:rPr>
          <w:rFonts w:ascii="Arial" w:hAnsi="Arial" w:cs="Arial"/>
          <w:b/>
          <w:bCs/>
        </w:rPr>
      </w:pPr>
      <w:r w:rsidRPr="00081482">
        <w:rPr>
          <w:rFonts w:ascii="Arial" w:hAnsi="Arial" w:cs="Arial"/>
          <w:b/>
          <w:bCs/>
        </w:rPr>
        <w:t xml:space="preserve">Extended Data figure 7. Subgroup analyses of the risks of incident post-acute COVID-19 composite neurologic outcomes compared with the historical control cohort. </w:t>
      </w:r>
      <w:r w:rsidRPr="00081482">
        <w:rPr>
          <w:rFonts w:ascii="Arial" w:hAnsi="Arial" w:cs="Arial"/>
          <w:color w:val="222222"/>
          <w:shd w:val="clear" w:color="auto" w:fill="FFFFFF"/>
        </w:rPr>
        <w:t xml:space="preserve">Composite outcomes consisted of cerebrovascular disorders (stroke and TIA), cognition and memory (memory problems and Alzheimer’s disease), disorders of the peripheral nerves (paresthesia, peripheral mononeuropathy, polyneuropathy, dysautonomia, and disorders of the facial nerve), episodic disorders (migraine, epilepsy and seizure, and headache disorders), extrapyramidal and movement disorders (abnormal involuntary movements, tremor, Parkinson-like disease, dystonia, and myoclonus), musculoskeletal disorders (joint pain, myalgia, and myopathy), sensory disorders (hearing abnormalities and tinnitus, vision abnormalities, loss of smell, and loss of taste), other neurologic </w:t>
      </w:r>
      <w:r w:rsidRPr="00D11498">
        <w:rPr>
          <w:rFonts w:ascii="Arial" w:hAnsi="Arial" w:cs="Arial"/>
          <w:color w:val="222222"/>
          <w:shd w:val="clear" w:color="auto" w:fill="FFFFFF"/>
        </w:rPr>
        <w:t xml:space="preserve">or related </w:t>
      </w:r>
      <w:r w:rsidRPr="00081482">
        <w:rPr>
          <w:rFonts w:ascii="Arial" w:hAnsi="Arial" w:cs="Arial"/>
          <w:color w:val="222222"/>
          <w:shd w:val="clear" w:color="auto" w:fill="FFFFFF"/>
        </w:rPr>
        <w:t>disorders (dizziness, somnolence, Guillain-</w:t>
      </w:r>
      <w:r>
        <w:rPr>
          <w:rFonts w:ascii="Arial" w:hAnsi="Arial" w:cs="Arial"/>
          <w:color w:val="222222"/>
          <w:shd w:val="clear" w:color="auto" w:fill="FFFFFF"/>
        </w:rPr>
        <w:t>Barré</w:t>
      </w:r>
      <w:r w:rsidRPr="00081482">
        <w:rPr>
          <w:rFonts w:ascii="Arial" w:hAnsi="Arial" w:cs="Arial"/>
          <w:color w:val="222222"/>
          <w:shd w:val="clear" w:color="auto" w:fill="FFFFFF"/>
        </w:rPr>
        <w:t xml:space="preserve"> syndrome, and encephalitis or encephalopathy), and any neurologic outcome (incident occurrence of any neurologic outcome studied). Outcomes were ascertained 30d after the </w:t>
      </w:r>
      <w:r w:rsidRPr="00081482">
        <w:rPr>
          <w:rFonts w:ascii="Arial" w:hAnsi="Arial" w:cs="Arial"/>
          <w:color w:val="222222"/>
          <w:shd w:val="clear" w:color="auto" w:fill="FFFFFF"/>
        </w:rPr>
        <w:lastRenderedPageBreak/>
        <w:t>COVID-19-positive test until the end of follow-up. COVID-19 cohort (</w:t>
      </w:r>
      <w:r w:rsidRPr="00081482">
        <w:rPr>
          <w:rFonts w:ascii="Arial" w:hAnsi="Arial" w:cs="Arial"/>
          <w:i/>
          <w:iCs/>
          <w:color w:val="222222"/>
          <w:shd w:val="clear" w:color="auto" w:fill="FFFFFF"/>
        </w:rPr>
        <w:t>n</w:t>
      </w:r>
      <w:r w:rsidRPr="00081482">
        <w:rPr>
          <w:rFonts w:ascii="Arial" w:hAnsi="Arial" w:cs="Arial"/>
          <w:color w:val="222222"/>
          <w:shd w:val="clear" w:color="auto" w:fill="FFFFFF"/>
        </w:rPr>
        <w:t> = 154,068) and historical control cohort (</w:t>
      </w:r>
      <w:r w:rsidRPr="00081482">
        <w:rPr>
          <w:rFonts w:ascii="Arial" w:hAnsi="Arial" w:cs="Arial"/>
          <w:i/>
          <w:iCs/>
          <w:color w:val="222222"/>
          <w:shd w:val="clear" w:color="auto" w:fill="FFFFFF"/>
        </w:rPr>
        <w:t>n</w:t>
      </w:r>
      <w:r w:rsidRPr="00081482">
        <w:rPr>
          <w:rFonts w:ascii="Arial" w:hAnsi="Arial" w:cs="Arial"/>
          <w:color w:val="222222"/>
          <w:shd w:val="clear" w:color="auto" w:fill="FFFFFF"/>
        </w:rPr>
        <w:t xml:space="preserve"> = 5,859,621). Adjusted HRs and 95% CIs are presented. TIA, transient ischemic attack. </w:t>
      </w:r>
    </w:p>
    <w:p w14:paraId="53D273BA" w14:textId="77777777" w:rsidR="00830187" w:rsidRPr="00081482" w:rsidRDefault="00830187" w:rsidP="00830187">
      <w:pPr>
        <w:spacing w:before="100" w:beforeAutospacing="1" w:after="100" w:afterAutospacing="1" w:line="240" w:lineRule="auto"/>
        <w:rPr>
          <w:rFonts w:ascii="Arial" w:hAnsi="Arial" w:cs="Arial"/>
          <w:b/>
          <w:bCs/>
        </w:rPr>
      </w:pPr>
      <w:r w:rsidRPr="00081482">
        <w:rPr>
          <w:rFonts w:ascii="Arial" w:hAnsi="Arial" w:cs="Arial"/>
          <w:b/>
          <w:bCs/>
        </w:rPr>
        <w:t xml:space="preserve">Extended Data figure 8. Risks and 12-month burdens of incident post-acute COVID-19 neurologic outcomes by care setting of the acute infection compared with the historical control cohort. </w:t>
      </w:r>
      <w:r w:rsidRPr="00081482">
        <w:rPr>
          <w:rFonts w:ascii="Arial" w:hAnsi="Arial" w:cs="Arial"/>
          <w:color w:val="222222"/>
        </w:rPr>
        <w:t>Risks and burdens were assessed at 12 months in mutually exclusive groups comprising non-hospitalized individuals with COVID-19 (green), individuals hospitalized for COVID-19 (orange) and individuals admitted to intensive care for COVID-19 during the acute phase (first 30 d) of COVID-19 (blue). Outcomes were ascertained 30 d after the COVID-19-positive test until the end of follow-up. The historical control cohort served as the referent category. Within the COVID-19 cohort, non-hospitalized (</w:t>
      </w:r>
      <w:r w:rsidRPr="00081482">
        <w:rPr>
          <w:rFonts w:ascii="Arial" w:hAnsi="Arial" w:cs="Arial"/>
          <w:i/>
          <w:iCs/>
          <w:color w:val="222222"/>
        </w:rPr>
        <w:t>n</w:t>
      </w:r>
      <w:r w:rsidRPr="00081482">
        <w:rPr>
          <w:rFonts w:ascii="Arial" w:hAnsi="Arial" w:cs="Arial"/>
          <w:color w:val="222222"/>
        </w:rPr>
        <w:t> = 131,915), hospitalized (</w:t>
      </w:r>
      <w:r w:rsidRPr="00081482">
        <w:rPr>
          <w:rFonts w:ascii="Arial" w:hAnsi="Arial" w:cs="Arial"/>
          <w:i/>
          <w:iCs/>
          <w:color w:val="222222"/>
        </w:rPr>
        <w:t>n</w:t>
      </w:r>
      <w:r w:rsidRPr="00081482">
        <w:rPr>
          <w:rFonts w:ascii="Arial" w:hAnsi="Arial" w:cs="Arial"/>
          <w:color w:val="222222"/>
        </w:rPr>
        <w:t> = 16,764), admitted to intensive care (</w:t>
      </w:r>
      <w:r w:rsidRPr="00081482">
        <w:rPr>
          <w:rFonts w:ascii="Arial" w:hAnsi="Arial" w:cs="Arial"/>
          <w:i/>
          <w:iCs/>
          <w:color w:val="222222"/>
        </w:rPr>
        <w:t>n</w:t>
      </w:r>
      <w:r w:rsidRPr="00081482">
        <w:rPr>
          <w:rFonts w:ascii="Arial" w:hAnsi="Arial" w:cs="Arial"/>
          <w:color w:val="222222"/>
        </w:rPr>
        <w:t> = 5,389) and historical control cohort (</w:t>
      </w:r>
      <w:r w:rsidRPr="00081482">
        <w:rPr>
          <w:rFonts w:ascii="Arial" w:hAnsi="Arial" w:cs="Arial"/>
          <w:i/>
          <w:iCs/>
          <w:color w:val="222222"/>
        </w:rPr>
        <w:t>n</w:t>
      </w:r>
      <w:r w:rsidRPr="00081482">
        <w:rPr>
          <w:rFonts w:ascii="Arial" w:hAnsi="Arial" w:cs="Arial"/>
          <w:color w:val="222222"/>
        </w:rPr>
        <w:t xml:space="preserve"> = 5,809,908). Adjusted HRs and 95% CIs are presented. The length of the bar represents the excess burden per 1,000 persons at 12 months and related 95% CIs were also presented. TIA, transient ischemic attack. </w:t>
      </w:r>
    </w:p>
    <w:p w14:paraId="4BAE7E50" w14:textId="77777777" w:rsidR="00830187" w:rsidRPr="00081482" w:rsidRDefault="00830187" w:rsidP="00830187">
      <w:pPr>
        <w:pStyle w:val="NormalWeb"/>
        <w:shd w:val="clear" w:color="auto" w:fill="FFFFFF"/>
        <w:rPr>
          <w:rFonts w:ascii="Arial" w:hAnsi="Arial" w:cs="Arial"/>
          <w:b/>
          <w:bCs/>
          <w:sz w:val="22"/>
          <w:szCs w:val="22"/>
        </w:rPr>
      </w:pPr>
      <w:r w:rsidRPr="00081482">
        <w:rPr>
          <w:rFonts w:ascii="Arial" w:hAnsi="Arial" w:cs="Arial"/>
          <w:b/>
          <w:bCs/>
          <w:sz w:val="22"/>
          <w:szCs w:val="22"/>
        </w:rPr>
        <w:t xml:space="preserve">Extended Data figure 9. Risks and 12-month burdens of incident post-acute COVID-19 composite neurologic outcomes by care setting of the acute infection compared with the historical control cohort. </w:t>
      </w:r>
      <w:r w:rsidRPr="00081482">
        <w:rPr>
          <w:rFonts w:ascii="Arial" w:hAnsi="Arial" w:cs="Arial"/>
          <w:color w:val="222222"/>
          <w:sz w:val="22"/>
          <w:szCs w:val="22"/>
          <w:shd w:val="clear" w:color="auto" w:fill="FFFFFF"/>
        </w:rPr>
        <w:t xml:space="preserve">Risks and burdens were assessed at 12 months in mutually exclusive groups comprising non-hospitalized individuals with COVID-19 (green), individuals hospitalized for COVID-19 (orange) and individuals admitted to intensive care for COVID-19 during the acute phase (first 30 d) of COVID-19 (blue). Composite outcomes consisted of cerebrovascular disorders (stroke and TIA), cognition and memory (memory problems and Alzheimer’s disease), disorders of the peripheral nerves (paresthesia, peripheral mononeuropathy, polyneuropathy, dysautonomia, and disorders of the facial nerve), episodic disorders (migraine, epilepsy and seizure, and headache disorders), extrapyramidal and movement disorders (abnormal involuntary movements, tremor, Parkinson-like disease, dystonia, and myoclonus), musculoskeletal disorders (joint pain, myalgia, and myopathy), sensory disorders (hearing abnormalities and tinnitus, vision abnormalities, loss of smell, and loss of taste), other neurologic </w:t>
      </w:r>
      <w:r w:rsidRPr="00D11498">
        <w:rPr>
          <w:rFonts w:ascii="Arial" w:hAnsi="Arial" w:cs="Arial"/>
          <w:color w:val="222222"/>
          <w:shd w:val="clear" w:color="auto" w:fill="FFFFFF"/>
        </w:rPr>
        <w:t xml:space="preserve">or related </w:t>
      </w:r>
      <w:r w:rsidRPr="00081482">
        <w:rPr>
          <w:rFonts w:ascii="Arial" w:hAnsi="Arial" w:cs="Arial"/>
          <w:color w:val="222222"/>
          <w:sz w:val="22"/>
          <w:szCs w:val="22"/>
          <w:shd w:val="clear" w:color="auto" w:fill="FFFFFF"/>
        </w:rPr>
        <w:t>disorders (dizziness, somnolence, Guillain-</w:t>
      </w:r>
      <w:r>
        <w:rPr>
          <w:rFonts w:ascii="Arial" w:hAnsi="Arial" w:cs="Arial"/>
          <w:color w:val="222222"/>
          <w:sz w:val="22"/>
          <w:szCs w:val="22"/>
          <w:shd w:val="clear" w:color="auto" w:fill="FFFFFF"/>
        </w:rPr>
        <w:t>Barré</w:t>
      </w:r>
      <w:r w:rsidRPr="00081482">
        <w:rPr>
          <w:rFonts w:ascii="Arial" w:hAnsi="Arial" w:cs="Arial"/>
          <w:color w:val="222222"/>
          <w:sz w:val="22"/>
          <w:szCs w:val="22"/>
          <w:shd w:val="clear" w:color="auto" w:fill="FFFFFF"/>
        </w:rPr>
        <w:t xml:space="preserve"> syndrome, and encephalitis or encephalopathy), and any neurologic outcome (incident occurrence of any neurologic outcome studied). Outcomes were ascertained 30 d after the COVID-19-positive test until the end of follow-up. The historical control cohort served as the referent category. Within the COVID-19 cohort, non-hospitalized (</w:t>
      </w:r>
      <w:r w:rsidRPr="00081482">
        <w:rPr>
          <w:rFonts w:ascii="Arial" w:hAnsi="Arial" w:cs="Arial"/>
          <w:i/>
          <w:iCs/>
          <w:color w:val="222222"/>
          <w:sz w:val="22"/>
          <w:szCs w:val="22"/>
          <w:shd w:val="clear" w:color="auto" w:fill="FFFFFF"/>
        </w:rPr>
        <w:t>n</w:t>
      </w:r>
      <w:r w:rsidRPr="00081482">
        <w:rPr>
          <w:rFonts w:ascii="Arial" w:hAnsi="Arial" w:cs="Arial"/>
          <w:color w:val="222222"/>
          <w:sz w:val="22"/>
          <w:szCs w:val="22"/>
          <w:shd w:val="clear" w:color="auto" w:fill="FFFFFF"/>
        </w:rPr>
        <w:t> = 131,915), hospitalized (</w:t>
      </w:r>
      <w:r w:rsidRPr="00081482">
        <w:rPr>
          <w:rFonts w:ascii="Arial" w:hAnsi="Arial" w:cs="Arial"/>
          <w:i/>
          <w:iCs/>
          <w:color w:val="222222"/>
          <w:sz w:val="22"/>
          <w:szCs w:val="22"/>
          <w:shd w:val="clear" w:color="auto" w:fill="FFFFFF"/>
        </w:rPr>
        <w:t>n</w:t>
      </w:r>
      <w:r w:rsidRPr="00081482">
        <w:rPr>
          <w:rFonts w:ascii="Arial" w:hAnsi="Arial" w:cs="Arial"/>
          <w:color w:val="222222"/>
          <w:sz w:val="22"/>
          <w:szCs w:val="22"/>
          <w:shd w:val="clear" w:color="auto" w:fill="FFFFFF"/>
        </w:rPr>
        <w:t> = 16,764), admitted to intensive care (</w:t>
      </w:r>
      <w:r w:rsidRPr="00081482">
        <w:rPr>
          <w:rFonts w:ascii="Arial" w:hAnsi="Arial" w:cs="Arial"/>
          <w:i/>
          <w:iCs/>
          <w:color w:val="222222"/>
          <w:sz w:val="22"/>
          <w:szCs w:val="22"/>
          <w:shd w:val="clear" w:color="auto" w:fill="FFFFFF"/>
        </w:rPr>
        <w:t>n</w:t>
      </w:r>
      <w:r w:rsidRPr="00081482">
        <w:rPr>
          <w:rFonts w:ascii="Arial" w:hAnsi="Arial" w:cs="Arial"/>
          <w:color w:val="222222"/>
          <w:sz w:val="22"/>
          <w:szCs w:val="22"/>
          <w:shd w:val="clear" w:color="auto" w:fill="FFFFFF"/>
        </w:rPr>
        <w:t> = 5,389) and historical control cohort (</w:t>
      </w:r>
      <w:r w:rsidRPr="00081482">
        <w:rPr>
          <w:rFonts w:ascii="Arial" w:hAnsi="Arial" w:cs="Arial"/>
          <w:i/>
          <w:iCs/>
          <w:color w:val="222222"/>
          <w:sz w:val="22"/>
          <w:szCs w:val="22"/>
          <w:shd w:val="clear" w:color="auto" w:fill="FFFFFF"/>
        </w:rPr>
        <w:t>n</w:t>
      </w:r>
      <w:r w:rsidRPr="00081482">
        <w:rPr>
          <w:rFonts w:ascii="Arial" w:hAnsi="Arial" w:cs="Arial"/>
          <w:color w:val="222222"/>
          <w:sz w:val="22"/>
          <w:szCs w:val="22"/>
          <w:shd w:val="clear" w:color="auto" w:fill="FFFFFF"/>
        </w:rPr>
        <w:t xml:space="preserve"> = 5,809,908). Adjusted HRs and 95% CIs are presented. The length of the bar represents the excess burden per 1,000 persons at 12 months and related 95% CIs were also presented. TIA, transient ischemic attack. </w:t>
      </w:r>
    </w:p>
    <w:p w14:paraId="00309171" w14:textId="77777777" w:rsidR="00830187" w:rsidRPr="00081482" w:rsidRDefault="00830187" w:rsidP="00830187">
      <w:pPr>
        <w:pStyle w:val="NormalWeb"/>
        <w:shd w:val="clear" w:color="auto" w:fill="FFFFFF"/>
        <w:rPr>
          <w:rFonts w:ascii="Arial" w:hAnsi="Arial" w:cs="Arial"/>
          <w:b/>
          <w:bCs/>
          <w:color w:val="222222"/>
          <w:sz w:val="22"/>
          <w:szCs w:val="22"/>
        </w:rPr>
      </w:pPr>
      <w:r w:rsidRPr="00081482">
        <w:rPr>
          <w:rFonts w:ascii="Arial" w:hAnsi="Arial" w:cs="Arial"/>
          <w:b/>
          <w:bCs/>
          <w:sz w:val="22"/>
          <w:szCs w:val="22"/>
        </w:rPr>
        <w:t>Extended Data figure 10. Cohort construction flowchart</w:t>
      </w:r>
    </w:p>
    <w:p w14:paraId="436B5662" w14:textId="77777777" w:rsidR="002B57F5" w:rsidRDefault="002B57F5"/>
    <w:sectPr w:rsidR="002B57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187"/>
    <w:rsid w:val="002B57F5"/>
    <w:rsid w:val="008301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FFF0CB"/>
  <w15:chartTrackingRefBased/>
  <w15:docId w15:val="{951F8F56-50D4-44DA-9466-93ADBC8F2D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018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3018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1024</Words>
  <Characters>5840</Characters>
  <Application>Microsoft Office Word</Application>
  <DocSecurity>0</DocSecurity>
  <Lines>48</Lines>
  <Paragraphs>13</Paragraphs>
  <ScaleCrop>false</ScaleCrop>
  <Company/>
  <LinksUpToDate>false</LinksUpToDate>
  <CharactersWithSpaces>6851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2022-03-28T17:41:00Z</dcterms:created>
  <dcterms:modified xsi:type="dcterms:W3CDTF">2022-03-28T17:41:00Z</dcterms:modified>
</cp:coreProperties>
</file>