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C0457" w:rsidRDefault="00CC0457" w:rsidP="00CC0457">
      <w:pPr>
        <w:tabs>
          <w:tab w:val="left" w:pos="1293"/>
        </w:tabs>
        <w:spacing w:line="240" w:lineRule="auto"/>
        <w:jc w:val="left"/>
        <w:rPr>
          <w:rFonts w:ascii="Times New Roman" w:hAnsi="Times New Roman" w:cs="Times New Roman"/>
          <w:b/>
          <w:bCs/>
          <w:color w:val="000000"/>
          <w:sz w:val="22"/>
          <w:szCs w:val="22"/>
        </w:rPr>
      </w:pPr>
      <w:r w:rsidRPr="00CC0457">
        <w:rPr>
          <w:rFonts w:ascii="Times New Roman" w:hAnsi="Times New Roman" w:cs="Times New Roman"/>
          <w:b/>
          <w:bCs/>
          <w:color w:val="000000"/>
          <w:sz w:val="22"/>
          <w:szCs w:val="22"/>
        </w:rPr>
        <w:t>figure captions</w:t>
      </w:r>
      <w:r>
        <w:rPr>
          <w:rFonts w:ascii="Times New Roman" w:hAnsi="Times New Roman" w:cs="Times New Roman"/>
          <w:b/>
          <w:bCs/>
          <w:color w:val="000000"/>
          <w:sz w:val="22"/>
          <w:szCs w:val="22"/>
        </w:rPr>
        <w:t>:</w:t>
      </w:r>
      <w:bookmarkStart w:id="0" w:name="_GoBack"/>
      <w:bookmarkEnd w:id="0"/>
    </w:p>
    <w:p w:rsidR="00CC0457" w:rsidRDefault="00CC0457" w:rsidP="00CC0457">
      <w:pPr>
        <w:tabs>
          <w:tab w:val="left" w:pos="1293"/>
        </w:tabs>
        <w:spacing w:line="240" w:lineRule="auto"/>
        <w:jc w:val="left"/>
        <w:rPr>
          <w:rFonts w:ascii="Times New Roman" w:hAnsi="Times New Roman" w:cs="Times New Roman"/>
          <w:b/>
          <w:bCs/>
          <w:color w:val="000000"/>
          <w:sz w:val="22"/>
          <w:szCs w:val="22"/>
        </w:rPr>
      </w:pPr>
    </w:p>
    <w:p w:rsidR="00CC0457" w:rsidRDefault="00CC0457" w:rsidP="00CC0457">
      <w:pPr>
        <w:tabs>
          <w:tab w:val="left" w:pos="1293"/>
        </w:tabs>
        <w:spacing w:line="240" w:lineRule="auto"/>
        <w:jc w:val="left"/>
        <w:rPr>
          <w:rFonts w:ascii="Times New Roman" w:hAnsi="Times New Roman" w:cs="Times New Roman"/>
          <w:b/>
          <w:bCs/>
          <w:i/>
          <w:iCs/>
          <w:sz w:val="22"/>
          <w:szCs w:val="22"/>
        </w:rPr>
      </w:pPr>
      <w:r>
        <w:rPr>
          <w:rFonts w:ascii="Times New Roman" w:hAnsi="Times New Roman" w:cs="Times New Roman"/>
          <w:b/>
          <w:bCs/>
          <w:color w:val="000000"/>
          <w:sz w:val="22"/>
          <w:szCs w:val="22"/>
        </w:rPr>
        <w:t xml:space="preserve">Fig.2 </w:t>
      </w:r>
      <w:r>
        <w:rPr>
          <w:rFonts w:ascii="Times New Roman" w:hAnsi="Times New Roman" w:cs="Times New Roman"/>
          <w:color w:val="000000"/>
          <w:sz w:val="22"/>
          <w:szCs w:val="22"/>
        </w:rPr>
        <w:t>Principal component analysis of beta analysis (</w:t>
      </w:r>
      <w:r>
        <w:rPr>
          <w:rFonts w:ascii="Times New Roman" w:eastAsia="SimSun" w:hAnsi="Times New Roman" w:cs="Times New Roman"/>
          <w:noProof/>
          <w:sz w:val="22"/>
          <w:szCs w:val="22"/>
          <w:lang w:eastAsia="en-US"/>
        </w:rPr>
        <mc:AlternateContent>
          <mc:Choice Requires="wps">
            <w:drawing>
              <wp:inline distT="0" distB="0" distL="0" distR="0" wp14:anchorId="5F711FEB" wp14:editId="11E252F1">
                <wp:extent cx="107950" cy="101600"/>
                <wp:effectExtent l="0" t="0" r="25400" b="12700"/>
                <wp:docPr id="7" name="流程图: 联系 6"/>
                <wp:cNvGraphicFramePr/>
                <a:graphic xmlns:a="http://schemas.openxmlformats.org/drawingml/2006/main">
                  <a:graphicData uri="http://schemas.microsoft.com/office/word/2010/wordprocessingShape">
                    <wps:wsp>
                      <wps:cNvSpPr/>
                      <wps:spPr>
                        <a:xfrm>
                          <a:off x="0" y="0"/>
                          <a:ext cx="107950" cy="101600"/>
                        </a:xfrm>
                        <a:prstGeom prst="flowChartConnector">
                          <a:avLst/>
                        </a:prstGeom>
                        <a:solidFill>
                          <a:schemeClr val="accent1"/>
                        </a:solidFill>
                        <a:ln>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inline>
            </w:drawing>
          </mc:Choice>
          <mc:Fallback>
            <w:pict>
              <v:shapetype w14:anchorId="3872BBE5" id="_x0000_t120" coordsize="21600,21600" o:spt="120" path="m10800,qx,10800,10800,21600,21600,10800,10800,xe">
                <v:path gradientshapeok="t" o:connecttype="custom" o:connectlocs="10800,0;3163,3163;0,10800;3163,18437;10800,21600;18437,18437;21600,10800;18437,3163" textboxrect="3163,3163,18437,18437"/>
              </v:shapetype>
              <v:shape id="流程图: 联系 6" o:spid="_x0000_s1026" type="#_x0000_t120" style="width:8.5pt;height:8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" fillcolor="#5b9bd5 [3204]" strokecolor="#5b9bd5 [3204]" strokeweight="1pt">
                <v:stroke joinstyle="miter"/>
                <w10:anchorlock/>
              </v:shape>
            </w:pict>
          </mc:Fallback>
        </mc:AlternateContent>
      </w:r>
      <w:r>
        <w:rPr>
          <w:rFonts w:ascii="Times New Roman" w:eastAsia="SimSun" w:hAnsi="Times New Roman" w:cs="Times New Roman"/>
          <w:sz w:val="22"/>
          <w:szCs w:val="22"/>
        </w:rPr>
        <w:t xml:space="preserve">:AA group; </w:t>
      </w:r>
      <w:r>
        <w:rPr>
          <w:rFonts w:ascii="Times New Roman" w:hAnsi="Times New Roman" w:cs="Times New Roman"/>
          <w:noProof/>
          <w:sz w:val="22"/>
          <w:szCs w:val="22"/>
          <w:lang w:eastAsia="en-US"/>
        </w:rPr>
        <mc:AlternateContent>
          <mc:Choice Requires="wps">
            <w:drawing>
              <wp:inline distT="0" distB="0" distL="0" distR="0" wp14:anchorId="32948F7D" wp14:editId="08518122">
                <wp:extent cx="133350" cy="107950"/>
                <wp:effectExtent l="19050" t="19050" r="38100" b="25400"/>
                <wp:docPr id="8" name="等腰三角形 7"/>
                <wp:cNvGraphicFramePr/>
                <a:graphic xmlns:a="http://schemas.openxmlformats.org/drawingml/2006/main">
                  <a:graphicData uri="http://schemas.microsoft.com/office/word/2010/wordprocessingShape">
                    <wps:wsp>
                      <wps:cNvSpPr/>
                      <wps:spPr>
                        <a:xfrm>
                          <a:off x="0" y="0"/>
                          <a:ext cx="133350" cy="107950"/>
                        </a:xfrm>
                        <a:prstGeom prst="triangle">
                          <a:avLst/>
                        </a:prstGeom>
                        <a:solidFill>
                          <a:srgbClr val="00B050"/>
                        </a:solidFill>
                        <a:ln>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inline>
            </w:drawing>
          </mc:Choice>
          <mc:Fallback>
            <w:pict>
              <v:shapetype w14:anchorId="28FC5593"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等腰三角形 7" o:spid="_x0000_s1026" type="#_x0000_t5" style="width:10.5pt;height:8.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" fillcolor="#00b050" strokecolor="#00b050" strokeweight="1pt">
                <w10:anchorlock/>
              </v:shape>
            </w:pict>
          </mc:Fallback>
        </mc:AlternateContent>
      </w:r>
      <w:r>
        <w:rPr>
          <w:rFonts w:ascii="Times New Roman" w:hAnsi="Times New Roman" w:cs="Times New Roman"/>
          <w:sz w:val="22"/>
          <w:szCs w:val="22"/>
        </w:rPr>
        <w:t>: Control group</w:t>
      </w:r>
      <w:r>
        <w:rPr>
          <w:rFonts w:ascii="Times New Roman" w:hAnsi="Times New Roman" w:cs="Times New Roman"/>
          <w:color w:val="000000"/>
          <w:sz w:val="22"/>
          <w:szCs w:val="22"/>
        </w:rPr>
        <w:t>). The more similar the sample community compositions, the closer they were to each other in the figure. The result confirmed the presence of compositional differences in the GM structure of AA patients and healthy controls. (GM: gut microbiota)</w:t>
      </w:r>
    </w:p>
    <w:p w:rsidR="00FF0F33" w:rsidRDefault="00CC0457"/>
    <w:p w:rsidR="00CC0457" w:rsidRDefault="00CC0457"/>
    <w:p w:rsidR="00CC0457" w:rsidRDefault="00CC0457" w:rsidP="00CC0457">
      <w:pPr>
        <w:tabs>
          <w:tab w:val="left" w:pos="1293"/>
        </w:tabs>
        <w:spacing w:line="240" w:lineRule="auto"/>
        <w:jc w:val="left"/>
        <w:rPr>
          <w:rFonts w:ascii="Times New Roman" w:hAnsi="Times New Roman" w:cs="Times New Roman"/>
          <w:color w:val="000000"/>
          <w:sz w:val="22"/>
          <w:szCs w:val="22"/>
        </w:rPr>
      </w:pPr>
      <w:r>
        <w:rPr>
          <w:rFonts w:ascii="Times New Roman" w:hAnsi="Times New Roman" w:cs="Times New Roman"/>
          <w:b/>
          <w:bCs/>
          <w:color w:val="000000"/>
          <w:sz w:val="22"/>
          <w:szCs w:val="22"/>
        </w:rPr>
        <w:t xml:space="preserve">Fig. 3 </w:t>
      </w:r>
      <w:r>
        <w:rPr>
          <w:rFonts w:ascii="Times New Roman" w:hAnsi="Times New Roman" w:cs="Times New Roman"/>
          <w:color w:val="000000"/>
          <w:sz w:val="22"/>
          <w:szCs w:val="22"/>
        </w:rPr>
        <w:t>Alpha diversity (</w:t>
      </w:r>
      <w:r>
        <w:rPr>
          <w:rFonts w:ascii="Times New Roman" w:eastAsia="SimSun" w:hAnsi="Times New Roman" w:cs="Times New Roman"/>
          <w:noProof/>
          <w:sz w:val="22"/>
          <w:szCs w:val="22"/>
          <w:lang w:eastAsia="en-US"/>
        </w:rPr>
        <mc:AlternateContent>
          <mc:Choice Requires="wps">
            <w:drawing>
              <wp:inline distT="0" distB="0" distL="0" distR="0" wp14:anchorId="45A52196" wp14:editId="6B065EE4">
                <wp:extent cx="107950" cy="101600"/>
                <wp:effectExtent l="0" t="0" r="25400" b="12700"/>
                <wp:docPr id="3" name="流程图: 联系 6"/>
                <wp:cNvGraphicFramePr/>
                <a:graphic xmlns:a="http://schemas.openxmlformats.org/drawingml/2006/main">
                  <a:graphicData uri="http://schemas.microsoft.com/office/word/2010/wordprocessingShape">
                    <wps:wsp>
                      <wps:cNvSpPr/>
                      <wps:spPr>
                        <a:xfrm>
                          <a:off x="0" y="0"/>
                          <a:ext cx="107950" cy="101600"/>
                        </a:xfrm>
                        <a:prstGeom prst="flowChartConnector">
                          <a:avLst/>
                        </a:prstGeom>
                        <a:solidFill>
                          <a:schemeClr val="accent1"/>
                        </a:solidFill>
                        <a:ln>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inline>
            </w:drawing>
          </mc:Choice>
          <mc:Fallback>
            <w:pict>
              <v:shape w14:anchorId="1C7DB372" id="流程图: 联系 6" o:spid="_x0000_s1026" type="#_x0000_t120" style="width:8.5pt;height:8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" fillcolor="#5b9bd5 [3204]" strokecolor="#5b9bd5 [3204]" strokeweight="1pt">
                <v:stroke joinstyle="miter"/>
                <w10:anchorlock/>
              </v:shape>
            </w:pict>
          </mc:Fallback>
        </mc:AlternateContent>
      </w:r>
      <w:r>
        <w:rPr>
          <w:rFonts w:ascii="Times New Roman" w:eastAsia="SimSun" w:hAnsi="Times New Roman" w:cs="Times New Roman"/>
          <w:sz w:val="22"/>
          <w:szCs w:val="22"/>
        </w:rPr>
        <w:t xml:space="preserve">:AA group; </w:t>
      </w:r>
      <w:r>
        <w:rPr>
          <w:rFonts w:ascii="Times New Roman" w:hAnsi="Times New Roman" w:cs="Times New Roman"/>
          <w:noProof/>
          <w:sz w:val="22"/>
          <w:szCs w:val="22"/>
          <w:lang w:eastAsia="en-US"/>
        </w:rPr>
        <mc:AlternateContent>
          <mc:Choice Requires="wps">
            <w:drawing>
              <wp:inline distT="0" distB="0" distL="0" distR="0" wp14:anchorId="6E734424" wp14:editId="570A07E5">
                <wp:extent cx="133350" cy="107950"/>
                <wp:effectExtent l="19050" t="19050" r="38100" b="25400"/>
                <wp:docPr id="5" name="等腰三角形 7"/>
                <wp:cNvGraphicFramePr/>
                <a:graphic xmlns:a="http://schemas.openxmlformats.org/drawingml/2006/main">
                  <a:graphicData uri="http://schemas.microsoft.com/office/word/2010/wordprocessingShape">
                    <wps:wsp>
                      <wps:cNvSpPr/>
                      <wps:spPr>
                        <a:xfrm>
                          <a:off x="0" y="0"/>
                          <a:ext cx="133350" cy="107950"/>
                        </a:xfrm>
                        <a:prstGeom prst="triangle">
                          <a:avLst/>
                        </a:prstGeom>
                        <a:solidFill>
                          <a:srgbClr val="00B050"/>
                        </a:solidFill>
                        <a:ln>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inline>
            </w:drawing>
          </mc:Choice>
          <mc:Fallback>
            <w:pict>
              <v:shape w14:anchorId="0F2EA3C1" id="等腰三角形 7" o:spid="_x0000_s1026" type="#_x0000_t5" style="width:10.5pt;height:8.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" fillcolor="#00b050" strokecolor="#00b050" strokeweight="1pt">
                <w10:anchorlock/>
              </v:shape>
            </w:pict>
          </mc:Fallback>
        </mc:AlternateContent>
      </w:r>
      <w:r>
        <w:rPr>
          <w:rFonts w:ascii="Times New Roman" w:hAnsi="Times New Roman" w:cs="Times New Roman"/>
          <w:sz w:val="22"/>
          <w:szCs w:val="22"/>
        </w:rPr>
        <w:t>: Control group</w:t>
      </w:r>
      <w:r>
        <w:rPr>
          <w:rFonts w:ascii="Times New Roman" w:hAnsi="Times New Roman" w:cs="Times New Roman"/>
          <w:color w:val="000000"/>
          <w:sz w:val="22"/>
          <w:szCs w:val="22"/>
        </w:rPr>
        <w:t xml:space="preserve">). Alpha diversity used to assess the diversity and richness of the ecosystem between the AA and the Control groups. As measured by the Chao 1 and PD index, the diversity and richness of the ecosystem were higher in the AA group, when compared to those in the Control group (**: </w:t>
      </w:r>
      <w:r>
        <w:rPr>
          <w:rFonts w:ascii="Times New Roman" w:hAnsi="Times New Roman" w:cs="Times New Roman"/>
          <w:i/>
          <w:iCs/>
          <w:color w:val="000000"/>
          <w:sz w:val="22"/>
          <w:szCs w:val="22"/>
        </w:rPr>
        <w:t>p</w:t>
      </w:r>
      <w:r>
        <w:rPr>
          <w:rFonts w:ascii="Times New Roman" w:hAnsi="Times New Roman" w:cs="Times New Roman"/>
          <w:color w:val="000000"/>
          <w:sz w:val="22"/>
          <w:szCs w:val="22"/>
        </w:rPr>
        <w:t xml:space="preserve">&lt; 0.01, ***: </w:t>
      </w:r>
      <w:r>
        <w:rPr>
          <w:rFonts w:ascii="Times New Roman" w:hAnsi="Times New Roman" w:cs="Times New Roman"/>
          <w:i/>
          <w:iCs/>
          <w:color w:val="000000"/>
          <w:sz w:val="22"/>
          <w:szCs w:val="22"/>
        </w:rPr>
        <w:t>p</w:t>
      </w:r>
      <w:r>
        <w:rPr>
          <w:rFonts w:ascii="Times New Roman" w:hAnsi="Times New Roman" w:cs="Times New Roman"/>
          <w:color w:val="000000"/>
          <w:sz w:val="22"/>
          <w:szCs w:val="22"/>
        </w:rPr>
        <w:t xml:space="preserve">&lt; 0.001). NSAA: non-severity aplastic anemia; SAA: severity aplastic anemia. </w:t>
      </w:r>
    </w:p>
    <w:p w:rsidR="00CC0457" w:rsidRDefault="00CC0457"/>
    <w:sectPr w:rsidR="00CC045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0457"/>
    <w:rsid w:val="00733948"/>
    <w:rsid w:val="00A745DE"/>
    <w:rsid w:val="00CC0457"/>
    <w:rsid w:val="00F75F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D3BD35"/>
  <w15:chartTrackingRefBased/>
  <w15:docId w15:val="{06FC1357-8B7B-4A19-9285-ADA9436629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C0457"/>
    <w:pPr>
      <w:widowControl w:val="0"/>
      <w:jc w:val="both"/>
    </w:pPr>
    <w:rPr>
      <w:rFonts w:eastAsiaTheme="minorEastAsia"/>
      <w:kern w:val="2"/>
      <w:sz w:val="21"/>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115</Words>
  <Characters>657</Characters>
  <Application>Microsoft Office Word</Application>
  <DocSecurity>0</DocSecurity>
  <Lines>5</Lines>
  <Paragraphs>1</Paragraphs>
  <ScaleCrop>false</ScaleCrop>
  <Company>Springer Nature</Company>
  <LinksUpToDate>false</LinksUpToDate>
  <CharactersWithSpaces>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Poonam Mutha</dc:creator>
  <cp:keywords/>
  <dc:description/>
  <cp:lastModifiedBy>Poonam Mutha</cp:lastModifiedBy>
  <cp:revision>1</cp:revision>
  <dcterms:created xsi:type="dcterms:W3CDTF">2021-01-22T07:18:00Z</dcterms:created>
  <dcterms:modified xsi:type="dcterms:W3CDTF">2021-01-22T07:19:00Z</dcterms:modified>
</cp:coreProperties>
</file>