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49B" w:rsidRDefault="00F5549B" w:rsidP="00F5549B">
      <w:pPr>
        <w:adjustRightInd w:val="0"/>
        <w:snapToGrid w:val="0"/>
        <w:spacing w:before="0" w:after="0" w:line="480" w:lineRule="auto"/>
        <w:rPr>
          <w:rFonts w:eastAsia="Microsoft YaHei" w:cs="Times New Roman"/>
          <w:i/>
          <w:iCs/>
          <w:szCs w:val="24"/>
        </w:rPr>
      </w:pPr>
    </w:p>
    <w:p w:rsidR="00F5549B" w:rsidRPr="00E94A36" w:rsidRDefault="00F5549B" w:rsidP="00F5549B">
      <w:pPr>
        <w:adjustRightInd w:val="0"/>
        <w:snapToGrid w:val="0"/>
        <w:spacing w:before="0" w:after="0" w:line="480" w:lineRule="auto"/>
        <w:rPr>
          <w:szCs w:val="24"/>
        </w:rPr>
      </w:pPr>
      <w:r w:rsidRPr="00E94A36">
        <w:rPr>
          <w:szCs w:val="24"/>
        </w:rPr>
        <w:t>A                                              B</w:t>
      </w:r>
    </w:p>
    <w:p w:rsidR="00F5549B" w:rsidRPr="00E94A36" w:rsidRDefault="00F5549B" w:rsidP="00F5549B">
      <w:pPr>
        <w:adjustRightInd w:val="0"/>
        <w:snapToGrid w:val="0"/>
        <w:spacing w:before="0" w:after="0" w:line="480" w:lineRule="auto"/>
        <w:rPr>
          <w:szCs w:val="24"/>
        </w:rPr>
      </w:pPr>
      <w:r w:rsidRPr="00E94A36">
        <w:rPr>
          <w:noProof/>
          <w:szCs w:val="24"/>
        </w:rPr>
        <w:drawing>
          <wp:inline distT="0" distB="0" distL="0" distR="0" wp14:anchorId="0EB2437B" wp14:editId="67D38B71">
            <wp:extent cx="1828800" cy="182880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r w:rsidRPr="00E94A36">
        <w:rPr>
          <w:szCs w:val="24"/>
        </w:rPr>
        <w:t xml:space="preserve"> </w:t>
      </w:r>
      <w:r w:rsidRPr="00E94A36">
        <w:rPr>
          <w:noProof/>
          <w:szCs w:val="24"/>
        </w:rPr>
        <w:drawing>
          <wp:inline distT="0" distB="0" distL="0" distR="0" wp14:anchorId="39994C03" wp14:editId="4905E063">
            <wp:extent cx="1828800" cy="182880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F5549B" w:rsidRPr="00E94A36" w:rsidRDefault="00F5549B" w:rsidP="00F5549B">
      <w:pPr>
        <w:adjustRightInd w:val="0"/>
        <w:snapToGrid w:val="0"/>
        <w:spacing w:before="0" w:after="0" w:line="480" w:lineRule="auto"/>
        <w:rPr>
          <w:szCs w:val="24"/>
        </w:rPr>
      </w:pPr>
      <w:r w:rsidRPr="00E94A36">
        <w:rPr>
          <w:szCs w:val="24"/>
        </w:rPr>
        <w:t>C</w:t>
      </w:r>
    </w:p>
    <w:p w:rsidR="00F5549B" w:rsidRPr="00E94A36" w:rsidRDefault="00F5549B" w:rsidP="00F5549B">
      <w:pPr>
        <w:adjustRightInd w:val="0"/>
        <w:snapToGrid w:val="0"/>
        <w:spacing w:before="0" w:after="0" w:line="480" w:lineRule="auto"/>
        <w:rPr>
          <w:szCs w:val="24"/>
        </w:rPr>
      </w:pPr>
      <w:r w:rsidRPr="00E94A36">
        <w:rPr>
          <w:noProof/>
          <w:szCs w:val="24"/>
        </w:rPr>
        <w:drawing>
          <wp:inline distT="0" distB="0" distL="0" distR="0" wp14:anchorId="017E12E1" wp14:editId="5CA6FE34">
            <wp:extent cx="1828800" cy="182880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F5549B" w:rsidRPr="00E94A36" w:rsidRDefault="00F5549B" w:rsidP="00F5549B">
      <w:pPr>
        <w:adjustRightInd w:val="0"/>
        <w:snapToGrid w:val="0"/>
        <w:spacing w:before="0" w:after="0" w:line="480" w:lineRule="auto"/>
        <w:rPr>
          <w:szCs w:val="24"/>
          <w:lang w:eastAsia="zh-CN"/>
        </w:rPr>
      </w:pPr>
      <w:r w:rsidRPr="00E94A36">
        <w:rPr>
          <w:szCs w:val="24"/>
        </w:rPr>
        <w:t>D                                             E</w:t>
      </w:r>
    </w:p>
    <w:p w:rsidR="00F5549B" w:rsidRPr="00E94A36" w:rsidRDefault="00F5549B" w:rsidP="00F5549B">
      <w:pPr>
        <w:adjustRightInd w:val="0"/>
        <w:snapToGrid w:val="0"/>
        <w:spacing w:before="0" w:after="0" w:line="480" w:lineRule="auto"/>
        <w:rPr>
          <w:szCs w:val="24"/>
        </w:rPr>
      </w:pPr>
      <w:r w:rsidRPr="00E94A36">
        <w:rPr>
          <w:noProof/>
          <w:szCs w:val="24"/>
        </w:rPr>
        <w:drawing>
          <wp:inline distT="0" distB="0" distL="0" distR="0" wp14:anchorId="0D730123" wp14:editId="0FFF5E67">
            <wp:extent cx="1828800" cy="182880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r w:rsidRPr="00E94A36">
        <w:rPr>
          <w:szCs w:val="24"/>
        </w:rPr>
        <w:t xml:space="preserve"> </w:t>
      </w:r>
      <w:r w:rsidRPr="00E94A36">
        <w:rPr>
          <w:noProof/>
          <w:szCs w:val="24"/>
        </w:rPr>
        <w:drawing>
          <wp:inline distT="0" distB="0" distL="0" distR="0" wp14:anchorId="52D56238" wp14:editId="5F25DF26">
            <wp:extent cx="1828800" cy="182880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F5549B" w:rsidRPr="00E94A36" w:rsidRDefault="00F5549B" w:rsidP="00F5549B">
      <w:pPr>
        <w:adjustRightInd w:val="0"/>
        <w:snapToGrid w:val="0"/>
        <w:spacing w:before="0" w:after="0" w:line="480" w:lineRule="auto"/>
        <w:rPr>
          <w:szCs w:val="24"/>
        </w:rPr>
      </w:pPr>
      <w:r w:rsidRPr="00E94A36">
        <w:rPr>
          <w:rFonts w:hint="eastAsia"/>
          <w:szCs w:val="24"/>
          <w:lang w:eastAsia="zh-CN"/>
        </w:rPr>
        <w:t>F</w:t>
      </w:r>
    </w:p>
    <w:p w:rsidR="00F5549B" w:rsidRPr="00E94A36" w:rsidRDefault="00F5549B" w:rsidP="00F5549B">
      <w:pPr>
        <w:adjustRightInd w:val="0"/>
        <w:snapToGrid w:val="0"/>
        <w:spacing w:before="0" w:after="0" w:line="480" w:lineRule="auto"/>
        <w:rPr>
          <w:szCs w:val="24"/>
        </w:rPr>
      </w:pPr>
      <w:r w:rsidRPr="00E94A36">
        <w:rPr>
          <w:noProof/>
          <w:szCs w:val="24"/>
        </w:rPr>
        <w:lastRenderedPageBreak/>
        <w:drawing>
          <wp:inline distT="0" distB="0" distL="0" distR="0" wp14:anchorId="4AEEA8B8" wp14:editId="40CB749C">
            <wp:extent cx="1828800" cy="182880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F5549B" w:rsidRPr="00E94A36" w:rsidRDefault="00F5549B" w:rsidP="00F5549B">
      <w:pPr>
        <w:adjustRightInd w:val="0"/>
        <w:snapToGrid w:val="0"/>
        <w:spacing w:before="0" w:after="0" w:line="480" w:lineRule="auto"/>
        <w:rPr>
          <w:rFonts w:eastAsia="Microsoft YaHei"/>
          <w:szCs w:val="24"/>
        </w:rPr>
      </w:pPr>
      <w:r w:rsidRPr="00E94A36">
        <w:rPr>
          <w:rFonts w:eastAsia="Microsoft YaHei"/>
          <w:szCs w:val="24"/>
        </w:rPr>
        <w:t xml:space="preserve">Supplementary </w:t>
      </w:r>
      <w:r w:rsidRPr="00E94A36">
        <w:rPr>
          <w:rFonts w:eastAsia="Microsoft YaHei" w:hint="eastAsia"/>
          <w:szCs w:val="24"/>
        </w:rPr>
        <w:t>F</w:t>
      </w:r>
      <w:r w:rsidRPr="00E94A36">
        <w:rPr>
          <w:rFonts w:eastAsia="Microsoft YaHei"/>
          <w:szCs w:val="24"/>
        </w:rPr>
        <w:t xml:space="preserve">IGURE 1 Representative images of FN1 expression in TC, BC tissues and their normal controls from </w:t>
      </w:r>
      <w:r w:rsidRPr="00E94A36">
        <w:rPr>
          <w:color w:val="000000" w:themeColor="text1"/>
          <w:szCs w:val="24"/>
        </w:rPr>
        <w:t xml:space="preserve">Human Protein Atlas (HPA, </w:t>
      </w:r>
      <w:hyperlink r:id="rId11" w:history="1">
        <w:r w:rsidRPr="00E94A36">
          <w:rPr>
            <w:color w:val="000000" w:themeColor="text1"/>
            <w:szCs w:val="24"/>
          </w:rPr>
          <w:t>https://www.proteinatlas.org/</w:t>
        </w:r>
      </w:hyperlink>
      <w:r w:rsidRPr="00E94A36">
        <w:rPr>
          <w:color w:val="000000" w:themeColor="text1"/>
          <w:szCs w:val="24"/>
        </w:rPr>
        <w:t>)</w:t>
      </w:r>
      <w:r w:rsidRPr="00E94A36">
        <w:rPr>
          <w:rFonts w:eastAsia="Microsoft YaHei"/>
          <w:szCs w:val="24"/>
        </w:rPr>
        <w:t>. (A). H</w:t>
      </w:r>
      <w:r w:rsidRPr="00E94A36">
        <w:rPr>
          <w:rFonts w:eastAsia="Microsoft YaHei" w:hint="eastAsia"/>
          <w:szCs w:val="24"/>
        </w:rPr>
        <w:t>igh</w:t>
      </w:r>
      <w:r w:rsidRPr="00E94A36">
        <w:rPr>
          <w:rFonts w:eastAsia="Microsoft YaHei"/>
          <w:szCs w:val="24"/>
        </w:rPr>
        <w:t xml:space="preserve"> expression of FN1 in THCA tissues</w:t>
      </w:r>
      <w:r w:rsidRPr="00E94A36">
        <w:rPr>
          <w:rFonts w:eastAsia="Microsoft YaHei" w:hint="eastAsia"/>
          <w:szCs w:val="24"/>
        </w:rPr>
        <w:t>.</w:t>
      </w:r>
      <w:r w:rsidRPr="00E94A36">
        <w:rPr>
          <w:rFonts w:eastAsia="Microsoft YaHei"/>
          <w:szCs w:val="24"/>
        </w:rPr>
        <w:t xml:space="preserve"> (B). Low expression of FN1 in THCA tissues. (C). Low expression of FN1 in thyroid tissues. (D). H</w:t>
      </w:r>
      <w:r w:rsidRPr="00E94A36">
        <w:rPr>
          <w:rFonts w:eastAsia="Microsoft YaHei" w:hint="eastAsia"/>
          <w:szCs w:val="24"/>
        </w:rPr>
        <w:t>igh</w:t>
      </w:r>
      <w:r w:rsidRPr="00E94A36">
        <w:rPr>
          <w:rFonts w:eastAsia="Microsoft YaHei"/>
          <w:szCs w:val="24"/>
        </w:rPr>
        <w:t xml:space="preserve"> expression of FN1 in BRCA tissues</w:t>
      </w:r>
      <w:r w:rsidRPr="00E94A36">
        <w:rPr>
          <w:rFonts w:eastAsia="Microsoft YaHei" w:hint="eastAsia"/>
          <w:szCs w:val="24"/>
        </w:rPr>
        <w:t>.</w:t>
      </w:r>
      <w:r w:rsidRPr="00E94A36">
        <w:rPr>
          <w:rFonts w:eastAsia="Microsoft YaHei"/>
          <w:szCs w:val="24"/>
        </w:rPr>
        <w:t xml:space="preserve"> (E). Low expression of FN1 in BRCA tissues. (F). Low expression of FN1 in breast tissues. Original magnifications ×200.</w:t>
      </w:r>
    </w:p>
    <w:p w:rsidR="00F5549B" w:rsidRPr="00E94A36" w:rsidRDefault="00F5549B" w:rsidP="00F5549B">
      <w:pPr>
        <w:adjustRightInd w:val="0"/>
        <w:snapToGrid w:val="0"/>
        <w:spacing w:before="0" w:after="0" w:line="480" w:lineRule="auto"/>
        <w:rPr>
          <w:rFonts w:eastAsia="Microsoft YaHei"/>
          <w:szCs w:val="24"/>
          <w:lang w:eastAsia="zh-CN"/>
        </w:rPr>
      </w:pPr>
      <w:r w:rsidRPr="00E94A36">
        <w:rPr>
          <w:rFonts w:eastAsia="Microsoft YaHei" w:hint="eastAsia"/>
          <w:szCs w:val="24"/>
          <w:lang w:eastAsia="zh-CN"/>
        </w:rPr>
        <w:t>A</w:t>
      </w:r>
    </w:p>
    <w:p w:rsidR="00F5549B" w:rsidRPr="00E94A36" w:rsidRDefault="00F5549B" w:rsidP="00F5549B">
      <w:pPr>
        <w:adjustRightInd w:val="0"/>
        <w:snapToGrid w:val="0"/>
        <w:spacing w:before="0" w:after="0" w:line="480" w:lineRule="auto"/>
        <w:rPr>
          <w:rFonts w:eastAsia="Microsoft YaHei" w:cs="Times New Roman"/>
          <w:szCs w:val="24"/>
        </w:rPr>
      </w:pPr>
      <w:r w:rsidRPr="00E94A36">
        <w:rPr>
          <w:rFonts w:cs="Times New Roman"/>
          <w:noProof/>
          <w:szCs w:val="24"/>
        </w:rPr>
        <w:drawing>
          <wp:inline distT="0" distB="0" distL="0" distR="0" wp14:anchorId="58454F60" wp14:editId="7602F362">
            <wp:extent cx="4702810" cy="1371600"/>
            <wp:effectExtent l="0" t="0" r="254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02810" cy="1371600"/>
                    </a:xfrm>
                    <a:prstGeom prst="rect">
                      <a:avLst/>
                    </a:prstGeom>
                    <a:noFill/>
                    <a:ln>
                      <a:noFill/>
                    </a:ln>
                  </pic:spPr>
                </pic:pic>
              </a:graphicData>
            </a:graphic>
          </wp:inline>
        </w:drawing>
      </w:r>
    </w:p>
    <w:p w:rsidR="00F5549B" w:rsidRPr="00E94A36" w:rsidRDefault="00F5549B" w:rsidP="00F5549B">
      <w:pPr>
        <w:adjustRightInd w:val="0"/>
        <w:snapToGrid w:val="0"/>
        <w:spacing w:before="0" w:after="0" w:line="480" w:lineRule="auto"/>
        <w:rPr>
          <w:rFonts w:eastAsia="Microsoft YaHei" w:cs="Times New Roman"/>
          <w:szCs w:val="24"/>
        </w:rPr>
      </w:pPr>
      <w:r w:rsidRPr="00E94A36">
        <w:rPr>
          <w:rFonts w:eastAsia="Microsoft YaHei" w:cs="Times New Roman"/>
          <w:szCs w:val="24"/>
        </w:rPr>
        <w:t>B</w:t>
      </w:r>
    </w:p>
    <w:p w:rsidR="00F5549B" w:rsidRPr="00E94A36" w:rsidRDefault="00F5549B" w:rsidP="00F5549B">
      <w:pPr>
        <w:adjustRightInd w:val="0"/>
        <w:snapToGrid w:val="0"/>
        <w:spacing w:before="0" w:after="0" w:line="480" w:lineRule="auto"/>
        <w:rPr>
          <w:rFonts w:eastAsia="Microsoft YaHei" w:cs="Times New Roman"/>
          <w:szCs w:val="24"/>
        </w:rPr>
      </w:pPr>
      <w:r w:rsidRPr="00E94A36">
        <w:rPr>
          <w:rFonts w:cs="Times New Roman"/>
          <w:noProof/>
          <w:szCs w:val="24"/>
        </w:rPr>
        <w:drawing>
          <wp:inline distT="0" distB="0" distL="0" distR="0" wp14:anchorId="6A3FEAD0" wp14:editId="31202347">
            <wp:extent cx="5274310" cy="1758315"/>
            <wp:effectExtent l="0" t="0" r="254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1758315"/>
                    </a:xfrm>
                    <a:prstGeom prst="rect">
                      <a:avLst/>
                    </a:prstGeom>
                    <a:noFill/>
                    <a:ln>
                      <a:noFill/>
                    </a:ln>
                  </pic:spPr>
                </pic:pic>
              </a:graphicData>
            </a:graphic>
          </wp:inline>
        </w:drawing>
      </w:r>
    </w:p>
    <w:p w:rsidR="00F5549B" w:rsidRPr="00E94A36" w:rsidRDefault="00F5549B" w:rsidP="00F5549B">
      <w:pPr>
        <w:adjustRightInd w:val="0"/>
        <w:snapToGrid w:val="0"/>
        <w:spacing w:before="0" w:after="0" w:line="480" w:lineRule="auto"/>
        <w:rPr>
          <w:rFonts w:eastAsia="Microsoft YaHei" w:cs="Times New Roman"/>
          <w:szCs w:val="24"/>
        </w:rPr>
      </w:pPr>
      <w:bookmarkStart w:id="0" w:name="_Hlk73887986"/>
      <w:r w:rsidRPr="00E94A36">
        <w:rPr>
          <w:rFonts w:eastAsia="Microsoft YaHei" w:cs="Times New Roman"/>
          <w:szCs w:val="24"/>
        </w:rPr>
        <w:t xml:space="preserve">Supplementary FIGURE </w:t>
      </w:r>
      <w:bookmarkEnd w:id="0"/>
      <w:r w:rsidRPr="00E94A36">
        <w:rPr>
          <w:rFonts w:eastAsia="Microsoft YaHei" w:cs="Times New Roman"/>
          <w:szCs w:val="24"/>
        </w:rPr>
        <w:t>2 The proportion of immune cells in THCA and BRCA. (A)</w:t>
      </w:r>
    </w:p>
    <w:p w:rsidR="00F5549B" w:rsidRPr="00E94A36" w:rsidRDefault="00F5549B" w:rsidP="00F5549B">
      <w:pPr>
        <w:adjustRightInd w:val="0"/>
        <w:snapToGrid w:val="0"/>
        <w:spacing w:before="0" w:after="0" w:line="480" w:lineRule="auto"/>
        <w:rPr>
          <w:rFonts w:eastAsia="Microsoft YaHei" w:cs="Times New Roman"/>
          <w:szCs w:val="24"/>
        </w:rPr>
      </w:pPr>
      <w:r w:rsidRPr="00E94A36">
        <w:rPr>
          <w:rFonts w:eastAsia="Microsoft YaHei" w:cs="Times New Roman"/>
          <w:szCs w:val="24"/>
        </w:rPr>
        <w:lastRenderedPageBreak/>
        <w:t xml:space="preserve">. The proportion of 13 subpopulations of immune cells are main immune cells effected by FN1 expression in THCA. (B). The proportion of 15 subpopulations of immune cells are main immune cells effected by FN1 expression in BRCA. </w:t>
      </w:r>
    </w:p>
    <w:p w:rsidR="00F5549B" w:rsidRPr="00E94A36" w:rsidRDefault="00F5549B" w:rsidP="00F5549B">
      <w:pPr>
        <w:adjustRightInd w:val="0"/>
        <w:snapToGrid w:val="0"/>
        <w:spacing w:before="0" w:after="0" w:line="480" w:lineRule="auto"/>
        <w:rPr>
          <w:rFonts w:eastAsia="Microsoft YaHei"/>
          <w:szCs w:val="24"/>
        </w:rPr>
      </w:pPr>
    </w:p>
    <w:p w:rsidR="00F5549B" w:rsidRPr="00E94A36" w:rsidRDefault="00F5549B" w:rsidP="00F5549B">
      <w:pPr>
        <w:adjustRightInd w:val="0"/>
        <w:snapToGrid w:val="0"/>
        <w:spacing w:before="0" w:after="0" w:line="480" w:lineRule="auto"/>
        <w:rPr>
          <w:rFonts w:eastAsia="Microsoft YaHei" w:cs="Times New Roman"/>
          <w:szCs w:val="24"/>
        </w:rPr>
      </w:pPr>
      <w:bookmarkStart w:id="1" w:name="_Hlk98687789"/>
      <w:r w:rsidRPr="00E94A36">
        <w:rPr>
          <w:rFonts w:eastAsia="Microsoft YaHei" w:cs="Times New Roman"/>
          <w:szCs w:val="24"/>
        </w:rPr>
        <w:t xml:space="preserve">Supplementary TABLE 1 Association between FN1 expression and clinicopathologic features in patients with THCA in TCGA cohort. </w:t>
      </w:r>
    </w:p>
    <w:tbl>
      <w:tblPr>
        <w:tblW w:w="5000" w:type="pct"/>
        <w:jc w:val="center"/>
        <w:tblLook w:val="0000" w:firstRow="0" w:lastRow="0" w:firstColumn="0" w:lastColumn="0" w:noHBand="0" w:noVBand="0"/>
      </w:tblPr>
      <w:tblGrid>
        <w:gridCol w:w="3533"/>
        <w:gridCol w:w="1844"/>
        <w:gridCol w:w="1844"/>
        <w:gridCol w:w="1085"/>
      </w:tblGrid>
      <w:tr w:rsidR="00F5549B" w:rsidRPr="00A53106" w:rsidTr="00530A7D">
        <w:trPr>
          <w:cantSplit/>
          <w:trHeight w:val="57"/>
          <w:tblHeader/>
          <w:jc w:val="center"/>
        </w:trPr>
        <w:tc>
          <w:tcPr>
            <w:tcW w:w="2127" w:type="pct"/>
            <w:tcBorders>
              <w:top w:val="single" w:sz="6" w:space="0" w:color="000000"/>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Characteristic</w:t>
            </w:r>
          </w:p>
        </w:tc>
        <w:tc>
          <w:tcPr>
            <w:tcW w:w="1110" w:type="pct"/>
            <w:tcBorders>
              <w:top w:val="single" w:sz="6" w:space="0" w:color="000000"/>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Low expression of FN1</w:t>
            </w:r>
          </w:p>
        </w:tc>
        <w:tc>
          <w:tcPr>
            <w:tcW w:w="1110" w:type="pct"/>
            <w:tcBorders>
              <w:top w:val="single" w:sz="6" w:space="0" w:color="000000"/>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High expression of FN1</w:t>
            </w:r>
          </w:p>
        </w:tc>
        <w:tc>
          <w:tcPr>
            <w:tcW w:w="653" w:type="pct"/>
            <w:tcBorders>
              <w:top w:val="single" w:sz="6" w:space="0" w:color="000000"/>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b/>
                <w:bCs/>
                <w:i/>
                <w:iCs/>
                <w:sz w:val="18"/>
                <w:szCs w:val="18"/>
              </w:rPr>
            </w:pPr>
            <w:r w:rsidRPr="00A53106">
              <w:rPr>
                <w:rFonts w:eastAsia="Microsoft YaHei" w:cs="Times New Roman"/>
                <w:b/>
                <w:bCs/>
                <w:i/>
                <w:iCs/>
                <w:sz w:val="18"/>
                <w:szCs w:val="18"/>
              </w:rPr>
              <w:t>p</w:t>
            </w: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N</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255</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255</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T stage, n (%)</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&lt; 0.001</w:t>
            </w: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T1</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81 (15.9%)</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62 (12.2%)</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T2</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98 (19.3%)</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69 (13.6%)</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T3</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67 (13.2%)</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108 (21.3%)</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T4</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8 (1.6%)</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15 (3%)</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N stage, n (%)</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&lt; 0.001</w:t>
            </w: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N0</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146 (31.7%)</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83 (18%)</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N1</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77 (16.7%)</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154 (33.5%)</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M stage, n (%)</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0.308</w:t>
            </w: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M0</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128 (43.4%)</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158 (53.6%)</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M1</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6 (2%)</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 (1%)</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Pathologic stage, n (%)</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&lt; 0.001</w:t>
            </w: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Stage I</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149 (29.3%)</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137 (27%)</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Stage II</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39 (7.7%)</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13 (2.6%)</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Stage III</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46 (9.1%)</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67 (13.2%)</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Stage IV</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19 (3.7%)</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38 (7.5%)</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Gender, n (%)</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1.000</w:t>
            </w: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Female</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185 (36.3%)</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186 (36.5%)</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Male</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70 (13.7%)</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69 (13.5%)</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Race, n (%)</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0.601</w:t>
            </w: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Asian</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27 (6.5%)</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24 (5.8%)</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Black or African American</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12 (2.9%)</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15 (3.6%)</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White</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153 (37%)</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183 (44.2%)</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Histological type, n (%)</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&lt; 0.001</w:t>
            </w: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Classical</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152 (29.8%)</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212 (41.6%)</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Follicular</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94 (18.4%)</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7 (1.4%)</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Other</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5 (1%)</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4 (0.8%)</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Tall Cell</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4 (0.8%)</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32 (6.3%)</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Age, n (%)</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0.859</w:t>
            </w: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&lt;=45</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119 (23.3%)</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122 (23.9%)</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&gt;45</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136 (26.7%)</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133 (26.1%)</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Extrathyroidal extension, n (%)</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&lt; 0.001</w:t>
            </w: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No</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199 (40.4%)</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139 (28.3%)</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Yes</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43 (8.7%)</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111 (22.6%)</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Primary neoplasm focus type, n (%)</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0.377</w:t>
            </w:r>
          </w:p>
        </w:tc>
      </w:tr>
      <w:tr w:rsidR="00F5549B" w:rsidRPr="00A53106" w:rsidTr="00530A7D">
        <w:trPr>
          <w:cantSplit/>
          <w:trHeight w:val="57"/>
          <w:jc w:val="center"/>
        </w:trPr>
        <w:tc>
          <w:tcPr>
            <w:tcW w:w="2127"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Multifocal</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121 (24.2%)</w:t>
            </w:r>
          </w:p>
        </w:tc>
        <w:tc>
          <w:tcPr>
            <w:tcW w:w="111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112 (22.4%)</w:t>
            </w:r>
          </w:p>
        </w:tc>
        <w:tc>
          <w:tcPr>
            <w:tcW w:w="653"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jc w:val="center"/>
        </w:trPr>
        <w:tc>
          <w:tcPr>
            <w:tcW w:w="2127" w:type="pct"/>
            <w:tcBorders>
              <w:bottom w:val="single" w:sz="4" w:space="0" w:color="auto"/>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Unifocal</w:t>
            </w:r>
          </w:p>
        </w:tc>
        <w:tc>
          <w:tcPr>
            <w:tcW w:w="1110" w:type="pct"/>
            <w:tcBorders>
              <w:bottom w:val="single" w:sz="4" w:space="0" w:color="auto"/>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127 (25.4%)</w:t>
            </w:r>
          </w:p>
        </w:tc>
        <w:tc>
          <w:tcPr>
            <w:tcW w:w="1110" w:type="pct"/>
            <w:tcBorders>
              <w:bottom w:val="single" w:sz="4" w:space="0" w:color="auto"/>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140 (28%)</w:t>
            </w:r>
          </w:p>
        </w:tc>
        <w:tc>
          <w:tcPr>
            <w:tcW w:w="653" w:type="pct"/>
            <w:tcBorders>
              <w:bottom w:val="single" w:sz="4" w:space="0" w:color="auto"/>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bl>
    <w:p w:rsidR="00F5549B" w:rsidRPr="00E94A36" w:rsidRDefault="00F5549B" w:rsidP="00F5549B">
      <w:pPr>
        <w:adjustRightInd w:val="0"/>
        <w:snapToGrid w:val="0"/>
        <w:spacing w:before="0" w:after="0" w:line="480" w:lineRule="auto"/>
        <w:rPr>
          <w:rFonts w:eastAsia="Microsoft YaHei" w:cs="Times New Roman"/>
          <w:szCs w:val="24"/>
        </w:rPr>
      </w:pPr>
    </w:p>
    <w:p w:rsidR="00F5549B" w:rsidRPr="00E94A36" w:rsidRDefault="00F5549B" w:rsidP="00F5549B">
      <w:pPr>
        <w:adjustRightInd w:val="0"/>
        <w:snapToGrid w:val="0"/>
        <w:spacing w:before="0" w:after="0" w:line="480" w:lineRule="auto"/>
        <w:rPr>
          <w:rFonts w:eastAsia="Microsoft YaHei" w:cs="Times New Roman"/>
          <w:szCs w:val="24"/>
        </w:rPr>
      </w:pPr>
      <w:r w:rsidRPr="00E94A36">
        <w:rPr>
          <w:rFonts w:eastAsia="Microsoft YaHei" w:cs="Times New Roman"/>
          <w:szCs w:val="24"/>
        </w:rPr>
        <w:t xml:space="preserve">Supplementary TABLE 2 Association between FN1 expression and clinicopathologic features in patients with BRCA in TCGA cohort. </w:t>
      </w:r>
    </w:p>
    <w:tbl>
      <w:tblPr>
        <w:tblW w:w="5000" w:type="pct"/>
        <w:jc w:val="center"/>
        <w:tblLook w:val="0000" w:firstRow="0" w:lastRow="0" w:firstColumn="0" w:lastColumn="0" w:noHBand="0" w:noVBand="0"/>
      </w:tblPr>
      <w:tblGrid>
        <w:gridCol w:w="2976"/>
        <w:gridCol w:w="2276"/>
        <w:gridCol w:w="2316"/>
        <w:gridCol w:w="738"/>
      </w:tblGrid>
      <w:tr w:rsidR="00F5549B" w:rsidRPr="00E94A36" w:rsidTr="00530A7D">
        <w:trPr>
          <w:cantSplit/>
          <w:trHeight w:val="57"/>
          <w:tblHeader/>
          <w:jc w:val="center"/>
        </w:trPr>
        <w:tc>
          <w:tcPr>
            <w:tcW w:w="1791" w:type="pct"/>
            <w:tcBorders>
              <w:top w:val="single" w:sz="6" w:space="0" w:color="000000"/>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Characteristic</w:t>
            </w:r>
          </w:p>
        </w:tc>
        <w:tc>
          <w:tcPr>
            <w:tcW w:w="1370" w:type="pct"/>
            <w:tcBorders>
              <w:top w:val="single" w:sz="6" w:space="0" w:color="000000"/>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Low expression of FN1</w:t>
            </w:r>
          </w:p>
        </w:tc>
        <w:tc>
          <w:tcPr>
            <w:tcW w:w="1394" w:type="pct"/>
            <w:tcBorders>
              <w:top w:val="single" w:sz="6" w:space="0" w:color="000000"/>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High expression of FN1</w:t>
            </w:r>
          </w:p>
        </w:tc>
        <w:tc>
          <w:tcPr>
            <w:tcW w:w="444" w:type="pct"/>
            <w:tcBorders>
              <w:top w:val="single" w:sz="6" w:space="0" w:color="000000"/>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b/>
                <w:bCs/>
                <w:i/>
                <w:iCs/>
                <w:sz w:val="18"/>
                <w:szCs w:val="18"/>
              </w:rPr>
            </w:pPr>
            <w:r w:rsidRPr="00A53106">
              <w:rPr>
                <w:rFonts w:eastAsia="Microsoft YaHei" w:cs="Times New Roman"/>
                <w:b/>
                <w:bCs/>
                <w:i/>
                <w:iCs/>
                <w:sz w:val="18"/>
                <w:szCs w:val="18"/>
              </w:rPr>
              <w:t>p</w:t>
            </w: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N</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541</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542</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T stage, n (%)</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0.003</w:t>
            </w: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T1</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121 (11.2%)</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156 (14.4%)</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lastRenderedPageBreak/>
              <w:t>T2</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316 (29.3%)</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313 (29%)</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T3</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87 (8.1%)</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52 (4.8%)</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T4</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15 (1.4%)</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20 (1.9%)</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N stage, n (%)</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0.027</w:t>
            </w: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N0</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256 (24.1%)</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258 (24.2%)</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N1</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186 (17.5%)</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172 (16.2%)</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N2</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44 (4.1%)</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72 (6.8%)</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N3</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44 (4.1%)</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32 (3%)</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M stage, n (%)</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0.953</w:t>
            </w: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M0</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435 (47.2%)</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467 (50.7%)</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M1</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9 (1%)</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11 (1.2%)</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Pathologic stage, n (%)</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0.372</w:t>
            </w: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Stage I</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81 (7.6%)</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100 (9.4%)</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Stage II</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320 (30.2%)</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299 (28.2%)</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Stage III</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125 (11.8%)</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117 (11%)</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Stage IV</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8 (0.8%)</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10 (0.9%)</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Race, n (%)</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0.025</w:t>
            </w: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Asian</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30 (3%)</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30 (3%)</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Black or African American</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109 (11%)</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72 (7.2%)</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White</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369 (37.1%)</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384 (38.6%)</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Age, n (%)</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0.055</w:t>
            </w: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&lt;=60</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284 (26.2%)</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317 (29.3%)</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&gt;60</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257 (23.7%)</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225 (20.8%)</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Histological type, n (%)</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&lt; 0.001</w:t>
            </w: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Infiltrating Ductal Carcinoma</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355 (36.3%)</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417 (42.7%)</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Infiltrating Lobular Carcinoma</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126 (12.9%)</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79 (8.1%)</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PR status, n (%)</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&lt; 0.001</w:t>
            </w: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Negative</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193 (18.7%)</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149 (14.4%)</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Positive</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ind w:left="100" w:right="100"/>
              <w:jc w:val="center"/>
              <w:rPr>
                <w:rFonts w:eastAsia="Microsoft YaHei" w:cs="Times New Roman"/>
                <w:sz w:val="18"/>
                <w:szCs w:val="18"/>
              </w:rPr>
            </w:pPr>
            <w:r w:rsidRPr="00A53106">
              <w:rPr>
                <w:rFonts w:eastAsia="Microsoft YaHei" w:cs="Times New Roman"/>
                <w:sz w:val="18"/>
                <w:szCs w:val="18"/>
              </w:rPr>
              <w:t>321 (31%)</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ind w:left="100" w:right="100"/>
              <w:jc w:val="center"/>
              <w:rPr>
                <w:rFonts w:eastAsia="Microsoft YaHei" w:cs="Times New Roman"/>
                <w:sz w:val="18"/>
                <w:szCs w:val="18"/>
              </w:rPr>
            </w:pPr>
            <w:r w:rsidRPr="00A53106">
              <w:rPr>
                <w:rFonts w:eastAsia="Microsoft YaHei" w:cs="Times New Roman"/>
                <w:sz w:val="18"/>
                <w:szCs w:val="18"/>
              </w:rPr>
              <w:t>367 (35.5%)</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ind w:left="100" w:right="10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ER status, n (%)</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0.031</w:t>
            </w: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Negative</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134 (12.9%)</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106 (10.2%)</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Positive</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383 (37%)</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410 (39.6%)</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HER2 status, n (%)</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0.007</w:t>
            </w: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Negative</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274 (37.7%)</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284 (39.1%)</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Positive</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55 (7.6%)</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102 (14%)</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PAM50, n (%)</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0.003</w:t>
            </w: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LumA</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274 (25.3%)</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288 (26.6%)</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LumB</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96 (8.9%)</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108 (10%)</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Her2</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31 (2.9%)</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51 (4.7%)</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Basal</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120 (11.1%)</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75 (6.9%)</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Menopause status, n (%)</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0.336</w:t>
            </w: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Pre</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103 (10.6%)</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126 (13%)</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Peri</w:t>
            </w:r>
          </w:p>
        </w:tc>
        <w:tc>
          <w:tcPr>
            <w:tcW w:w="1370"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21 (2.2%)</w:t>
            </w:r>
          </w:p>
        </w:tc>
        <w:tc>
          <w:tcPr>
            <w:tcW w:w="139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19 (2%)</w:t>
            </w:r>
          </w:p>
        </w:tc>
        <w:tc>
          <w:tcPr>
            <w:tcW w:w="444"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E94A36" w:rsidTr="00530A7D">
        <w:trPr>
          <w:cantSplit/>
          <w:trHeight w:val="57"/>
          <w:jc w:val="center"/>
        </w:trPr>
        <w:tc>
          <w:tcPr>
            <w:tcW w:w="1791" w:type="pct"/>
            <w:tcBorders>
              <w:bottom w:val="single" w:sz="4" w:space="0" w:color="auto"/>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Post</w:t>
            </w:r>
          </w:p>
        </w:tc>
        <w:tc>
          <w:tcPr>
            <w:tcW w:w="1370" w:type="pct"/>
            <w:tcBorders>
              <w:bottom w:val="single" w:sz="4" w:space="0" w:color="auto"/>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354 (36.4%)</w:t>
            </w:r>
          </w:p>
        </w:tc>
        <w:tc>
          <w:tcPr>
            <w:tcW w:w="1394" w:type="pct"/>
            <w:tcBorders>
              <w:bottom w:val="single" w:sz="4" w:space="0" w:color="auto"/>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349 (35.9%)</w:t>
            </w:r>
          </w:p>
        </w:tc>
        <w:tc>
          <w:tcPr>
            <w:tcW w:w="444" w:type="pct"/>
            <w:tcBorders>
              <w:bottom w:val="single" w:sz="4" w:space="0" w:color="auto"/>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bl>
    <w:p w:rsidR="00F5549B" w:rsidRPr="00E94A36" w:rsidRDefault="00F5549B" w:rsidP="00F5549B">
      <w:pPr>
        <w:adjustRightInd w:val="0"/>
        <w:snapToGrid w:val="0"/>
        <w:spacing w:before="0" w:after="0" w:line="480" w:lineRule="auto"/>
        <w:rPr>
          <w:rFonts w:eastAsia="Microsoft YaHei" w:cs="Times New Roman"/>
          <w:szCs w:val="24"/>
        </w:rPr>
      </w:pPr>
    </w:p>
    <w:p w:rsidR="00F5549B" w:rsidRPr="00E94A36" w:rsidRDefault="00F5549B" w:rsidP="00F5549B">
      <w:pPr>
        <w:adjustRightInd w:val="0"/>
        <w:snapToGrid w:val="0"/>
        <w:spacing w:before="0" w:after="0" w:line="480" w:lineRule="auto"/>
        <w:rPr>
          <w:rFonts w:eastAsia="Microsoft YaHei" w:cs="Times New Roman"/>
          <w:szCs w:val="24"/>
        </w:rPr>
      </w:pPr>
      <w:r w:rsidRPr="00E94A36">
        <w:rPr>
          <w:rFonts w:eastAsia="Microsoft YaHei" w:cs="Times New Roman"/>
          <w:szCs w:val="24"/>
        </w:rPr>
        <w:t>Supplementary TABLE 3 FN1 expression (Categorical dependent variable, greater or less than the median expression level) associated with clinical pathological characteristics in patients with THCA in TCGA cohort (logistic regression).</w:t>
      </w:r>
    </w:p>
    <w:tbl>
      <w:tblPr>
        <w:tblW w:w="5000" w:type="pct"/>
        <w:jc w:val="center"/>
        <w:tblLook w:val="0000" w:firstRow="0" w:lastRow="0" w:firstColumn="0" w:lastColumn="0" w:noHBand="0" w:noVBand="0"/>
      </w:tblPr>
      <w:tblGrid>
        <w:gridCol w:w="4437"/>
        <w:gridCol w:w="723"/>
        <w:gridCol w:w="2578"/>
        <w:gridCol w:w="568"/>
      </w:tblGrid>
      <w:tr w:rsidR="00F5549B" w:rsidRPr="00A53106" w:rsidTr="00530A7D">
        <w:trPr>
          <w:cantSplit/>
          <w:trHeight w:val="57"/>
          <w:tblHeader/>
          <w:jc w:val="center"/>
        </w:trPr>
        <w:tc>
          <w:tcPr>
            <w:tcW w:w="2671" w:type="pct"/>
            <w:tcBorders>
              <w:top w:val="single" w:sz="6" w:space="0" w:color="000000"/>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Characteristics</w:t>
            </w:r>
          </w:p>
        </w:tc>
        <w:tc>
          <w:tcPr>
            <w:tcW w:w="435" w:type="pct"/>
            <w:tcBorders>
              <w:top w:val="single" w:sz="6" w:space="0" w:color="000000"/>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Total(N)</w:t>
            </w:r>
          </w:p>
        </w:tc>
        <w:tc>
          <w:tcPr>
            <w:tcW w:w="1552" w:type="pct"/>
            <w:tcBorders>
              <w:top w:val="single" w:sz="6" w:space="0" w:color="000000"/>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Odds Ratio in FN1 expression</w:t>
            </w:r>
          </w:p>
        </w:tc>
        <w:tc>
          <w:tcPr>
            <w:tcW w:w="342" w:type="pct"/>
            <w:tcBorders>
              <w:top w:val="single" w:sz="6" w:space="0" w:color="000000"/>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P</w:t>
            </w:r>
          </w:p>
        </w:tc>
      </w:tr>
      <w:tr w:rsidR="00F5549B" w:rsidRPr="00A53106" w:rsidTr="00530A7D">
        <w:trPr>
          <w:cantSplit/>
          <w:trHeight w:val="57"/>
          <w:jc w:val="center"/>
        </w:trPr>
        <w:tc>
          <w:tcPr>
            <w:tcW w:w="267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Gender (Female vs. Male)</w:t>
            </w:r>
          </w:p>
        </w:tc>
        <w:tc>
          <w:tcPr>
            <w:tcW w:w="43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510</w:t>
            </w:r>
          </w:p>
        </w:tc>
        <w:tc>
          <w:tcPr>
            <w:tcW w:w="1552"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1.020 (0.690-1.507)</w:t>
            </w:r>
          </w:p>
        </w:tc>
        <w:tc>
          <w:tcPr>
            <w:tcW w:w="342"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0.921</w:t>
            </w:r>
          </w:p>
        </w:tc>
      </w:tr>
      <w:tr w:rsidR="00F5549B" w:rsidRPr="00A53106" w:rsidTr="00530A7D">
        <w:trPr>
          <w:cantSplit/>
          <w:trHeight w:val="57"/>
          <w:jc w:val="center"/>
        </w:trPr>
        <w:tc>
          <w:tcPr>
            <w:tcW w:w="267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Age (&gt;45 vs. &lt;=45)</w:t>
            </w:r>
          </w:p>
        </w:tc>
        <w:tc>
          <w:tcPr>
            <w:tcW w:w="43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510</w:t>
            </w:r>
          </w:p>
        </w:tc>
        <w:tc>
          <w:tcPr>
            <w:tcW w:w="1552"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0.954 (0.674-1.351)</w:t>
            </w:r>
          </w:p>
        </w:tc>
        <w:tc>
          <w:tcPr>
            <w:tcW w:w="342"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0.790</w:t>
            </w:r>
          </w:p>
        </w:tc>
      </w:tr>
      <w:tr w:rsidR="00F5549B" w:rsidRPr="00A53106" w:rsidTr="00530A7D">
        <w:trPr>
          <w:cantSplit/>
          <w:trHeight w:val="57"/>
          <w:jc w:val="center"/>
        </w:trPr>
        <w:tc>
          <w:tcPr>
            <w:tcW w:w="267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T stage (T3&amp;T4 vs. T1&amp;T2)</w:t>
            </w:r>
          </w:p>
        </w:tc>
        <w:tc>
          <w:tcPr>
            <w:tcW w:w="43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508</w:t>
            </w:r>
          </w:p>
        </w:tc>
        <w:tc>
          <w:tcPr>
            <w:tcW w:w="1552"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2.241 (1.559-3.237)</w:t>
            </w:r>
          </w:p>
        </w:tc>
        <w:tc>
          <w:tcPr>
            <w:tcW w:w="342"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&lt;0.001</w:t>
            </w:r>
          </w:p>
        </w:tc>
      </w:tr>
      <w:tr w:rsidR="00F5549B" w:rsidRPr="00A53106" w:rsidTr="00530A7D">
        <w:trPr>
          <w:cantSplit/>
          <w:trHeight w:val="57"/>
          <w:jc w:val="center"/>
        </w:trPr>
        <w:tc>
          <w:tcPr>
            <w:tcW w:w="267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N stage (N1 vs. N0)</w:t>
            </w:r>
          </w:p>
        </w:tc>
        <w:tc>
          <w:tcPr>
            <w:tcW w:w="43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460</w:t>
            </w:r>
          </w:p>
        </w:tc>
        <w:tc>
          <w:tcPr>
            <w:tcW w:w="1552"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3.518 (2.405-5.186)</w:t>
            </w:r>
          </w:p>
        </w:tc>
        <w:tc>
          <w:tcPr>
            <w:tcW w:w="342"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&lt;0.001</w:t>
            </w:r>
          </w:p>
        </w:tc>
      </w:tr>
      <w:tr w:rsidR="00F5549B" w:rsidRPr="00A53106" w:rsidTr="00530A7D">
        <w:trPr>
          <w:cantSplit/>
          <w:trHeight w:val="57"/>
          <w:jc w:val="center"/>
        </w:trPr>
        <w:tc>
          <w:tcPr>
            <w:tcW w:w="267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M stage (M1 vs. M0)</w:t>
            </w:r>
          </w:p>
        </w:tc>
        <w:tc>
          <w:tcPr>
            <w:tcW w:w="43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295</w:t>
            </w:r>
          </w:p>
        </w:tc>
        <w:tc>
          <w:tcPr>
            <w:tcW w:w="1552"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0.405 (0.084-1.567)</w:t>
            </w:r>
          </w:p>
        </w:tc>
        <w:tc>
          <w:tcPr>
            <w:tcW w:w="342"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0.208</w:t>
            </w:r>
          </w:p>
        </w:tc>
      </w:tr>
      <w:tr w:rsidR="00F5549B" w:rsidRPr="00A53106" w:rsidTr="00530A7D">
        <w:trPr>
          <w:cantSplit/>
          <w:trHeight w:val="57"/>
          <w:jc w:val="center"/>
        </w:trPr>
        <w:tc>
          <w:tcPr>
            <w:tcW w:w="267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Pathologic stage (Stage IV vs. Stage I)</w:t>
            </w:r>
          </w:p>
        </w:tc>
        <w:tc>
          <w:tcPr>
            <w:tcW w:w="43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343</w:t>
            </w:r>
          </w:p>
        </w:tc>
        <w:tc>
          <w:tcPr>
            <w:tcW w:w="1552"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2.175 (1.211-4.024)</w:t>
            </w:r>
          </w:p>
        </w:tc>
        <w:tc>
          <w:tcPr>
            <w:tcW w:w="342"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0.011</w:t>
            </w:r>
          </w:p>
        </w:tc>
      </w:tr>
      <w:tr w:rsidR="00F5549B" w:rsidRPr="00A53106" w:rsidTr="00530A7D">
        <w:trPr>
          <w:cantSplit/>
          <w:trHeight w:val="57"/>
          <w:jc w:val="center"/>
        </w:trPr>
        <w:tc>
          <w:tcPr>
            <w:tcW w:w="2671"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Extrathyroidal extension (Yes vs. No)</w:t>
            </w:r>
          </w:p>
        </w:tc>
        <w:tc>
          <w:tcPr>
            <w:tcW w:w="43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492</w:t>
            </w:r>
          </w:p>
        </w:tc>
        <w:tc>
          <w:tcPr>
            <w:tcW w:w="1552"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3.696 (2.460-5.631)</w:t>
            </w:r>
          </w:p>
        </w:tc>
        <w:tc>
          <w:tcPr>
            <w:tcW w:w="342"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&lt;0.001</w:t>
            </w:r>
          </w:p>
        </w:tc>
      </w:tr>
      <w:tr w:rsidR="00F5549B" w:rsidRPr="00A53106" w:rsidTr="00530A7D">
        <w:trPr>
          <w:cantSplit/>
          <w:trHeight w:val="57"/>
          <w:jc w:val="center"/>
        </w:trPr>
        <w:tc>
          <w:tcPr>
            <w:tcW w:w="2671" w:type="pct"/>
            <w:tcBorders>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Primary neoplasm focus type (Multifocal vs. Unifocal)</w:t>
            </w:r>
          </w:p>
        </w:tc>
        <w:tc>
          <w:tcPr>
            <w:tcW w:w="435" w:type="pct"/>
            <w:tcBorders>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500</w:t>
            </w:r>
          </w:p>
        </w:tc>
        <w:tc>
          <w:tcPr>
            <w:tcW w:w="1552" w:type="pct"/>
            <w:tcBorders>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0.840 (0.590-1.193)</w:t>
            </w:r>
          </w:p>
        </w:tc>
        <w:tc>
          <w:tcPr>
            <w:tcW w:w="342" w:type="pct"/>
            <w:tcBorders>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0.330</w:t>
            </w:r>
          </w:p>
        </w:tc>
      </w:tr>
    </w:tbl>
    <w:p w:rsidR="00F5549B" w:rsidRPr="00E94A36" w:rsidRDefault="00F5549B" w:rsidP="00F5549B">
      <w:pPr>
        <w:adjustRightInd w:val="0"/>
        <w:snapToGrid w:val="0"/>
        <w:spacing w:before="0" w:after="0" w:line="480" w:lineRule="auto"/>
        <w:rPr>
          <w:rFonts w:eastAsia="Microsoft YaHei" w:cs="Times New Roman"/>
          <w:szCs w:val="24"/>
        </w:rPr>
      </w:pPr>
    </w:p>
    <w:p w:rsidR="00F5549B" w:rsidRPr="00E94A36" w:rsidRDefault="00F5549B" w:rsidP="00F5549B">
      <w:pPr>
        <w:adjustRightInd w:val="0"/>
        <w:snapToGrid w:val="0"/>
        <w:spacing w:before="0" w:after="0" w:line="480" w:lineRule="auto"/>
        <w:rPr>
          <w:rFonts w:eastAsia="Microsoft YaHei" w:cs="Times New Roman"/>
          <w:szCs w:val="24"/>
        </w:rPr>
      </w:pPr>
      <w:r w:rsidRPr="00E94A36">
        <w:rPr>
          <w:rFonts w:eastAsia="Microsoft YaHei" w:cs="Times New Roman"/>
          <w:szCs w:val="24"/>
        </w:rPr>
        <w:lastRenderedPageBreak/>
        <w:t>Supplementary TABLE 4 FN1 expression (Categorical dependent variable, greater or less than the median expression level) associated with clinical pathological characteristics in patients with BRCA in TCGA cohort (logistic regression).</w:t>
      </w:r>
    </w:p>
    <w:tbl>
      <w:tblPr>
        <w:tblW w:w="5000" w:type="pct"/>
        <w:jc w:val="center"/>
        <w:tblLook w:val="0000" w:firstRow="0" w:lastRow="0" w:firstColumn="0" w:lastColumn="0" w:noHBand="0" w:noVBand="0"/>
      </w:tblPr>
      <w:tblGrid>
        <w:gridCol w:w="4775"/>
        <w:gridCol w:w="660"/>
        <w:gridCol w:w="2364"/>
        <w:gridCol w:w="507"/>
      </w:tblGrid>
      <w:tr w:rsidR="00F5549B" w:rsidRPr="00A53106" w:rsidTr="00530A7D">
        <w:trPr>
          <w:cantSplit/>
          <w:trHeight w:val="57"/>
          <w:tblHeader/>
          <w:jc w:val="center"/>
        </w:trPr>
        <w:tc>
          <w:tcPr>
            <w:tcW w:w="2879" w:type="pct"/>
            <w:tcBorders>
              <w:top w:val="single" w:sz="6" w:space="0" w:color="000000"/>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Characteristics</w:t>
            </w:r>
          </w:p>
        </w:tc>
        <w:tc>
          <w:tcPr>
            <w:tcW w:w="388" w:type="pct"/>
            <w:tcBorders>
              <w:top w:val="single" w:sz="6" w:space="0" w:color="000000"/>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Total(N)</w:t>
            </w:r>
          </w:p>
        </w:tc>
        <w:tc>
          <w:tcPr>
            <w:tcW w:w="1428" w:type="pct"/>
            <w:tcBorders>
              <w:top w:val="single" w:sz="6" w:space="0" w:color="000000"/>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Odds Ratio in FN1 expression</w:t>
            </w:r>
          </w:p>
        </w:tc>
        <w:tc>
          <w:tcPr>
            <w:tcW w:w="305" w:type="pct"/>
            <w:tcBorders>
              <w:top w:val="single" w:sz="6" w:space="0" w:color="000000"/>
              <w:bottom w:val="single" w:sz="6" w:space="0" w:color="000000"/>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P</w:t>
            </w:r>
          </w:p>
        </w:tc>
      </w:tr>
      <w:tr w:rsidR="00F5549B" w:rsidRPr="00A53106" w:rsidTr="00530A7D">
        <w:trPr>
          <w:cantSplit/>
          <w:trHeight w:val="57"/>
          <w:jc w:val="center"/>
        </w:trPr>
        <w:tc>
          <w:tcPr>
            <w:tcW w:w="2879"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color w:val="000000"/>
                <w:sz w:val="18"/>
                <w:szCs w:val="18"/>
              </w:rPr>
            </w:pPr>
            <w:r w:rsidRPr="00A53106">
              <w:rPr>
                <w:rFonts w:eastAsia="Microsoft YaHei" w:cs="Times New Roman"/>
                <w:color w:val="000000"/>
                <w:sz w:val="18"/>
                <w:szCs w:val="18"/>
              </w:rPr>
              <w:t>T stage (T2&amp;T3&amp;T4 vs. T1)</w:t>
            </w:r>
          </w:p>
        </w:tc>
        <w:tc>
          <w:tcPr>
            <w:tcW w:w="38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color w:val="000000"/>
                <w:sz w:val="18"/>
                <w:szCs w:val="18"/>
              </w:rPr>
            </w:pPr>
            <w:r w:rsidRPr="00A53106">
              <w:rPr>
                <w:rFonts w:eastAsia="Microsoft YaHei" w:cs="Times New Roman"/>
                <w:color w:val="000000"/>
                <w:sz w:val="18"/>
                <w:szCs w:val="18"/>
              </w:rPr>
              <w:t>1,080</w:t>
            </w:r>
          </w:p>
        </w:tc>
        <w:tc>
          <w:tcPr>
            <w:tcW w:w="142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color w:val="000000"/>
                <w:sz w:val="18"/>
                <w:szCs w:val="18"/>
              </w:rPr>
            </w:pPr>
            <w:r w:rsidRPr="00A53106">
              <w:rPr>
                <w:rFonts w:eastAsia="Microsoft YaHei" w:cs="Times New Roman"/>
                <w:color w:val="000000"/>
                <w:sz w:val="18"/>
                <w:szCs w:val="18"/>
              </w:rPr>
              <w:t>0.714 (0.542-0.940)</w:t>
            </w:r>
          </w:p>
        </w:tc>
        <w:tc>
          <w:tcPr>
            <w:tcW w:w="30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color w:val="000000"/>
                <w:sz w:val="18"/>
                <w:szCs w:val="18"/>
              </w:rPr>
            </w:pPr>
            <w:r w:rsidRPr="00A53106">
              <w:rPr>
                <w:rFonts w:eastAsia="Microsoft YaHei" w:cs="Times New Roman"/>
                <w:color w:val="000000"/>
                <w:sz w:val="18"/>
                <w:szCs w:val="18"/>
              </w:rPr>
              <w:t>0.016</w:t>
            </w:r>
          </w:p>
        </w:tc>
      </w:tr>
      <w:tr w:rsidR="00F5549B" w:rsidRPr="00A53106" w:rsidTr="00530A7D">
        <w:trPr>
          <w:cantSplit/>
          <w:trHeight w:val="57"/>
          <w:jc w:val="center"/>
        </w:trPr>
        <w:tc>
          <w:tcPr>
            <w:tcW w:w="2879"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color w:val="000000"/>
                <w:sz w:val="18"/>
                <w:szCs w:val="18"/>
              </w:rPr>
            </w:pPr>
            <w:r w:rsidRPr="00A53106">
              <w:rPr>
                <w:rFonts w:eastAsia="Microsoft YaHei" w:cs="Times New Roman"/>
                <w:color w:val="000000"/>
                <w:sz w:val="18"/>
                <w:szCs w:val="18"/>
              </w:rPr>
              <w:t>N stage (N1&amp;N2&amp;N3 vs. N0)</w:t>
            </w:r>
          </w:p>
        </w:tc>
        <w:tc>
          <w:tcPr>
            <w:tcW w:w="38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color w:val="000000"/>
                <w:sz w:val="18"/>
                <w:szCs w:val="18"/>
              </w:rPr>
            </w:pPr>
            <w:r w:rsidRPr="00A53106">
              <w:rPr>
                <w:rFonts w:eastAsia="Microsoft YaHei" w:cs="Times New Roman"/>
                <w:color w:val="000000"/>
                <w:sz w:val="18"/>
                <w:szCs w:val="18"/>
              </w:rPr>
              <w:t>1,064</w:t>
            </w:r>
          </w:p>
        </w:tc>
        <w:tc>
          <w:tcPr>
            <w:tcW w:w="142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color w:val="000000"/>
                <w:sz w:val="18"/>
                <w:szCs w:val="18"/>
              </w:rPr>
            </w:pPr>
            <w:r w:rsidRPr="00A53106">
              <w:rPr>
                <w:rFonts w:eastAsia="Microsoft YaHei" w:cs="Times New Roman"/>
                <w:color w:val="000000"/>
                <w:sz w:val="18"/>
                <w:szCs w:val="18"/>
              </w:rPr>
              <w:t>0.999 (0.786-1.271)</w:t>
            </w:r>
          </w:p>
        </w:tc>
        <w:tc>
          <w:tcPr>
            <w:tcW w:w="30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color w:val="000000"/>
                <w:sz w:val="18"/>
                <w:szCs w:val="18"/>
              </w:rPr>
            </w:pPr>
            <w:r w:rsidRPr="00A53106">
              <w:rPr>
                <w:rFonts w:eastAsia="Microsoft YaHei" w:cs="Times New Roman"/>
                <w:color w:val="000000"/>
                <w:sz w:val="18"/>
                <w:szCs w:val="18"/>
              </w:rPr>
              <w:t>0.997</w:t>
            </w:r>
          </w:p>
        </w:tc>
      </w:tr>
      <w:tr w:rsidR="00F5549B" w:rsidRPr="00A53106" w:rsidTr="00530A7D">
        <w:trPr>
          <w:cantSplit/>
          <w:trHeight w:val="57"/>
          <w:jc w:val="center"/>
        </w:trPr>
        <w:tc>
          <w:tcPr>
            <w:tcW w:w="2879"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color w:val="000000"/>
                <w:sz w:val="18"/>
                <w:szCs w:val="18"/>
              </w:rPr>
            </w:pPr>
            <w:r w:rsidRPr="00A53106">
              <w:rPr>
                <w:rFonts w:eastAsia="Microsoft YaHei" w:cs="Times New Roman"/>
                <w:color w:val="000000"/>
                <w:sz w:val="18"/>
                <w:szCs w:val="18"/>
              </w:rPr>
              <w:t>M stage (M1 vs. M0)</w:t>
            </w:r>
          </w:p>
        </w:tc>
        <w:tc>
          <w:tcPr>
            <w:tcW w:w="38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color w:val="000000"/>
                <w:sz w:val="18"/>
                <w:szCs w:val="18"/>
              </w:rPr>
            </w:pPr>
            <w:r w:rsidRPr="00A53106">
              <w:rPr>
                <w:rFonts w:eastAsia="Microsoft YaHei" w:cs="Times New Roman"/>
                <w:color w:val="000000"/>
                <w:sz w:val="18"/>
                <w:szCs w:val="18"/>
              </w:rPr>
              <w:t>922</w:t>
            </w:r>
          </w:p>
        </w:tc>
        <w:tc>
          <w:tcPr>
            <w:tcW w:w="142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color w:val="000000"/>
                <w:sz w:val="18"/>
                <w:szCs w:val="18"/>
              </w:rPr>
            </w:pPr>
            <w:r w:rsidRPr="00A53106">
              <w:rPr>
                <w:rFonts w:eastAsia="Microsoft YaHei" w:cs="Times New Roman"/>
                <w:color w:val="000000"/>
                <w:sz w:val="18"/>
                <w:szCs w:val="18"/>
              </w:rPr>
              <w:t>1.138 (0.467-2.850)</w:t>
            </w:r>
          </w:p>
        </w:tc>
        <w:tc>
          <w:tcPr>
            <w:tcW w:w="30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color w:val="000000"/>
                <w:sz w:val="18"/>
                <w:szCs w:val="18"/>
              </w:rPr>
            </w:pPr>
            <w:r w:rsidRPr="00A53106">
              <w:rPr>
                <w:rFonts w:eastAsia="Microsoft YaHei" w:cs="Times New Roman"/>
                <w:color w:val="000000"/>
                <w:sz w:val="18"/>
                <w:szCs w:val="18"/>
              </w:rPr>
              <w:t>0.775</w:t>
            </w:r>
          </w:p>
        </w:tc>
      </w:tr>
      <w:tr w:rsidR="00F5549B" w:rsidRPr="00A53106" w:rsidTr="00530A7D">
        <w:trPr>
          <w:cantSplit/>
          <w:trHeight w:val="57"/>
          <w:jc w:val="center"/>
        </w:trPr>
        <w:tc>
          <w:tcPr>
            <w:tcW w:w="2879"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Pathologic stage (Stage IV&amp;Stage II&amp;Stage III vs. Stage I)</w:t>
            </w:r>
          </w:p>
        </w:tc>
        <w:tc>
          <w:tcPr>
            <w:tcW w:w="38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1,060</w:t>
            </w:r>
          </w:p>
        </w:tc>
        <w:tc>
          <w:tcPr>
            <w:tcW w:w="142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0.762 (0.551-1.050)</w:t>
            </w:r>
          </w:p>
        </w:tc>
        <w:tc>
          <w:tcPr>
            <w:tcW w:w="30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0.097</w:t>
            </w:r>
          </w:p>
        </w:tc>
      </w:tr>
      <w:tr w:rsidR="00F5549B" w:rsidRPr="00A53106" w:rsidTr="00530A7D">
        <w:trPr>
          <w:cantSplit/>
          <w:trHeight w:val="57"/>
          <w:jc w:val="center"/>
        </w:trPr>
        <w:tc>
          <w:tcPr>
            <w:tcW w:w="2879"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Age (&gt;60 vs. &lt;=60)</w:t>
            </w:r>
          </w:p>
        </w:tc>
        <w:tc>
          <w:tcPr>
            <w:tcW w:w="38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1,083</w:t>
            </w:r>
          </w:p>
        </w:tc>
        <w:tc>
          <w:tcPr>
            <w:tcW w:w="142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0.784 (0.617-0.997)</w:t>
            </w:r>
          </w:p>
        </w:tc>
        <w:tc>
          <w:tcPr>
            <w:tcW w:w="30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0.047</w:t>
            </w:r>
          </w:p>
        </w:tc>
      </w:tr>
      <w:tr w:rsidR="00F5549B" w:rsidRPr="00A53106" w:rsidTr="00530A7D">
        <w:trPr>
          <w:cantSplit/>
          <w:trHeight w:val="57"/>
          <w:jc w:val="center"/>
        </w:trPr>
        <w:tc>
          <w:tcPr>
            <w:tcW w:w="2879"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PR status (Positive vs. Negative)</w:t>
            </w:r>
          </w:p>
        </w:tc>
        <w:tc>
          <w:tcPr>
            <w:tcW w:w="38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1,030</w:t>
            </w:r>
          </w:p>
        </w:tc>
        <w:tc>
          <w:tcPr>
            <w:tcW w:w="142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1.481 (1.141-1.924)</w:t>
            </w:r>
          </w:p>
        </w:tc>
        <w:tc>
          <w:tcPr>
            <w:tcW w:w="30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0.003</w:t>
            </w:r>
          </w:p>
        </w:tc>
      </w:tr>
      <w:tr w:rsidR="00F5549B" w:rsidRPr="00A53106" w:rsidTr="00530A7D">
        <w:trPr>
          <w:cantSplit/>
          <w:trHeight w:val="57"/>
          <w:jc w:val="center"/>
        </w:trPr>
        <w:tc>
          <w:tcPr>
            <w:tcW w:w="2879"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ER status (Positive vs. Negative)</w:t>
            </w:r>
          </w:p>
        </w:tc>
        <w:tc>
          <w:tcPr>
            <w:tcW w:w="38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1,033</w:t>
            </w:r>
          </w:p>
        </w:tc>
        <w:tc>
          <w:tcPr>
            <w:tcW w:w="142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1.353 (1.013-1.811)</w:t>
            </w:r>
          </w:p>
        </w:tc>
        <w:tc>
          <w:tcPr>
            <w:tcW w:w="30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0.041</w:t>
            </w:r>
          </w:p>
        </w:tc>
      </w:tr>
      <w:tr w:rsidR="00F5549B" w:rsidRPr="00A53106" w:rsidTr="00530A7D">
        <w:trPr>
          <w:cantSplit/>
          <w:trHeight w:val="57"/>
          <w:jc w:val="center"/>
        </w:trPr>
        <w:tc>
          <w:tcPr>
            <w:tcW w:w="2879"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HER2 status (Positive vs. Negative)</w:t>
            </w:r>
          </w:p>
        </w:tc>
        <w:tc>
          <w:tcPr>
            <w:tcW w:w="38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715</w:t>
            </w:r>
          </w:p>
        </w:tc>
        <w:tc>
          <w:tcPr>
            <w:tcW w:w="142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1.789 (1.244-2.596)</w:t>
            </w:r>
          </w:p>
        </w:tc>
        <w:tc>
          <w:tcPr>
            <w:tcW w:w="30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0.002</w:t>
            </w:r>
          </w:p>
        </w:tc>
      </w:tr>
      <w:tr w:rsidR="00F5549B" w:rsidRPr="00A53106" w:rsidTr="00530A7D">
        <w:trPr>
          <w:cantSplit/>
          <w:trHeight w:val="57"/>
          <w:jc w:val="center"/>
        </w:trPr>
        <w:tc>
          <w:tcPr>
            <w:tcW w:w="2879"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Histological type (Infiltrating Lobular Carcinoma vs. Infiltrating Ductal Carcinoma)</w:t>
            </w:r>
          </w:p>
        </w:tc>
        <w:tc>
          <w:tcPr>
            <w:tcW w:w="38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977</w:t>
            </w:r>
          </w:p>
        </w:tc>
        <w:tc>
          <w:tcPr>
            <w:tcW w:w="142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0.534 (0.388-0.730)</w:t>
            </w:r>
          </w:p>
        </w:tc>
        <w:tc>
          <w:tcPr>
            <w:tcW w:w="30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&lt;0.001</w:t>
            </w:r>
          </w:p>
        </w:tc>
      </w:tr>
      <w:tr w:rsidR="00F5549B" w:rsidRPr="00A53106" w:rsidTr="00530A7D">
        <w:trPr>
          <w:cantSplit/>
          <w:trHeight w:val="57"/>
          <w:jc w:val="center"/>
        </w:trPr>
        <w:tc>
          <w:tcPr>
            <w:tcW w:w="2879"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PAM50 (Her2 vs. LumA)</w:t>
            </w:r>
          </w:p>
        </w:tc>
        <w:tc>
          <w:tcPr>
            <w:tcW w:w="38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644</w:t>
            </w:r>
          </w:p>
        </w:tc>
        <w:tc>
          <w:tcPr>
            <w:tcW w:w="1428"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1.942 (1.205-3.193)</w:t>
            </w:r>
          </w:p>
        </w:tc>
        <w:tc>
          <w:tcPr>
            <w:tcW w:w="305" w:type="pct"/>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0.007</w:t>
            </w:r>
          </w:p>
        </w:tc>
      </w:tr>
      <w:tr w:rsidR="00F5549B" w:rsidRPr="00A53106" w:rsidTr="00530A7D">
        <w:trPr>
          <w:cantSplit/>
          <w:trHeight w:val="57"/>
          <w:jc w:val="center"/>
        </w:trPr>
        <w:tc>
          <w:tcPr>
            <w:tcW w:w="2879" w:type="pct"/>
            <w:tcBorders>
              <w:bottom w:val="single" w:sz="4" w:space="0" w:color="auto"/>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Menopause status (Post vs. Pre&amp;Peri)</w:t>
            </w:r>
          </w:p>
        </w:tc>
        <w:tc>
          <w:tcPr>
            <w:tcW w:w="388" w:type="pct"/>
            <w:tcBorders>
              <w:bottom w:val="single" w:sz="4" w:space="0" w:color="auto"/>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972</w:t>
            </w:r>
          </w:p>
        </w:tc>
        <w:tc>
          <w:tcPr>
            <w:tcW w:w="1428" w:type="pct"/>
            <w:tcBorders>
              <w:bottom w:val="single" w:sz="4" w:space="0" w:color="auto"/>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0.843 (0.636-1.117)</w:t>
            </w:r>
          </w:p>
        </w:tc>
        <w:tc>
          <w:tcPr>
            <w:tcW w:w="305" w:type="pct"/>
            <w:tcBorders>
              <w:bottom w:val="single" w:sz="4" w:space="0" w:color="auto"/>
            </w:tcBorders>
            <w:shd w:val="clear" w:color="auto" w:fill="FFFFFF"/>
            <w:tcMar>
              <w:top w:w="0" w:type="dxa"/>
              <w:left w:w="0" w:type="dxa"/>
              <w:bottom w:w="0" w:type="dxa"/>
              <w:right w:w="0"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0.235</w:t>
            </w:r>
          </w:p>
        </w:tc>
      </w:tr>
    </w:tbl>
    <w:p w:rsidR="00F5549B" w:rsidRPr="00E94A36" w:rsidRDefault="00F5549B" w:rsidP="00F5549B">
      <w:pPr>
        <w:adjustRightInd w:val="0"/>
        <w:snapToGrid w:val="0"/>
        <w:spacing w:before="0" w:after="0" w:line="480" w:lineRule="auto"/>
        <w:rPr>
          <w:rFonts w:eastAsia="Microsoft YaHei"/>
          <w:szCs w:val="24"/>
        </w:rPr>
      </w:pPr>
    </w:p>
    <w:p w:rsidR="00F5549B" w:rsidRPr="00E94A36" w:rsidRDefault="00F5549B" w:rsidP="00F5549B">
      <w:pPr>
        <w:adjustRightInd w:val="0"/>
        <w:snapToGrid w:val="0"/>
        <w:spacing w:before="0" w:after="0" w:line="480" w:lineRule="auto"/>
        <w:rPr>
          <w:rFonts w:eastAsia="Microsoft YaHei" w:cs="Times New Roman"/>
          <w:szCs w:val="24"/>
        </w:rPr>
        <w:sectPr w:rsidR="00F5549B" w:rsidRPr="00E94A36" w:rsidSect="00855720">
          <w:pgSz w:w="11906" w:h="16838"/>
          <w:pgMar w:top="1440" w:right="1800" w:bottom="1440" w:left="1800" w:header="851" w:footer="992" w:gutter="0"/>
          <w:lnNumType w:countBy="1" w:restart="continuous"/>
          <w:cols w:space="720"/>
          <w:docGrid w:type="lines" w:linePitch="312"/>
        </w:sectPr>
      </w:pPr>
      <w:r w:rsidRPr="00E94A36">
        <w:rPr>
          <w:rFonts w:eastAsia="Microsoft YaHei" w:cs="Times New Roman"/>
          <w:szCs w:val="24"/>
        </w:rPr>
        <w:t>Supplementary TABLE 5 Correlation of FN1 expression and clinical prognosis in BRCA with different clinicopathological factors by Kaplan-Meier plotter. Correlation of FN1 expression and OS in THCA, OS, PPS, DMFS in BRCA with different clinicopathological factors by Kaplan-Meier plotter (n = 502, n = 1402, n = 414, n = 1803). OS, overall survival; PPS, post progression survival; DMFS, distant metastasis-free surviv</w:t>
      </w:r>
      <w:r w:rsidRPr="00E94A36">
        <w:rPr>
          <w:rFonts w:eastAsia="Microsoft YaHei" w:cs="Times New Roman" w:hint="eastAsia"/>
          <w:szCs w:val="24"/>
          <w:lang w:eastAsia="zh-CN"/>
        </w:rPr>
        <w:t>al</w:t>
      </w:r>
      <w:r w:rsidRPr="00E94A36">
        <w:rPr>
          <w:rFonts w:eastAsia="Microsoft YaHei" w:cs="Times New Roman"/>
          <w:szCs w:val="24"/>
          <w:lang w:eastAsia="zh-CN"/>
        </w:rPr>
        <w:t>.</w:t>
      </w:r>
    </w:p>
    <w:tbl>
      <w:tblPr>
        <w:tblpPr w:leftFromText="180" w:rightFromText="180" w:vertAnchor="text" w:horzAnchor="margin" w:tblpY="-68"/>
        <w:tblW w:w="0" w:type="auto"/>
        <w:tblBorders>
          <w:top w:val="single" w:sz="4" w:space="0" w:color="auto"/>
          <w:bottom w:val="single" w:sz="4" w:space="0" w:color="auto"/>
        </w:tblBorders>
        <w:shd w:val="clear" w:color="auto" w:fill="FFFFFF"/>
        <w:tblCellMar>
          <w:left w:w="0" w:type="dxa"/>
          <w:right w:w="0" w:type="dxa"/>
        </w:tblCellMar>
        <w:tblLook w:val="0000" w:firstRow="0" w:lastRow="0" w:firstColumn="0" w:lastColumn="0" w:noHBand="0" w:noVBand="0"/>
      </w:tblPr>
      <w:tblGrid>
        <w:gridCol w:w="1278"/>
        <w:gridCol w:w="444"/>
        <w:gridCol w:w="835"/>
        <w:gridCol w:w="579"/>
        <w:gridCol w:w="270"/>
        <w:gridCol w:w="752"/>
        <w:gridCol w:w="585"/>
        <w:gridCol w:w="270"/>
        <w:gridCol w:w="751"/>
        <w:gridCol w:w="585"/>
        <w:gridCol w:w="1494"/>
        <w:gridCol w:w="270"/>
        <w:gridCol w:w="752"/>
        <w:gridCol w:w="495"/>
      </w:tblGrid>
      <w:tr w:rsidR="00F5549B" w:rsidRPr="00A53106" w:rsidTr="00530A7D">
        <w:trPr>
          <w:cantSplit/>
          <w:trHeight w:val="57"/>
          <w:tblHeader/>
        </w:trPr>
        <w:tc>
          <w:tcPr>
            <w:tcW w:w="0" w:type="auto"/>
            <w:vMerge w:val="restart"/>
            <w:tcBorders>
              <w:top w:val="single" w:sz="4" w:space="0" w:color="auto"/>
              <w:bottom w:val="nil"/>
            </w:tcBorders>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lastRenderedPageBreak/>
              <w:t>Clinicopatholo-gical characteristics</w:t>
            </w:r>
          </w:p>
        </w:tc>
        <w:tc>
          <w:tcPr>
            <w:tcW w:w="0" w:type="auto"/>
            <w:gridSpan w:val="3"/>
            <w:tcBorders>
              <w:top w:val="single" w:sz="4" w:space="0" w:color="auto"/>
              <w:bottom w:val="single" w:sz="4" w:space="0" w:color="auto"/>
            </w:tcBorders>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OS in BC</w:t>
            </w:r>
            <w:r w:rsidRPr="00A53106">
              <w:rPr>
                <w:rFonts w:eastAsia="Microsoft YaHei" w:cs="Times New Roman"/>
                <w:b/>
                <w:bCs/>
                <w:sz w:val="18"/>
                <w:szCs w:val="18"/>
              </w:rPr>
              <w:t>（</w:t>
            </w:r>
            <w:r w:rsidRPr="00A53106">
              <w:rPr>
                <w:rFonts w:eastAsia="Microsoft YaHei" w:cs="Times New Roman"/>
                <w:b/>
                <w:bCs/>
                <w:sz w:val="18"/>
                <w:szCs w:val="18"/>
              </w:rPr>
              <w:t>n=1402</w:t>
            </w:r>
            <w:r w:rsidRPr="00A53106">
              <w:rPr>
                <w:rFonts w:eastAsia="Microsoft YaHei" w:cs="Times New Roman"/>
                <w:b/>
                <w:bCs/>
                <w:sz w:val="18"/>
                <w:szCs w:val="18"/>
              </w:rPr>
              <w:t>）</w:t>
            </w:r>
          </w:p>
        </w:tc>
        <w:tc>
          <w:tcPr>
            <w:tcW w:w="0" w:type="auto"/>
            <w:gridSpan w:val="3"/>
            <w:tcBorders>
              <w:top w:val="single" w:sz="4" w:space="0" w:color="auto"/>
              <w:bottom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PPS  in BC</w:t>
            </w:r>
            <w:r w:rsidRPr="00A53106">
              <w:rPr>
                <w:rFonts w:eastAsia="Microsoft YaHei" w:cs="Times New Roman"/>
                <w:b/>
                <w:bCs/>
                <w:sz w:val="18"/>
                <w:szCs w:val="18"/>
              </w:rPr>
              <w:t>（</w:t>
            </w:r>
            <w:r w:rsidRPr="00A53106">
              <w:rPr>
                <w:rFonts w:eastAsia="Microsoft YaHei" w:cs="Times New Roman"/>
                <w:b/>
                <w:bCs/>
                <w:sz w:val="18"/>
                <w:szCs w:val="18"/>
              </w:rPr>
              <w:t>n=414</w:t>
            </w:r>
            <w:r w:rsidRPr="00A53106">
              <w:rPr>
                <w:rFonts w:eastAsia="Microsoft YaHei" w:cs="Times New Roman"/>
                <w:b/>
                <w:bCs/>
                <w:sz w:val="18"/>
                <w:szCs w:val="18"/>
              </w:rPr>
              <w:t>）</w:t>
            </w:r>
          </w:p>
        </w:tc>
        <w:tc>
          <w:tcPr>
            <w:tcW w:w="0" w:type="auto"/>
            <w:gridSpan w:val="3"/>
            <w:tcBorders>
              <w:top w:val="single" w:sz="4" w:space="0" w:color="auto"/>
              <w:bottom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DMFS in BC (n=1803)</w:t>
            </w:r>
          </w:p>
        </w:tc>
        <w:tc>
          <w:tcPr>
            <w:tcW w:w="0" w:type="auto"/>
            <w:vMerge w:val="restart"/>
            <w:tcBorders>
              <w:top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Clinicopathological characteristics</w:t>
            </w:r>
          </w:p>
        </w:tc>
        <w:tc>
          <w:tcPr>
            <w:tcW w:w="0" w:type="auto"/>
            <w:gridSpan w:val="3"/>
            <w:tcBorders>
              <w:top w:val="single" w:sz="4" w:space="0" w:color="auto"/>
              <w:bottom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OS in TC</w:t>
            </w:r>
            <w:r w:rsidRPr="00A53106">
              <w:rPr>
                <w:rFonts w:eastAsia="Microsoft YaHei" w:cs="Times New Roman"/>
                <w:b/>
                <w:bCs/>
                <w:sz w:val="18"/>
                <w:szCs w:val="18"/>
              </w:rPr>
              <w:t>（</w:t>
            </w:r>
            <w:r w:rsidRPr="00A53106">
              <w:rPr>
                <w:rFonts w:eastAsia="Microsoft YaHei" w:cs="Times New Roman"/>
                <w:b/>
                <w:bCs/>
                <w:sz w:val="18"/>
                <w:szCs w:val="18"/>
              </w:rPr>
              <w:t>n=502</w:t>
            </w:r>
            <w:r w:rsidRPr="00A53106">
              <w:rPr>
                <w:rFonts w:eastAsia="Microsoft YaHei" w:cs="Times New Roman"/>
                <w:b/>
                <w:bCs/>
                <w:sz w:val="18"/>
                <w:szCs w:val="18"/>
              </w:rPr>
              <w:t>）</w:t>
            </w:r>
          </w:p>
        </w:tc>
      </w:tr>
      <w:tr w:rsidR="00F5549B" w:rsidRPr="00A53106" w:rsidTr="00530A7D">
        <w:trPr>
          <w:cantSplit/>
          <w:trHeight w:val="57"/>
          <w:tblHeader/>
        </w:trPr>
        <w:tc>
          <w:tcPr>
            <w:tcW w:w="0" w:type="auto"/>
            <w:vMerge/>
            <w:tcBorders>
              <w:top w:val="nil"/>
              <w:bottom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p>
        </w:tc>
        <w:tc>
          <w:tcPr>
            <w:tcW w:w="0" w:type="auto"/>
            <w:tcBorders>
              <w:top w:val="single" w:sz="4" w:space="0" w:color="auto"/>
              <w:bottom w:val="single" w:sz="4" w:space="0" w:color="auto"/>
            </w:tcBorders>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N</w:t>
            </w:r>
          </w:p>
        </w:tc>
        <w:tc>
          <w:tcPr>
            <w:tcW w:w="0" w:type="auto"/>
            <w:tcBorders>
              <w:top w:val="single" w:sz="4" w:space="0" w:color="auto"/>
              <w:bottom w:val="single" w:sz="4" w:space="0" w:color="auto"/>
            </w:tcBorders>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Hazard Ratio</w:t>
            </w:r>
          </w:p>
        </w:tc>
        <w:tc>
          <w:tcPr>
            <w:tcW w:w="0" w:type="auto"/>
            <w:tcBorders>
              <w:top w:val="single" w:sz="4" w:space="0" w:color="auto"/>
              <w:bottom w:val="single" w:sz="4" w:space="0" w:color="auto"/>
            </w:tcBorders>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p-value</w:t>
            </w:r>
          </w:p>
        </w:tc>
        <w:tc>
          <w:tcPr>
            <w:tcW w:w="0" w:type="auto"/>
            <w:tcBorders>
              <w:top w:val="single" w:sz="4" w:space="0" w:color="auto"/>
              <w:bottom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N</w:t>
            </w:r>
          </w:p>
        </w:tc>
        <w:tc>
          <w:tcPr>
            <w:tcW w:w="0" w:type="auto"/>
            <w:tcBorders>
              <w:top w:val="single" w:sz="4" w:space="0" w:color="auto"/>
              <w:bottom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Hazard Ratio</w:t>
            </w:r>
          </w:p>
        </w:tc>
        <w:tc>
          <w:tcPr>
            <w:tcW w:w="0" w:type="auto"/>
            <w:tcBorders>
              <w:top w:val="single" w:sz="4" w:space="0" w:color="auto"/>
              <w:bottom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p-value</w:t>
            </w:r>
          </w:p>
        </w:tc>
        <w:tc>
          <w:tcPr>
            <w:tcW w:w="0" w:type="auto"/>
            <w:tcBorders>
              <w:top w:val="single" w:sz="4" w:space="0" w:color="auto"/>
              <w:bottom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N</w:t>
            </w:r>
          </w:p>
        </w:tc>
        <w:tc>
          <w:tcPr>
            <w:tcW w:w="0" w:type="auto"/>
            <w:tcBorders>
              <w:top w:val="single" w:sz="4" w:space="0" w:color="auto"/>
              <w:bottom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Hazard Ratio</w:t>
            </w:r>
          </w:p>
        </w:tc>
        <w:tc>
          <w:tcPr>
            <w:tcW w:w="0" w:type="auto"/>
            <w:tcBorders>
              <w:top w:val="single" w:sz="4" w:space="0" w:color="auto"/>
              <w:bottom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p-value</w:t>
            </w:r>
          </w:p>
        </w:tc>
        <w:tc>
          <w:tcPr>
            <w:tcW w:w="0" w:type="auto"/>
            <w:vMerge/>
            <w:tcBorders>
              <w:bottom w:val="single" w:sz="4" w:space="0" w:color="auto"/>
            </w:tcBorders>
            <w:shd w:val="clear" w:color="auto" w:fill="FFFFFF"/>
          </w:tcPr>
          <w:p w:rsidR="00F5549B" w:rsidRPr="00A53106" w:rsidRDefault="00F5549B" w:rsidP="00530A7D">
            <w:pPr>
              <w:adjustRightInd w:val="0"/>
              <w:snapToGrid w:val="0"/>
              <w:spacing w:before="0" w:after="0"/>
              <w:jc w:val="center"/>
              <w:rPr>
                <w:rFonts w:eastAsia="Microsoft YaHei" w:cs="Times New Roman"/>
                <w:b/>
                <w:bCs/>
                <w:sz w:val="18"/>
                <w:szCs w:val="18"/>
              </w:rPr>
            </w:pPr>
          </w:p>
        </w:tc>
        <w:tc>
          <w:tcPr>
            <w:tcW w:w="0" w:type="auto"/>
            <w:tcBorders>
              <w:top w:val="single" w:sz="4" w:space="0" w:color="auto"/>
              <w:bottom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N</w:t>
            </w:r>
          </w:p>
        </w:tc>
        <w:tc>
          <w:tcPr>
            <w:tcW w:w="0" w:type="auto"/>
            <w:tcBorders>
              <w:top w:val="single" w:sz="4" w:space="0" w:color="auto"/>
              <w:bottom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Hazard Ratio</w:t>
            </w:r>
          </w:p>
        </w:tc>
        <w:tc>
          <w:tcPr>
            <w:tcW w:w="0" w:type="auto"/>
            <w:tcBorders>
              <w:top w:val="single" w:sz="4" w:space="0" w:color="auto"/>
              <w:bottom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p-value</w:t>
            </w:r>
          </w:p>
        </w:tc>
      </w:tr>
      <w:tr w:rsidR="00F5549B" w:rsidRPr="00A53106" w:rsidTr="00530A7D">
        <w:trPr>
          <w:cantSplit/>
          <w:trHeight w:val="57"/>
          <w:tblHeader/>
        </w:trPr>
        <w:tc>
          <w:tcPr>
            <w:tcW w:w="0" w:type="auto"/>
            <w:tcBorders>
              <w:top w:val="single" w:sz="4" w:space="0" w:color="auto"/>
            </w:tcBorders>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ER</w:t>
            </w:r>
          </w:p>
        </w:tc>
        <w:tc>
          <w:tcPr>
            <w:tcW w:w="0" w:type="auto"/>
            <w:tcBorders>
              <w:top w:val="single" w:sz="4" w:space="0" w:color="auto"/>
            </w:tcBorders>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tcBorders>
              <w:top w:val="single" w:sz="4" w:space="0" w:color="auto"/>
            </w:tcBorders>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tcBorders>
              <w:top w:val="single" w:sz="4" w:space="0" w:color="auto"/>
            </w:tcBorders>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tcBorders>
              <w:top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tcBorders>
              <w:top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tcBorders>
              <w:top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tcBorders>
              <w:top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tcBorders>
              <w:top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tcBorders>
              <w:top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tcBorders>
              <w:top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b/>
                <w:bCs/>
                <w:sz w:val="18"/>
                <w:szCs w:val="18"/>
              </w:rPr>
              <w:t>SEX</w:t>
            </w:r>
          </w:p>
        </w:tc>
        <w:tc>
          <w:tcPr>
            <w:tcW w:w="0" w:type="auto"/>
            <w:tcBorders>
              <w:top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tcBorders>
              <w:top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tcBorders>
              <w:top w:val="single" w:sz="4" w:space="0" w:color="auto"/>
            </w:tcBorders>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548</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0.65</w:t>
            </w:r>
            <w:r w:rsidRPr="00A53106">
              <w:rPr>
                <w:rFonts w:eastAsia="Microsoft YaHei" w:cs="Times New Roman"/>
                <w:sz w:val="18"/>
                <w:szCs w:val="18"/>
              </w:rPr>
              <w:t>（</w:t>
            </w:r>
            <w:r w:rsidRPr="00A53106">
              <w:rPr>
                <w:rFonts w:eastAsia="Microsoft YaHei" w:cs="Times New Roman"/>
                <w:sz w:val="18"/>
                <w:szCs w:val="18"/>
              </w:rPr>
              <w:t>0.43-0.98</w:t>
            </w:r>
            <w:r w:rsidRPr="00A53106">
              <w:rPr>
                <w:rFonts w:eastAsia="Microsoft YaHei" w:cs="Times New Roman"/>
                <w:sz w:val="18"/>
                <w:szCs w:val="18"/>
              </w:rPr>
              <w:t>）</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0.039</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173</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0.79（0.52-1.2）</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0.27</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664</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1.55（1.01-2.37）</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b/>
                <w:bCs/>
                <w:color w:val="000000"/>
                <w:sz w:val="18"/>
                <w:szCs w:val="18"/>
              </w:rPr>
              <w:t>0.044</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MALE</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sz w:val="18"/>
                <w:szCs w:val="18"/>
              </w:rPr>
              <w:t>135</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sz w:val="18"/>
                <w:szCs w:val="18"/>
              </w:rPr>
              <w:t>0.11</w:t>
            </w:r>
            <w:r w:rsidRPr="00A53106">
              <w:rPr>
                <w:rFonts w:eastAsia="Microsoft YaHei" w:cs="Times New Roman"/>
                <w:sz w:val="18"/>
                <w:szCs w:val="18"/>
              </w:rPr>
              <w:t>（</w:t>
            </w:r>
            <w:r w:rsidRPr="00A53106">
              <w:rPr>
                <w:rFonts w:eastAsia="Microsoft YaHei" w:cs="Times New Roman"/>
                <w:sz w:val="18"/>
                <w:szCs w:val="18"/>
              </w:rPr>
              <w:t>0.02-0.71</w:t>
            </w:r>
            <w:r w:rsidRPr="00A53106">
              <w:rPr>
                <w:rFonts w:eastAsia="Microsoft YaHei" w:cs="Times New Roman"/>
                <w:sz w:val="18"/>
                <w:szCs w:val="18"/>
              </w:rPr>
              <w:t>）</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b/>
                <w:bCs/>
                <w:sz w:val="18"/>
                <w:szCs w:val="18"/>
              </w:rPr>
              <w:t>0.0064</w:t>
            </w: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_</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251</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1.51</w:t>
            </w:r>
            <w:r w:rsidRPr="00A53106">
              <w:rPr>
                <w:rFonts w:eastAsia="Microsoft YaHei" w:cs="Times New Roman"/>
                <w:sz w:val="18"/>
                <w:szCs w:val="18"/>
              </w:rPr>
              <w:t>（</w:t>
            </w:r>
            <w:r w:rsidRPr="00A53106">
              <w:rPr>
                <w:rFonts w:eastAsia="Microsoft YaHei" w:cs="Times New Roman"/>
                <w:sz w:val="18"/>
                <w:szCs w:val="18"/>
              </w:rPr>
              <w:t>0.94-2.44</w:t>
            </w:r>
            <w:r w:rsidRPr="00A53106">
              <w:rPr>
                <w:rFonts w:eastAsia="Microsoft YaHei" w:cs="Times New Roman"/>
                <w:sz w:val="18"/>
                <w:szCs w:val="18"/>
              </w:rPr>
              <w:t>）</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0.09</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100</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1.56（0.9-2.69）</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0.11</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275</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2.75（1.78-4.27）</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b/>
                <w:bCs/>
                <w:color w:val="000000"/>
                <w:sz w:val="18"/>
                <w:szCs w:val="18"/>
              </w:rPr>
              <w:t>2.3e-06</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FEMALE</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sz w:val="18"/>
                <w:szCs w:val="18"/>
              </w:rPr>
              <w:t>367</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sz w:val="18"/>
                <w:szCs w:val="18"/>
              </w:rPr>
              <w:t>2.49</w:t>
            </w:r>
            <w:r w:rsidRPr="00A53106">
              <w:rPr>
                <w:rFonts w:eastAsia="Microsoft YaHei" w:cs="Times New Roman"/>
                <w:sz w:val="18"/>
                <w:szCs w:val="18"/>
              </w:rPr>
              <w:t>（</w:t>
            </w:r>
            <w:r w:rsidRPr="00A53106">
              <w:rPr>
                <w:rFonts w:eastAsia="Microsoft YaHei" w:cs="Times New Roman"/>
                <w:sz w:val="18"/>
                <w:szCs w:val="18"/>
              </w:rPr>
              <w:t>0.64-9.64</w:t>
            </w:r>
            <w:r w:rsidRPr="00A53106">
              <w:rPr>
                <w:rFonts w:eastAsia="Microsoft YaHei" w:cs="Times New Roman"/>
                <w:sz w:val="18"/>
                <w:szCs w:val="18"/>
              </w:rPr>
              <w:t>）</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sz w:val="18"/>
                <w:szCs w:val="18"/>
              </w:rPr>
              <w:t>0.17</w:t>
            </w: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PR</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b/>
                <w:bCs/>
                <w:sz w:val="18"/>
                <w:szCs w:val="18"/>
              </w:rPr>
              <w:t>STAGE</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83</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0.34(0.08-1.38)</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0.11</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13</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192</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2.05（0.89-4.74）</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0.087</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eastAsia="Microsoft YaHei" w:cs="Times New Roman"/>
                <w:sz w:val="18"/>
                <w:szCs w:val="18"/>
              </w:rPr>
              <w:t>281</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eastAsia="Microsoft YaHei" w:cs="Times New Roman"/>
                <w:sz w:val="18"/>
                <w:szCs w:val="18"/>
              </w:rPr>
              <w:t>0(0-Inf)</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eastAsia="Microsoft YaHei" w:cs="Times New Roman"/>
                <w:b/>
                <w:bCs/>
                <w:sz w:val="18"/>
                <w:szCs w:val="18"/>
              </w:rPr>
              <w:t>0.008</w:t>
            </w: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_</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89</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0.73(0.28-1.87)</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0.51</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17</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154</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3.13（1.69-5.8）</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b/>
                <w:bCs/>
                <w:color w:val="000000"/>
                <w:sz w:val="18"/>
                <w:szCs w:val="18"/>
              </w:rPr>
              <w:t>0.00014</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sz w:val="18"/>
                <w:szCs w:val="18"/>
              </w:rPr>
              <w:t>52</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sz w:val="18"/>
                <w:szCs w:val="18"/>
              </w:rPr>
              <w:t>0.17(0.01-2.78)</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sz w:val="18"/>
                <w:szCs w:val="18"/>
              </w:rPr>
              <w:t>0.16</w:t>
            </w: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HER2</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112</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0.36(0.07-1.85)</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0.2</w:t>
            </w: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129</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0.68</w:t>
            </w:r>
            <w:r w:rsidRPr="00A53106">
              <w:rPr>
                <w:rFonts w:eastAsia="Microsoft YaHei" w:cs="Times New Roman"/>
                <w:sz w:val="18"/>
                <w:szCs w:val="18"/>
              </w:rPr>
              <w:t>（</w:t>
            </w:r>
            <w:r w:rsidRPr="00A53106">
              <w:rPr>
                <w:rFonts w:eastAsia="Microsoft YaHei" w:cs="Times New Roman"/>
                <w:sz w:val="18"/>
                <w:szCs w:val="18"/>
              </w:rPr>
              <w:t>0.33-1.39</w:t>
            </w:r>
            <w:r w:rsidRPr="00A53106">
              <w:rPr>
                <w:rFonts w:eastAsia="Microsoft YaHei" w:cs="Times New Roman"/>
                <w:sz w:val="18"/>
                <w:szCs w:val="18"/>
              </w:rPr>
              <w:t>）</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0.28</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33</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0.35（0.1-1.22）</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0.086</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126</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2.82(1.37-5.81)</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b/>
                <w:bCs/>
                <w:color w:val="000000"/>
                <w:sz w:val="18"/>
                <w:szCs w:val="18"/>
              </w:rPr>
              <w:t>0.0034</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4</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sz w:val="18"/>
                <w:szCs w:val="18"/>
              </w:rPr>
              <w:t>55</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sz w:val="18"/>
                <w:szCs w:val="18"/>
              </w:rPr>
              <w:t>2.53</w:t>
            </w:r>
            <w:r w:rsidRPr="00A53106">
              <w:rPr>
                <w:rFonts w:eastAsia="Microsoft YaHei" w:cs="Times New Roman"/>
                <w:sz w:val="18"/>
                <w:szCs w:val="18"/>
              </w:rPr>
              <w:t>（</w:t>
            </w:r>
            <w:r w:rsidRPr="00A53106">
              <w:rPr>
                <w:rFonts w:eastAsia="Microsoft YaHei" w:cs="Times New Roman"/>
                <w:sz w:val="18"/>
                <w:szCs w:val="18"/>
              </w:rPr>
              <w:t>0.39-16.34</w:t>
            </w:r>
            <w:r w:rsidRPr="00A53106">
              <w:rPr>
                <w:rFonts w:eastAsia="Microsoft YaHei" w:cs="Times New Roman"/>
                <w:sz w:val="18"/>
                <w:szCs w:val="18"/>
              </w:rPr>
              <w:t>）</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sz w:val="18"/>
                <w:szCs w:val="18"/>
              </w:rPr>
              <w:t>0.32</w:t>
            </w: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_</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130</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1.65(0.68-3.99)</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0.26</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39</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1.92(0.43-8.45)</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0.39</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150</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1.91(0.79-4.6)</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0.14</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eastAsia="Microsoft YaHei" w:cs="Times New Roman"/>
                <w:b/>
                <w:bCs/>
                <w:sz w:val="18"/>
                <w:szCs w:val="18"/>
              </w:rPr>
              <w:t>RACE</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Lymph node status</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white</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332</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1.69</w:t>
            </w:r>
            <w:r w:rsidRPr="00A53106">
              <w:rPr>
                <w:rFonts w:eastAsia="Microsoft YaHei" w:cs="Times New Roman"/>
                <w:sz w:val="18"/>
                <w:szCs w:val="18"/>
              </w:rPr>
              <w:t>（</w:t>
            </w:r>
            <w:r w:rsidRPr="00A53106">
              <w:rPr>
                <w:rFonts w:eastAsia="Microsoft YaHei" w:cs="Times New Roman"/>
                <w:sz w:val="18"/>
                <w:szCs w:val="18"/>
              </w:rPr>
              <w:t>0.57-5.05</w:t>
            </w:r>
            <w:r w:rsidRPr="00A53106">
              <w:rPr>
                <w:rFonts w:eastAsia="Microsoft YaHei" w:cs="Times New Roman"/>
                <w:sz w:val="18"/>
                <w:szCs w:val="18"/>
              </w:rPr>
              <w:t>）</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0.34</w:t>
            </w: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313</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0.6</w:t>
            </w:r>
            <w:r w:rsidRPr="00A53106">
              <w:rPr>
                <w:rFonts w:eastAsia="Microsoft YaHei" w:cs="Times New Roman"/>
                <w:sz w:val="18"/>
                <w:szCs w:val="18"/>
              </w:rPr>
              <w:t>（</w:t>
            </w:r>
            <w:r w:rsidRPr="00A53106">
              <w:rPr>
                <w:rFonts w:eastAsia="Microsoft YaHei" w:cs="Times New Roman"/>
                <w:sz w:val="18"/>
                <w:szCs w:val="18"/>
              </w:rPr>
              <w:t>0.39-0.91</w:t>
            </w:r>
            <w:r w:rsidRPr="00A53106">
              <w:rPr>
                <w:rFonts w:eastAsia="Microsoft YaHei" w:cs="Times New Roman"/>
                <w:sz w:val="18"/>
                <w:szCs w:val="18"/>
              </w:rPr>
              <w:t>）</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0.015</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128</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0.74（0.46-1,18）</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0.21</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382</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1.91(1.3-2.82)</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b/>
                <w:bCs/>
                <w:color w:val="000000"/>
                <w:sz w:val="18"/>
                <w:szCs w:val="18"/>
              </w:rPr>
              <w:t>0.00085</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black/african american</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sz w:val="18"/>
                <w:szCs w:val="18"/>
              </w:rPr>
              <w:t>27</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sz w:val="18"/>
                <w:szCs w:val="18"/>
              </w:rPr>
              <w:t>0</w:t>
            </w:r>
            <w:r w:rsidRPr="00A53106">
              <w:rPr>
                <w:rFonts w:eastAsia="Microsoft YaHei" w:cs="Times New Roman"/>
                <w:sz w:val="18"/>
                <w:szCs w:val="18"/>
              </w:rPr>
              <w:t>（</w:t>
            </w:r>
            <w:r w:rsidRPr="00A53106">
              <w:rPr>
                <w:rFonts w:eastAsia="Microsoft YaHei" w:cs="Times New Roman"/>
                <w:sz w:val="18"/>
                <w:szCs w:val="18"/>
              </w:rPr>
              <w:t>0-Inf</w:t>
            </w:r>
            <w:r w:rsidRPr="00A53106">
              <w:rPr>
                <w:rFonts w:eastAsia="Microsoft YaHei" w:cs="Times New Roman"/>
                <w:sz w:val="18"/>
                <w:szCs w:val="18"/>
              </w:rPr>
              <w:t>）</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b/>
                <w:bCs/>
                <w:sz w:val="18"/>
                <w:szCs w:val="18"/>
              </w:rPr>
              <w:t>0.0096</w:t>
            </w: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_</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594</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0.82(0.54-1.25)</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0.35</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165</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1.26(0.81-1.96)</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0.3</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988</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1.16（0.85-1.59）</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0.35</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asian</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eastAsia="Microsoft YaHei" w:cs="Times New Roman"/>
                <w:sz w:val="18"/>
                <w:szCs w:val="18"/>
              </w:rPr>
              <w:t>-</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eastAsia="Microsoft YaHei" w:cs="Times New Roman"/>
                <w:sz w:val="18"/>
                <w:szCs w:val="18"/>
              </w:rPr>
              <w:t>-</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eastAsia="Microsoft YaHei" w:cs="Times New Roman"/>
                <w:sz w:val="18"/>
                <w:szCs w:val="18"/>
              </w:rPr>
              <w:t>-</w:t>
            </w: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Intrinsic subtype</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b/>
                <w:bCs/>
                <w:sz w:val="18"/>
                <w:szCs w:val="18"/>
              </w:rPr>
              <w:t>Mutation burden</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basal</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241</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0.7(0.42-1.17)</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0.17</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64</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0.63(0.33-1.22)</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0.17</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261</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1.46(0.89-2.39)</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0.14</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high</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eastAsia="Microsoft YaHei" w:cs="Times New Roman"/>
                <w:sz w:val="18"/>
                <w:szCs w:val="18"/>
              </w:rPr>
              <w:t>245</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eastAsia="Microsoft YaHei" w:cs="Times New Roman"/>
                <w:sz w:val="18"/>
                <w:szCs w:val="18"/>
              </w:rPr>
              <w:t>2.59</w:t>
            </w:r>
            <w:r w:rsidRPr="00A53106">
              <w:rPr>
                <w:rFonts w:eastAsia="Microsoft YaHei" w:cs="Times New Roman"/>
                <w:sz w:val="18"/>
                <w:szCs w:val="18"/>
              </w:rPr>
              <w:t>（</w:t>
            </w:r>
            <w:r w:rsidRPr="00A53106">
              <w:rPr>
                <w:rFonts w:eastAsia="Microsoft YaHei" w:cs="Times New Roman"/>
                <w:sz w:val="18"/>
                <w:szCs w:val="18"/>
              </w:rPr>
              <w:t>0.73-9,23</w:t>
            </w:r>
            <w:r w:rsidRPr="00A53106">
              <w:rPr>
                <w:rFonts w:eastAsia="Microsoft YaHei" w:cs="Times New Roman"/>
                <w:sz w:val="18"/>
                <w:szCs w:val="18"/>
              </w:rPr>
              <w:t>）</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eastAsia="Microsoft YaHei" w:cs="Times New Roman"/>
                <w:sz w:val="18"/>
                <w:szCs w:val="18"/>
              </w:rPr>
              <w:t>0.13</w:t>
            </w: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luminal A</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611</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0.71</w:t>
            </w:r>
            <w:r w:rsidRPr="00A53106">
              <w:rPr>
                <w:rFonts w:eastAsia="Microsoft YaHei" w:cs="Times New Roman"/>
                <w:sz w:val="18"/>
                <w:szCs w:val="18"/>
              </w:rPr>
              <w:t>（</w:t>
            </w:r>
            <w:r w:rsidRPr="00A53106">
              <w:rPr>
                <w:rFonts w:eastAsia="Microsoft YaHei" w:cs="Times New Roman"/>
                <w:sz w:val="18"/>
                <w:szCs w:val="18"/>
              </w:rPr>
              <w:t>0.49-1,03</w:t>
            </w:r>
            <w:r w:rsidRPr="00A53106">
              <w:rPr>
                <w:rFonts w:eastAsia="Microsoft YaHei" w:cs="Times New Roman"/>
                <w:sz w:val="18"/>
                <w:szCs w:val="18"/>
              </w:rPr>
              <w:t>）</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0.071</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179</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1.28（0.86-1.92）</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0.22</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968</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1.49（1.11-1.98）</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b/>
                <w:bCs/>
                <w:color w:val="000000"/>
                <w:sz w:val="18"/>
                <w:szCs w:val="18"/>
              </w:rPr>
              <w:t>0.0066</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low</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sz w:val="18"/>
                <w:szCs w:val="18"/>
              </w:rPr>
              <w:t>240</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sz w:val="18"/>
                <w:szCs w:val="18"/>
              </w:rPr>
              <w:t>0</w:t>
            </w:r>
            <w:r w:rsidRPr="00A53106">
              <w:rPr>
                <w:rFonts w:eastAsia="Microsoft YaHei" w:cs="Times New Roman"/>
                <w:sz w:val="18"/>
                <w:szCs w:val="18"/>
              </w:rPr>
              <w:t>（</w:t>
            </w:r>
            <w:r w:rsidRPr="00A53106">
              <w:rPr>
                <w:rFonts w:eastAsia="Microsoft YaHei" w:cs="Times New Roman"/>
                <w:sz w:val="18"/>
                <w:szCs w:val="18"/>
              </w:rPr>
              <w:t>0-Inf</w:t>
            </w:r>
            <w:r w:rsidRPr="00A53106">
              <w:rPr>
                <w:rFonts w:eastAsia="Microsoft YaHei" w:cs="Times New Roman"/>
                <w:sz w:val="18"/>
                <w:szCs w:val="18"/>
              </w:rPr>
              <w:t>）</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eastAsia="Microsoft YaHei" w:cs="Times New Roman"/>
                <w:sz w:val="18"/>
                <w:szCs w:val="18"/>
              </w:rPr>
              <w:t>0.1</w:t>
            </w: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luminal B</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433</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1.79</w:t>
            </w:r>
            <w:r w:rsidRPr="00A53106">
              <w:rPr>
                <w:rFonts w:eastAsia="Microsoft YaHei" w:cs="Times New Roman"/>
                <w:sz w:val="18"/>
                <w:szCs w:val="18"/>
              </w:rPr>
              <w:t>（</w:t>
            </w:r>
            <w:r w:rsidRPr="00A53106">
              <w:rPr>
                <w:rFonts w:eastAsia="Microsoft YaHei" w:cs="Times New Roman"/>
                <w:sz w:val="18"/>
                <w:szCs w:val="18"/>
              </w:rPr>
              <w:t>1.19-2.7</w:t>
            </w:r>
            <w:r w:rsidRPr="00A53106">
              <w:rPr>
                <w:rFonts w:eastAsia="Microsoft YaHei" w:cs="Times New Roman"/>
                <w:sz w:val="18"/>
                <w:szCs w:val="18"/>
              </w:rPr>
              <w:t>）</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eastAsia="Microsoft YaHei" w:cs="Times New Roman"/>
                <w:b/>
                <w:bCs/>
                <w:sz w:val="18"/>
                <w:szCs w:val="18"/>
              </w:rPr>
              <w:t>0.0047</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134</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2.5（1.45-4.31）</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b/>
                <w:bCs/>
                <w:color w:val="000000"/>
                <w:sz w:val="18"/>
                <w:szCs w:val="18"/>
              </w:rPr>
              <w:t>0.00069</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449</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1.44（1-2.06）</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b/>
                <w:bCs/>
                <w:color w:val="000000"/>
                <w:sz w:val="18"/>
                <w:szCs w:val="18"/>
              </w:rPr>
              <w:t>0.049</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HER2+</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117</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1.65(0.86-3.15)</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eastAsia="Microsoft YaHei" w:cs="Times New Roman"/>
                <w:sz w:val="18"/>
                <w:szCs w:val="18"/>
              </w:rPr>
              <w:t>0.13</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335</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1.64(0.78-3.47)</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0.19</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125</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color w:val="000000"/>
                <w:sz w:val="18"/>
                <w:szCs w:val="18"/>
              </w:rPr>
              <w:t>4.43(2.04-9.63)</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b/>
                <w:bCs/>
                <w:color w:val="000000"/>
                <w:sz w:val="18"/>
                <w:szCs w:val="18"/>
              </w:rPr>
              <w:t>4.1e-05</w:t>
            </w:r>
          </w:p>
        </w:tc>
        <w:tc>
          <w:tcPr>
            <w:tcW w:w="0" w:type="auto"/>
            <w:shd w:val="clear" w:color="auto" w:fill="FFFFFF"/>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rPr>
                <w:rFonts w:cs="Times New Roman"/>
                <w:b/>
                <w:bCs/>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rPr>
                <w:rFonts w:cs="Times New Roman"/>
                <w:b/>
                <w:bCs/>
                <w:color w:val="000000"/>
                <w:sz w:val="18"/>
                <w:szCs w:val="18"/>
              </w:rPr>
            </w:pP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b/>
                <w:bCs/>
                <w:color w:val="000000"/>
                <w:kern w:val="24"/>
                <w:sz w:val="18"/>
                <w:szCs w:val="18"/>
              </w:rPr>
              <w:t>Grade</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p>
        </w:tc>
        <w:tc>
          <w:tcPr>
            <w:tcW w:w="0" w:type="auto"/>
            <w:shd w:val="clear" w:color="auto" w:fill="FFFFFF"/>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rPr>
                <w:rFonts w:cs="Times New Roman"/>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rPr>
                <w:rFonts w:cs="Times New Roman"/>
                <w:color w:val="000000"/>
                <w:sz w:val="18"/>
                <w:szCs w:val="18"/>
              </w:rPr>
            </w:pP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lastRenderedPageBreak/>
              <w:t>1</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1402</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0.46（0.16-1.27）</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0.12</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cs="Times New Roman"/>
                <w:color w:val="000000"/>
                <w:sz w:val="18"/>
                <w:szCs w:val="18"/>
              </w:rPr>
              <w:t>34</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cs="Times New Roman"/>
                <w:color w:val="000000"/>
                <w:sz w:val="18"/>
                <w:szCs w:val="18"/>
              </w:rPr>
              <w:t>2.45（0.55-10.98）</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cs="Times New Roman"/>
                <w:color w:val="000000"/>
                <w:sz w:val="18"/>
                <w:szCs w:val="18"/>
              </w:rPr>
              <w:t>0.23</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cs="Times New Roman"/>
                <w:color w:val="000000"/>
                <w:sz w:val="18"/>
                <w:szCs w:val="18"/>
              </w:rPr>
              <w:t>188</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cs="Times New Roman"/>
                <w:color w:val="000000"/>
                <w:sz w:val="18"/>
                <w:szCs w:val="18"/>
              </w:rPr>
              <w:t>1.6（0.71-3.63）</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cs="Times New Roman"/>
                <w:color w:val="000000"/>
                <w:sz w:val="18"/>
                <w:szCs w:val="18"/>
              </w:rPr>
              <w:t>0.26</w:t>
            </w:r>
          </w:p>
        </w:tc>
        <w:tc>
          <w:tcPr>
            <w:tcW w:w="0" w:type="auto"/>
            <w:shd w:val="clear" w:color="auto" w:fill="FFFFFF"/>
          </w:tcPr>
          <w:p w:rsidR="00F5549B" w:rsidRPr="00A53106" w:rsidRDefault="00F5549B" w:rsidP="00530A7D">
            <w:pPr>
              <w:adjustRightInd w:val="0"/>
              <w:snapToGrid w:val="0"/>
              <w:spacing w:before="0" w:after="0"/>
              <w:jc w:val="center"/>
              <w:rPr>
                <w:rFonts w:cs="Times New Roman"/>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2</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387</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0.65（0.42-0.99）</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b/>
                <w:bCs/>
                <w:color w:val="000000"/>
                <w:sz w:val="18"/>
                <w:szCs w:val="18"/>
              </w:rPr>
              <w:t>0.045</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cs="Times New Roman"/>
                <w:color w:val="000000"/>
                <w:sz w:val="18"/>
                <w:szCs w:val="18"/>
              </w:rPr>
              <w:t>128</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cs="Times New Roman"/>
                <w:color w:val="000000"/>
                <w:sz w:val="18"/>
                <w:szCs w:val="18"/>
              </w:rPr>
              <w:t>0.76（0.47-1.23）</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cs="Times New Roman"/>
                <w:color w:val="000000"/>
                <w:sz w:val="18"/>
                <w:szCs w:val="18"/>
              </w:rPr>
              <w:t>0.26</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cs="Times New Roman"/>
                <w:color w:val="000000"/>
                <w:sz w:val="18"/>
                <w:szCs w:val="18"/>
              </w:rPr>
              <w:t>546</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cs="Times New Roman"/>
                <w:color w:val="000000"/>
                <w:sz w:val="18"/>
                <w:szCs w:val="18"/>
              </w:rPr>
              <w:t>0.85（0.6-1.2）</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r w:rsidRPr="00A53106">
              <w:rPr>
                <w:rFonts w:cs="Times New Roman"/>
                <w:color w:val="000000"/>
                <w:sz w:val="18"/>
                <w:szCs w:val="18"/>
              </w:rPr>
              <w:t>0.35</w:t>
            </w:r>
          </w:p>
        </w:tc>
        <w:tc>
          <w:tcPr>
            <w:tcW w:w="0" w:type="auto"/>
            <w:shd w:val="clear" w:color="auto" w:fill="FFFFFF"/>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rPr>
                <w:rFonts w:cs="Times New Roman"/>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color w:val="000000"/>
                <w:sz w:val="18"/>
                <w:szCs w:val="18"/>
              </w:rPr>
            </w:pPr>
          </w:p>
        </w:tc>
      </w:tr>
      <w:tr w:rsidR="00F5549B" w:rsidRPr="00A53106" w:rsidTr="00530A7D">
        <w:trPr>
          <w:cantSplit/>
          <w:trHeight w:val="57"/>
          <w:tblHeader/>
        </w:trPr>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3</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503</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sz w:val="18"/>
                <w:szCs w:val="18"/>
              </w:rPr>
            </w:pPr>
            <w:r w:rsidRPr="00A53106">
              <w:rPr>
                <w:rFonts w:cs="Times New Roman"/>
                <w:color w:val="000000"/>
                <w:sz w:val="18"/>
                <w:szCs w:val="18"/>
              </w:rPr>
              <w:t>1.51(1.08-2.12)</w:t>
            </w:r>
          </w:p>
        </w:tc>
        <w:tc>
          <w:tcPr>
            <w:tcW w:w="0" w:type="auto"/>
            <w:shd w:val="clear" w:color="auto" w:fill="FFFFFF"/>
            <w:tcMar>
              <w:top w:w="15" w:type="dxa"/>
              <w:left w:w="42" w:type="dxa"/>
              <w:bottom w:w="0" w:type="dxa"/>
              <w:right w:w="42" w:type="dxa"/>
            </w:tcMar>
            <w:vAlign w:val="center"/>
          </w:tcPr>
          <w:p w:rsidR="00F5549B" w:rsidRPr="00A53106" w:rsidRDefault="00F5549B" w:rsidP="00530A7D">
            <w:pPr>
              <w:adjustRightInd w:val="0"/>
              <w:snapToGrid w:val="0"/>
              <w:spacing w:before="0" w:after="0"/>
              <w:jc w:val="center"/>
              <w:rPr>
                <w:rFonts w:eastAsia="Microsoft YaHei" w:cs="Times New Roman"/>
                <w:b/>
                <w:bCs/>
                <w:sz w:val="18"/>
                <w:szCs w:val="18"/>
              </w:rPr>
            </w:pPr>
            <w:r w:rsidRPr="00A53106">
              <w:rPr>
                <w:rFonts w:cs="Times New Roman"/>
                <w:b/>
                <w:bCs/>
                <w:color w:val="000000"/>
                <w:sz w:val="18"/>
                <w:szCs w:val="18"/>
              </w:rPr>
              <w:t>0.015</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cs="Times New Roman"/>
                <w:color w:val="000000"/>
                <w:sz w:val="18"/>
                <w:szCs w:val="18"/>
              </w:rPr>
              <w:t>165</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cs="Times New Roman"/>
                <w:color w:val="000000"/>
                <w:sz w:val="18"/>
                <w:szCs w:val="18"/>
              </w:rPr>
              <w:t>1.82(1.18-2.82)</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cs="Times New Roman"/>
                <w:b/>
                <w:bCs/>
                <w:color w:val="000000"/>
                <w:sz w:val="18"/>
                <w:szCs w:val="18"/>
              </w:rPr>
              <w:t>0.0062</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cs="Times New Roman"/>
                <w:color w:val="000000"/>
                <w:sz w:val="18"/>
                <w:szCs w:val="18"/>
              </w:rPr>
              <w:t>458</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cs="Times New Roman"/>
                <w:color w:val="000000"/>
                <w:sz w:val="18"/>
                <w:szCs w:val="18"/>
              </w:rPr>
              <w:t>1.84(1.3-2.6)</w:t>
            </w: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r w:rsidRPr="00A53106">
              <w:rPr>
                <w:rFonts w:cs="Times New Roman"/>
                <w:b/>
                <w:bCs/>
                <w:color w:val="000000"/>
                <w:sz w:val="18"/>
                <w:szCs w:val="18"/>
              </w:rPr>
              <w:t>0.00044</w:t>
            </w:r>
          </w:p>
        </w:tc>
        <w:tc>
          <w:tcPr>
            <w:tcW w:w="0" w:type="auto"/>
            <w:shd w:val="clear" w:color="auto" w:fill="FFFFFF"/>
          </w:tcPr>
          <w:p w:rsidR="00F5549B" w:rsidRPr="00A53106" w:rsidRDefault="00F5549B" w:rsidP="00530A7D">
            <w:pPr>
              <w:adjustRightInd w:val="0"/>
              <w:snapToGrid w:val="0"/>
              <w:spacing w:before="0" w:after="0"/>
              <w:jc w:val="center"/>
              <w:rPr>
                <w:rFonts w:eastAsia="Microsoft YaHei" w:cs="Times New Roman"/>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rPr>
                <w:rFonts w:cs="Times New Roman"/>
                <w:b/>
                <w:bCs/>
                <w:color w:val="000000"/>
                <w:sz w:val="18"/>
                <w:szCs w:val="18"/>
              </w:rPr>
            </w:pPr>
          </w:p>
        </w:tc>
        <w:tc>
          <w:tcPr>
            <w:tcW w:w="0" w:type="auto"/>
            <w:shd w:val="clear" w:color="auto" w:fill="FFFFFF"/>
            <w:vAlign w:val="center"/>
          </w:tcPr>
          <w:p w:rsidR="00F5549B" w:rsidRPr="00A53106" w:rsidRDefault="00F5549B" w:rsidP="00530A7D">
            <w:pPr>
              <w:adjustRightInd w:val="0"/>
              <w:snapToGrid w:val="0"/>
              <w:spacing w:before="0" w:after="0"/>
              <w:jc w:val="center"/>
              <w:rPr>
                <w:rFonts w:cs="Times New Roman"/>
                <w:b/>
                <w:bCs/>
                <w:color w:val="000000"/>
                <w:sz w:val="18"/>
                <w:szCs w:val="18"/>
              </w:rPr>
            </w:pPr>
          </w:p>
        </w:tc>
      </w:tr>
    </w:tbl>
    <w:p w:rsidR="00F5549B" w:rsidRPr="00E94A36" w:rsidRDefault="00F5549B" w:rsidP="00F5549B">
      <w:pPr>
        <w:adjustRightInd w:val="0"/>
        <w:snapToGrid w:val="0"/>
        <w:spacing w:before="0" w:after="0" w:line="480" w:lineRule="auto"/>
        <w:rPr>
          <w:szCs w:val="24"/>
        </w:rPr>
      </w:pPr>
      <w:r w:rsidRPr="00E94A36">
        <w:rPr>
          <w:rFonts w:eastAsia="Microsoft YaHei" w:cs="Times New Roman"/>
          <w:i/>
          <w:iCs/>
          <w:szCs w:val="24"/>
        </w:rPr>
        <w:t>Bold values indicate P &lt; 0.05</w:t>
      </w:r>
    </w:p>
    <w:bookmarkEnd w:id="1"/>
    <w:p w:rsidR="00F5549B" w:rsidRPr="005B53E0" w:rsidRDefault="00F5549B" w:rsidP="00F5549B">
      <w:pPr>
        <w:adjustRightInd w:val="0"/>
        <w:snapToGrid w:val="0"/>
        <w:spacing w:before="0" w:after="0" w:line="480" w:lineRule="auto"/>
        <w:rPr>
          <w:rFonts w:eastAsia="Microsoft YaHei" w:cs="Times New Roman"/>
          <w:i/>
          <w:iCs/>
          <w:szCs w:val="24"/>
        </w:rPr>
      </w:pPr>
    </w:p>
    <w:p w:rsidR="00342BD7" w:rsidRDefault="00342BD7">
      <w:bookmarkStart w:id="2" w:name="_GoBack"/>
      <w:bookmarkEnd w:id="2"/>
    </w:p>
    <w:sectPr w:rsidR="00342B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dvOT1ef757c0">
    <w:altName w:val="Cambria"/>
    <w:panose1 w:val="00000000000000000000"/>
    <w:charset w:val="00"/>
    <w:family w:val="roman"/>
    <w:notTrueType/>
    <w:pitch w:val="default"/>
  </w:font>
  <w:font w:name="AdvOT1ef757c0+fb">
    <w:altName w:val="Cambria"/>
    <w:panose1 w:val="00000000000000000000"/>
    <w:charset w:val="00"/>
    <w:family w:val="roman"/>
    <w:notTrueType/>
    <w:pitch w:val="default"/>
  </w:font>
  <w:font w:name="JansonTextLT-Roman">
    <w:altName w:val="Cambria"/>
    <w:panose1 w:val="00000000000000000000"/>
    <w:charset w:val="00"/>
    <w:family w:val="roman"/>
    <w:notTrueType/>
    <w:pitch w:val="default"/>
  </w:font>
  <w:font w:name="JansonTextLT-Italic">
    <w:altName w:val="Cambria"/>
    <w:panose1 w:val="00000000000000000000"/>
    <w:charset w:val="00"/>
    <w:family w:val="roman"/>
    <w:notTrueType/>
    <w:pitch w:val="default"/>
  </w:font>
  <w:font w:name="Microsoft YaHei">
    <w:altName w:val="微软雅黑"/>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90820"/>
    <w:multiLevelType w:val="hybridMultilevel"/>
    <w:tmpl w:val="8C90117E"/>
    <w:lvl w:ilvl="0" w:tplc="96583C74">
      <w:start w:val="1"/>
      <w:numFmt w:val="upperLetter"/>
      <w:lvlText w:val="(%1)"/>
      <w:lvlJc w:val="left"/>
      <w:pPr>
        <w:ind w:left="1130" w:hanging="360"/>
      </w:pPr>
      <w:rPr>
        <w:rFonts w:hint="default"/>
      </w:rPr>
    </w:lvl>
    <w:lvl w:ilvl="1" w:tplc="04090019" w:tentative="1">
      <w:start w:val="1"/>
      <w:numFmt w:val="lowerLetter"/>
      <w:lvlText w:val="%2)"/>
      <w:lvlJc w:val="left"/>
      <w:pPr>
        <w:ind w:left="1610" w:hanging="420"/>
      </w:pPr>
    </w:lvl>
    <w:lvl w:ilvl="2" w:tplc="0409001B" w:tentative="1">
      <w:start w:val="1"/>
      <w:numFmt w:val="lowerRoman"/>
      <w:lvlText w:val="%3."/>
      <w:lvlJc w:val="right"/>
      <w:pPr>
        <w:ind w:left="2030" w:hanging="420"/>
      </w:pPr>
    </w:lvl>
    <w:lvl w:ilvl="3" w:tplc="0409000F" w:tentative="1">
      <w:start w:val="1"/>
      <w:numFmt w:val="decimal"/>
      <w:lvlText w:val="%4."/>
      <w:lvlJc w:val="left"/>
      <w:pPr>
        <w:ind w:left="2450" w:hanging="420"/>
      </w:pPr>
    </w:lvl>
    <w:lvl w:ilvl="4" w:tplc="04090019" w:tentative="1">
      <w:start w:val="1"/>
      <w:numFmt w:val="lowerLetter"/>
      <w:lvlText w:val="%5)"/>
      <w:lvlJc w:val="left"/>
      <w:pPr>
        <w:ind w:left="2870" w:hanging="420"/>
      </w:pPr>
    </w:lvl>
    <w:lvl w:ilvl="5" w:tplc="0409001B" w:tentative="1">
      <w:start w:val="1"/>
      <w:numFmt w:val="lowerRoman"/>
      <w:lvlText w:val="%6."/>
      <w:lvlJc w:val="right"/>
      <w:pPr>
        <w:ind w:left="3290" w:hanging="420"/>
      </w:pPr>
    </w:lvl>
    <w:lvl w:ilvl="6" w:tplc="0409000F" w:tentative="1">
      <w:start w:val="1"/>
      <w:numFmt w:val="decimal"/>
      <w:lvlText w:val="%7."/>
      <w:lvlJc w:val="left"/>
      <w:pPr>
        <w:ind w:left="3710" w:hanging="420"/>
      </w:pPr>
    </w:lvl>
    <w:lvl w:ilvl="7" w:tplc="04090019" w:tentative="1">
      <w:start w:val="1"/>
      <w:numFmt w:val="lowerLetter"/>
      <w:lvlText w:val="%8)"/>
      <w:lvlJc w:val="left"/>
      <w:pPr>
        <w:ind w:left="4130" w:hanging="420"/>
      </w:pPr>
    </w:lvl>
    <w:lvl w:ilvl="8" w:tplc="0409001B" w:tentative="1">
      <w:start w:val="1"/>
      <w:numFmt w:val="lowerRoman"/>
      <w:lvlText w:val="%9."/>
      <w:lvlJc w:val="right"/>
      <w:pPr>
        <w:ind w:left="4550" w:hanging="420"/>
      </w:pPr>
    </w:lvl>
  </w:abstractNum>
  <w:abstractNum w:abstractNumId="3"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5"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02A7CAC"/>
    <w:multiLevelType w:val="multilevel"/>
    <w:tmpl w:val="C6A8CCEA"/>
    <w:numStyleLink w:val="Headings"/>
  </w:abstractNum>
  <w:abstractNum w:abstractNumId="7"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FC0BC6"/>
    <w:multiLevelType w:val="hybridMultilevel"/>
    <w:tmpl w:val="1054B474"/>
    <w:lvl w:ilvl="0" w:tplc="E92CC60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9" w15:restartNumberingAfterBreak="0">
    <w:nsid w:val="6E5633BD"/>
    <w:multiLevelType w:val="hybridMultilevel"/>
    <w:tmpl w:val="07FCA33A"/>
    <w:lvl w:ilvl="0" w:tplc="1A020BAC">
      <w:start w:val="1"/>
      <w:numFmt w:val="upperLetter"/>
      <w:lvlText w:val="(%1."/>
      <w:lvlJc w:val="left"/>
      <w:pPr>
        <w:ind w:left="630" w:hanging="360"/>
      </w:pPr>
      <w:rPr>
        <w:rFonts w:hint="default"/>
        <w:sz w:val="18"/>
      </w:rPr>
    </w:lvl>
    <w:lvl w:ilvl="1" w:tplc="04090019" w:tentative="1">
      <w:start w:val="1"/>
      <w:numFmt w:val="lowerLetter"/>
      <w:lvlText w:val="%2)"/>
      <w:lvlJc w:val="left"/>
      <w:pPr>
        <w:ind w:left="1110" w:hanging="420"/>
      </w:pPr>
    </w:lvl>
    <w:lvl w:ilvl="2" w:tplc="0409001B" w:tentative="1">
      <w:start w:val="1"/>
      <w:numFmt w:val="lowerRoman"/>
      <w:lvlText w:val="%3."/>
      <w:lvlJc w:val="right"/>
      <w:pPr>
        <w:ind w:left="1530" w:hanging="420"/>
      </w:pPr>
    </w:lvl>
    <w:lvl w:ilvl="3" w:tplc="0409000F" w:tentative="1">
      <w:start w:val="1"/>
      <w:numFmt w:val="decimal"/>
      <w:lvlText w:val="%4."/>
      <w:lvlJc w:val="left"/>
      <w:pPr>
        <w:ind w:left="1950" w:hanging="420"/>
      </w:pPr>
    </w:lvl>
    <w:lvl w:ilvl="4" w:tplc="04090019" w:tentative="1">
      <w:start w:val="1"/>
      <w:numFmt w:val="lowerLetter"/>
      <w:lvlText w:val="%5)"/>
      <w:lvlJc w:val="left"/>
      <w:pPr>
        <w:ind w:left="2370" w:hanging="420"/>
      </w:pPr>
    </w:lvl>
    <w:lvl w:ilvl="5" w:tplc="0409001B" w:tentative="1">
      <w:start w:val="1"/>
      <w:numFmt w:val="lowerRoman"/>
      <w:lvlText w:val="%6."/>
      <w:lvlJc w:val="right"/>
      <w:pPr>
        <w:ind w:left="2790" w:hanging="420"/>
      </w:pPr>
    </w:lvl>
    <w:lvl w:ilvl="6" w:tplc="0409000F" w:tentative="1">
      <w:start w:val="1"/>
      <w:numFmt w:val="decimal"/>
      <w:lvlText w:val="%7."/>
      <w:lvlJc w:val="left"/>
      <w:pPr>
        <w:ind w:left="3210" w:hanging="420"/>
      </w:pPr>
    </w:lvl>
    <w:lvl w:ilvl="7" w:tplc="04090019" w:tentative="1">
      <w:start w:val="1"/>
      <w:numFmt w:val="lowerLetter"/>
      <w:lvlText w:val="%8)"/>
      <w:lvlJc w:val="left"/>
      <w:pPr>
        <w:ind w:left="3630" w:hanging="420"/>
      </w:pPr>
    </w:lvl>
    <w:lvl w:ilvl="8" w:tplc="0409001B" w:tentative="1">
      <w:start w:val="1"/>
      <w:numFmt w:val="lowerRoman"/>
      <w:lvlText w:val="%9."/>
      <w:lvlJc w:val="right"/>
      <w:pPr>
        <w:ind w:left="4050" w:hanging="420"/>
      </w:pPr>
    </w:lvl>
  </w:abstractNum>
  <w:abstractNum w:abstractNumId="20" w15:restartNumberingAfterBreak="0">
    <w:nsid w:val="7DBC6F29"/>
    <w:multiLevelType w:val="multilevel"/>
    <w:tmpl w:val="C6A8CCEA"/>
    <w:numStyleLink w:val="Headings"/>
  </w:abstractNum>
  <w:abstractNum w:abstractNumId="21"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BC1AA1"/>
    <w:multiLevelType w:val="hybridMultilevel"/>
    <w:tmpl w:val="AACCC3A6"/>
    <w:lvl w:ilvl="0" w:tplc="CD4690D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FEC531E"/>
    <w:multiLevelType w:val="multilevel"/>
    <w:tmpl w:val="7FEC531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4"/>
  </w:num>
  <w:num w:numId="3">
    <w:abstractNumId w:val="1"/>
  </w:num>
  <w:num w:numId="4">
    <w:abstractNumId w:val="1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9"/>
  </w:num>
  <w:num w:numId="8">
    <w:abstractNumId w:val="7"/>
  </w:num>
  <w:num w:numId="9">
    <w:abstractNumId w:val="10"/>
  </w:num>
  <w:num w:numId="10">
    <w:abstractNumId w:val="8"/>
  </w:num>
  <w:num w:numId="11">
    <w:abstractNumId w:val="3"/>
  </w:num>
  <w:num w:numId="12">
    <w:abstractNumId w:val="21"/>
  </w:num>
  <w:num w:numId="13">
    <w:abstractNumId w:val="13"/>
  </w:num>
  <w:num w:numId="14">
    <w:abstractNumId w:val="5"/>
  </w:num>
  <w:num w:numId="15">
    <w:abstractNumId w:val="12"/>
  </w:num>
  <w:num w:numId="16">
    <w:abstractNumId w:val="16"/>
  </w:num>
  <w:num w:numId="17">
    <w:abstractNumId w:val="4"/>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20"/>
  </w:num>
  <w:num w:numId="21">
    <w:abstractNumId w:val="4"/>
  </w:num>
  <w:num w:numId="22">
    <w:abstractNumId w:val="4"/>
    <w:lvlOverride w:ilvl="0">
      <w:startOverride w:val="1"/>
      <w:lvl w:ilvl="0">
        <w:start w:val="1"/>
        <w:numFmt w:val="decimal"/>
        <w:pStyle w:val="Heading1"/>
        <w:lvlText w:val="%1"/>
        <w:lvlJc w:val="left"/>
        <w:pPr>
          <w:tabs>
            <w:tab w:val="num" w:pos="567"/>
          </w:tabs>
          <w:ind w:left="567" w:hanging="567"/>
        </w:pPr>
      </w:lvl>
    </w:lvlOverride>
    <w:lvlOverride w:ilvl="1">
      <w:startOverride w:val="1"/>
      <w:lvl w:ilvl="1">
        <w:start w:val="1"/>
        <w:numFmt w:val="decimal"/>
        <w:pStyle w:val="Heading2"/>
        <w:lvlText w:val="%1.%2"/>
        <w:lvlJc w:val="left"/>
        <w:pPr>
          <w:tabs>
            <w:tab w:val="num" w:pos="567"/>
          </w:tabs>
          <w:ind w:left="567" w:hanging="567"/>
        </w:pPr>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2"/>
  </w:num>
  <w:num w:numId="24">
    <w:abstractNumId w:val="23"/>
  </w:num>
  <w:num w:numId="25">
    <w:abstractNumId w:val="22"/>
  </w:num>
  <w:num w:numId="26">
    <w:abstractNumId w:val="15"/>
  </w:num>
  <w:num w:numId="27">
    <w:abstractNumId w:val="19"/>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49B"/>
    <w:rsid w:val="00342BD7"/>
    <w:rsid w:val="00F55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B8E01-F2B4-4F77-B963-D6D78CB50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49B"/>
    <w:pPr>
      <w:spacing w:before="120" w:after="240" w:line="240" w:lineRule="auto"/>
    </w:pPr>
    <w:rPr>
      <w:rFonts w:ascii="Times New Roman" w:eastAsiaTheme="minorEastAsia" w:hAnsi="Times New Roman"/>
      <w:sz w:val="24"/>
    </w:rPr>
  </w:style>
  <w:style w:type="paragraph" w:styleId="Heading1">
    <w:name w:val="heading 1"/>
    <w:basedOn w:val="ListParagraph"/>
    <w:next w:val="Normal"/>
    <w:link w:val="Heading1Char"/>
    <w:uiPriority w:val="2"/>
    <w:qFormat/>
    <w:rsid w:val="00F5549B"/>
    <w:pPr>
      <w:numPr>
        <w:numId w:val="17"/>
      </w:numPr>
      <w:spacing w:before="240"/>
      <w:contextualSpacing w:val="0"/>
      <w:outlineLvl w:val="0"/>
    </w:pPr>
    <w:rPr>
      <w:b/>
    </w:rPr>
  </w:style>
  <w:style w:type="paragraph" w:styleId="Heading2">
    <w:name w:val="heading 2"/>
    <w:basedOn w:val="Heading1"/>
    <w:next w:val="Normal"/>
    <w:link w:val="Heading2Char"/>
    <w:uiPriority w:val="2"/>
    <w:qFormat/>
    <w:rsid w:val="00F5549B"/>
    <w:pPr>
      <w:numPr>
        <w:ilvl w:val="1"/>
      </w:numPr>
      <w:spacing w:after="200"/>
      <w:outlineLvl w:val="1"/>
    </w:pPr>
  </w:style>
  <w:style w:type="paragraph" w:styleId="Heading3">
    <w:name w:val="heading 3"/>
    <w:basedOn w:val="Normal"/>
    <w:next w:val="Normal"/>
    <w:link w:val="Heading3Char"/>
    <w:uiPriority w:val="2"/>
    <w:qFormat/>
    <w:rsid w:val="00F5549B"/>
    <w:pPr>
      <w:keepNext/>
      <w:keepLines/>
      <w:numPr>
        <w:ilvl w:val="2"/>
        <w:numId w:val="17"/>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F5549B"/>
    <w:pPr>
      <w:numPr>
        <w:ilvl w:val="3"/>
      </w:numPr>
      <w:outlineLvl w:val="3"/>
    </w:pPr>
    <w:rPr>
      <w:iCs/>
    </w:rPr>
  </w:style>
  <w:style w:type="paragraph" w:styleId="Heading5">
    <w:name w:val="heading 5"/>
    <w:basedOn w:val="Heading4"/>
    <w:next w:val="Normal"/>
    <w:link w:val="Heading5Char"/>
    <w:uiPriority w:val="2"/>
    <w:qFormat/>
    <w:rsid w:val="00F5549B"/>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F5549B"/>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F5549B"/>
    <w:rPr>
      <w:rFonts w:ascii="Times New Roman" w:eastAsia="Cambria" w:hAnsi="Times New Roman" w:cs="Times New Roman"/>
      <w:b/>
      <w:sz w:val="24"/>
      <w:szCs w:val="24"/>
    </w:rPr>
  </w:style>
  <w:style w:type="character" w:customStyle="1" w:styleId="Heading3Char">
    <w:name w:val="Heading 3 Char"/>
    <w:basedOn w:val="DefaultParagraphFont"/>
    <w:link w:val="Heading3"/>
    <w:uiPriority w:val="2"/>
    <w:rsid w:val="00F5549B"/>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F5549B"/>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F5549B"/>
    <w:rPr>
      <w:rFonts w:ascii="Times New Roman" w:eastAsiaTheme="majorEastAsia" w:hAnsi="Times New Roman" w:cstheme="majorBidi"/>
      <w:b/>
      <w:iCs/>
      <w:sz w:val="24"/>
      <w:szCs w:val="24"/>
    </w:rPr>
  </w:style>
  <w:style w:type="character" w:styleId="Emphasis">
    <w:name w:val="Emphasis"/>
    <w:basedOn w:val="DefaultParagraphFont"/>
    <w:uiPriority w:val="20"/>
    <w:qFormat/>
    <w:rsid w:val="00F5549B"/>
    <w:rPr>
      <w:rFonts w:ascii="Times New Roman" w:hAnsi="Times New Roman"/>
      <w:i/>
      <w:iCs/>
    </w:rPr>
  </w:style>
  <w:style w:type="paragraph" w:styleId="ListParagraph">
    <w:name w:val="List Paragraph"/>
    <w:basedOn w:val="Normal"/>
    <w:uiPriority w:val="3"/>
    <w:qFormat/>
    <w:rsid w:val="00F5549B"/>
    <w:pPr>
      <w:numPr>
        <w:numId w:val="14"/>
      </w:numPr>
      <w:ind w:left="1434" w:hanging="357"/>
      <w:contextualSpacing/>
    </w:pPr>
    <w:rPr>
      <w:rFonts w:eastAsia="Cambria" w:cs="Times New Roman"/>
      <w:szCs w:val="24"/>
    </w:rPr>
  </w:style>
  <w:style w:type="character" w:styleId="Strong">
    <w:name w:val="Strong"/>
    <w:basedOn w:val="DefaultParagraphFont"/>
    <w:uiPriority w:val="22"/>
    <w:qFormat/>
    <w:rsid w:val="00F5549B"/>
    <w:rPr>
      <w:rFonts w:ascii="Times New Roman" w:hAnsi="Times New Roman"/>
      <w:b/>
      <w:bCs/>
    </w:rPr>
  </w:style>
  <w:style w:type="paragraph" w:styleId="NormalWeb">
    <w:name w:val="Normal (Web)"/>
    <w:basedOn w:val="Normal"/>
    <w:uiPriority w:val="99"/>
    <w:unhideWhenUsed/>
    <w:rsid w:val="00F5549B"/>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F5549B"/>
    <w:pPr>
      <w:tabs>
        <w:tab w:val="center" w:pos="4844"/>
        <w:tab w:val="right" w:pos="9689"/>
      </w:tabs>
    </w:pPr>
    <w:rPr>
      <w:b/>
    </w:rPr>
  </w:style>
  <w:style w:type="character" w:customStyle="1" w:styleId="HeaderChar">
    <w:name w:val="Header Char"/>
    <w:basedOn w:val="DefaultParagraphFont"/>
    <w:link w:val="Header"/>
    <w:uiPriority w:val="99"/>
    <w:rsid w:val="00F5549B"/>
    <w:rPr>
      <w:rFonts w:ascii="Times New Roman" w:eastAsiaTheme="minorEastAsia" w:hAnsi="Times New Roman"/>
      <w:b/>
      <w:sz w:val="24"/>
    </w:rPr>
  </w:style>
  <w:style w:type="paragraph" w:styleId="Footer">
    <w:name w:val="footer"/>
    <w:basedOn w:val="Normal"/>
    <w:link w:val="FooterChar"/>
    <w:uiPriority w:val="99"/>
    <w:unhideWhenUsed/>
    <w:qFormat/>
    <w:rsid w:val="00F5549B"/>
    <w:pPr>
      <w:tabs>
        <w:tab w:val="center" w:pos="4844"/>
        <w:tab w:val="right" w:pos="9689"/>
      </w:tabs>
      <w:spacing w:after="0"/>
    </w:pPr>
  </w:style>
  <w:style w:type="character" w:customStyle="1" w:styleId="FooterChar">
    <w:name w:val="Footer Char"/>
    <w:basedOn w:val="DefaultParagraphFont"/>
    <w:link w:val="Footer"/>
    <w:uiPriority w:val="99"/>
    <w:qFormat/>
    <w:rsid w:val="00F5549B"/>
    <w:rPr>
      <w:rFonts w:ascii="Times New Roman" w:eastAsiaTheme="minorEastAsia" w:hAnsi="Times New Roman"/>
      <w:sz w:val="24"/>
    </w:rPr>
  </w:style>
  <w:style w:type="table" w:styleId="TableGrid">
    <w:name w:val="Table Grid"/>
    <w:basedOn w:val="TableNormal"/>
    <w:uiPriority w:val="59"/>
    <w:rsid w:val="00F5549B"/>
    <w:pPr>
      <w:spacing w:after="0" w:line="240" w:lineRule="auto"/>
    </w:pPr>
    <w:rPr>
      <w:rFonts w:asciiTheme="majorHAnsi" w:eastAsiaTheme="minorEastAsia"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5549B"/>
    <w:pPr>
      <w:spacing w:after="0"/>
    </w:pPr>
    <w:rPr>
      <w:sz w:val="20"/>
      <w:szCs w:val="20"/>
    </w:rPr>
  </w:style>
  <w:style w:type="character" w:customStyle="1" w:styleId="FootnoteTextChar">
    <w:name w:val="Footnote Text Char"/>
    <w:basedOn w:val="DefaultParagraphFont"/>
    <w:link w:val="FootnoteText"/>
    <w:uiPriority w:val="99"/>
    <w:semiHidden/>
    <w:rsid w:val="00F5549B"/>
    <w:rPr>
      <w:rFonts w:ascii="Times New Roman" w:eastAsiaTheme="minorEastAsia" w:hAnsi="Times New Roman"/>
      <w:sz w:val="20"/>
      <w:szCs w:val="20"/>
    </w:rPr>
  </w:style>
  <w:style w:type="character" w:styleId="FootnoteReference">
    <w:name w:val="footnote reference"/>
    <w:basedOn w:val="DefaultParagraphFont"/>
    <w:uiPriority w:val="99"/>
    <w:semiHidden/>
    <w:unhideWhenUsed/>
    <w:rsid w:val="00F5549B"/>
    <w:rPr>
      <w:vertAlign w:val="superscript"/>
    </w:rPr>
  </w:style>
  <w:style w:type="paragraph" w:styleId="Caption">
    <w:name w:val="caption"/>
    <w:basedOn w:val="Normal"/>
    <w:next w:val="NoSpacing"/>
    <w:uiPriority w:val="35"/>
    <w:unhideWhenUsed/>
    <w:qFormat/>
    <w:rsid w:val="00F5549B"/>
    <w:pPr>
      <w:keepNext/>
    </w:pPr>
    <w:rPr>
      <w:rFonts w:cs="Times New Roman"/>
      <w:b/>
      <w:bCs/>
      <w:szCs w:val="24"/>
    </w:rPr>
  </w:style>
  <w:style w:type="paragraph" w:styleId="BalloonText">
    <w:name w:val="Balloon Text"/>
    <w:basedOn w:val="Normal"/>
    <w:link w:val="BalloonTextChar"/>
    <w:uiPriority w:val="99"/>
    <w:semiHidden/>
    <w:unhideWhenUsed/>
    <w:rsid w:val="00F5549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49B"/>
    <w:rPr>
      <w:rFonts w:ascii="Tahoma" w:eastAsiaTheme="minorEastAsia" w:hAnsi="Tahoma" w:cs="Tahoma"/>
      <w:sz w:val="16"/>
      <w:szCs w:val="16"/>
    </w:rPr>
  </w:style>
  <w:style w:type="character" w:styleId="LineNumber">
    <w:name w:val="line number"/>
    <w:basedOn w:val="DefaultParagraphFont"/>
    <w:uiPriority w:val="99"/>
    <w:semiHidden/>
    <w:unhideWhenUsed/>
    <w:rsid w:val="00F5549B"/>
  </w:style>
  <w:style w:type="paragraph" w:styleId="EndnoteText">
    <w:name w:val="endnote text"/>
    <w:basedOn w:val="Normal"/>
    <w:link w:val="EndnoteTextChar"/>
    <w:uiPriority w:val="99"/>
    <w:semiHidden/>
    <w:unhideWhenUsed/>
    <w:rsid w:val="00F5549B"/>
    <w:pPr>
      <w:spacing w:after="0"/>
    </w:pPr>
    <w:rPr>
      <w:sz w:val="20"/>
      <w:szCs w:val="20"/>
    </w:rPr>
  </w:style>
  <w:style w:type="character" w:customStyle="1" w:styleId="EndnoteTextChar">
    <w:name w:val="Endnote Text Char"/>
    <w:basedOn w:val="DefaultParagraphFont"/>
    <w:link w:val="EndnoteText"/>
    <w:uiPriority w:val="99"/>
    <w:semiHidden/>
    <w:rsid w:val="00F5549B"/>
    <w:rPr>
      <w:rFonts w:ascii="Times New Roman" w:eastAsiaTheme="minorEastAsia" w:hAnsi="Times New Roman"/>
      <w:sz w:val="20"/>
      <w:szCs w:val="20"/>
    </w:rPr>
  </w:style>
  <w:style w:type="character" w:styleId="EndnoteReference">
    <w:name w:val="endnote reference"/>
    <w:basedOn w:val="DefaultParagraphFont"/>
    <w:uiPriority w:val="99"/>
    <w:semiHidden/>
    <w:unhideWhenUsed/>
    <w:rsid w:val="00F5549B"/>
    <w:rPr>
      <w:vertAlign w:val="superscript"/>
    </w:rPr>
  </w:style>
  <w:style w:type="character" w:styleId="CommentReference">
    <w:name w:val="annotation reference"/>
    <w:basedOn w:val="DefaultParagraphFont"/>
    <w:uiPriority w:val="99"/>
    <w:semiHidden/>
    <w:unhideWhenUsed/>
    <w:rsid w:val="00F5549B"/>
    <w:rPr>
      <w:sz w:val="16"/>
      <w:szCs w:val="16"/>
    </w:rPr>
  </w:style>
  <w:style w:type="paragraph" w:styleId="CommentText">
    <w:name w:val="annotation text"/>
    <w:basedOn w:val="Normal"/>
    <w:link w:val="CommentTextChar"/>
    <w:uiPriority w:val="99"/>
    <w:unhideWhenUsed/>
    <w:rsid w:val="00F5549B"/>
    <w:rPr>
      <w:sz w:val="20"/>
      <w:szCs w:val="20"/>
    </w:rPr>
  </w:style>
  <w:style w:type="character" w:customStyle="1" w:styleId="CommentTextChar">
    <w:name w:val="Comment Text Char"/>
    <w:basedOn w:val="DefaultParagraphFont"/>
    <w:link w:val="CommentText"/>
    <w:uiPriority w:val="99"/>
    <w:rsid w:val="00F5549B"/>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F5549B"/>
    <w:rPr>
      <w:b/>
      <w:bCs/>
    </w:rPr>
  </w:style>
  <w:style w:type="character" w:customStyle="1" w:styleId="CommentSubjectChar">
    <w:name w:val="Comment Subject Char"/>
    <w:basedOn w:val="CommentTextChar"/>
    <w:link w:val="CommentSubject"/>
    <w:uiPriority w:val="99"/>
    <w:semiHidden/>
    <w:rsid w:val="00F5549B"/>
    <w:rPr>
      <w:rFonts w:ascii="Times New Roman" w:eastAsiaTheme="minorEastAsia" w:hAnsi="Times New Roman"/>
      <w:b/>
      <w:bCs/>
      <w:sz w:val="20"/>
      <w:szCs w:val="20"/>
    </w:rPr>
  </w:style>
  <w:style w:type="character" w:styleId="Hyperlink">
    <w:name w:val="Hyperlink"/>
    <w:basedOn w:val="DefaultParagraphFont"/>
    <w:uiPriority w:val="99"/>
    <w:unhideWhenUsed/>
    <w:rsid w:val="00F5549B"/>
    <w:rPr>
      <w:color w:val="0000FF"/>
      <w:u w:val="single"/>
    </w:rPr>
  </w:style>
  <w:style w:type="character" w:styleId="FollowedHyperlink">
    <w:name w:val="FollowedHyperlink"/>
    <w:basedOn w:val="DefaultParagraphFont"/>
    <w:uiPriority w:val="99"/>
    <w:semiHidden/>
    <w:unhideWhenUsed/>
    <w:rsid w:val="00F5549B"/>
    <w:rPr>
      <w:color w:val="954F72" w:themeColor="followedHyperlink"/>
      <w:u w:val="single"/>
    </w:rPr>
  </w:style>
  <w:style w:type="paragraph" w:styleId="Title">
    <w:name w:val="Title"/>
    <w:basedOn w:val="Normal"/>
    <w:next w:val="Normal"/>
    <w:link w:val="TitleChar"/>
    <w:qFormat/>
    <w:rsid w:val="00F5549B"/>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F5549B"/>
    <w:rPr>
      <w:rFonts w:ascii="Times New Roman" w:eastAsiaTheme="minorEastAsia" w:hAnsi="Times New Roman" w:cs="Times New Roman"/>
      <w:b/>
      <w:sz w:val="32"/>
      <w:szCs w:val="32"/>
    </w:rPr>
  </w:style>
  <w:style w:type="paragraph" w:styleId="Subtitle">
    <w:name w:val="Subtitle"/>
    <w:basedOn w:val="Normal"/>
    <w:next w:val="Normal"/>
    <w:link w:val="SubtitleChar"/>
    <w:uiPriority w:val="99"/>
    <w:unhideWhenUsed/>
    <w:qFormat/>
    <w:rsid w:val="00F5549B"/>
    <w:pPr>
      <w:spacing w:before="240"/>
    </w:pPr>
    <w:rPr>
      <w:rFonts w:cs="Times New Roman"/>
      <w:b/>
      <w:szCs w:val="24"/>
    </w:rPr>
  </w:style>
  <w:style w:type="character" w:customStyle="1" w:styleId="SubtitleChar">
    <w:name w:val="Subtitle Char"/>
    <w:basedOn w:val="DefaultParagraphFont"/>
    <w:link w:val="Subtitle"/>
    <w:uiPriority w:val="99"/>
    <w:rsid w:val="00F5549B"/>
    <w:rPr>
      <w:rFonts w:ascii="Times New Roman" w:eastAsiaTheme="minorEastAsia" w:hAnsi="Times New Roman" w:cs="Times New Roman"/>
      <w:b/>
      <w:sz w:val="24"/>
      <w:szCs w:val="24"/>
    </w:rPr>
  </w:style>
  <w:style w:type="paragraph" w:styleId="NoSpacing">
    <w:name w:val="No Spacing"/>
    <w:uiPriority w:val="99"/>
    <w:unhideWhenUsed/>
    <w:qFormat/>
    <w:rsid w:val="00F5549B"/>
    <w:pPr>
      <w:spacing w:after="0" w:line="240" w:lineRule="auto"/>
    </w:pPr>
    <w:rPr>
      <w:rFonts w:ascii="Times New Roman" w:eastAsiaTheme="minorEastAsia" w:hAnsi="Times New Roman"/>
      <w:sz w:val="24"/>
    </w:rPr>
  </w:style>
  <w:style w:type="paragraph" w:customStyle="1" w:styleId="AuthorList">
    <w:name w:val="Author List"/>
    <w:aliases w:val="Keywords,Abstract"/>
    <w:basedOn w:val="Subtitle"/>
    <w:next w:val="Normal"/>
    <w:uiPriority w:val="1"/>
    <w:qFormat/>
    <w:rsid w:val="00F5549B"/>
  </w:style>
  <w:style w:type="character" w:styleId="SubtleEmphasis">
    <w:name w:val="Subtle Emphasis"/>
    <w:basedOn w:val="DefaultParagraphFont"/>
    <w:uiPriority w:val="19"/>
    <w:qFormat/>
    <w:rsid w:val="00F5549B"/>
    <w:rPr>
      <w:rFonts w:ascii="Times New Roman" w:hAnsi="Times New Roman"/>
      <w:i/>
      <w:iCs/>
      <w:color w:val="404040" w:themeColor="text1" w:themeTint="BF"/>
    </w:rPr>
  </w:style>
  <w:style w:type="character" w:styleId="IntenseEmphasis">
    <w:name w:val="Intense Emphasis"/>
    <w:basedOn w:val="DefaultParagraphFont"/>
    <w:uiPriority w:val="21"/>
    <w:unhideWhenUsed/>
    <w:rsid w:val="00F5549B"/>
    <w:rPr>
      <w:rFonts w:ascii="Times New Roman" w:hAnsi="Times New Roman"/>
      <w:i/>
      <w:iCs/>
      <w:color w:val="auto"/>
    </w:rPr>
  </w:style>
  <w:style w:type="paragraph" w:styleId="Quote">
    <w:name w:val="Quote"/>
    <w:basedOn w:val="Normal"/>
    <w:next w:val="Normal"/>
    <w:link w:val="QuoteChar"/>
    <w:uiPriority w:val="29"/>
    <w:qFormat/>
    <w:rsid w:val="00F5549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5549B"/>
    <w:rPr>
      <w:rFonts w:ascii="Times New Roman" w:eastAsiaTheme="minorEastAsia" w:hAnsi="Times New Roman"/>
      <w:i/>
      <w:iCs/>
      <w:color w:val="404040" w:themeColor="text1" w:themeTint="BF"/>
      <w:sz w:val="24"/>
    </w:rPr>
  </w:style>
  <w:style w:type="character" w:styleId="IntenseReference">
    <w:name w:val="Intense Reference"/>
    <w:basedOn w:val="DefaultParagraphFont"/>
    <w:uiPriority w:val="32"/>
    <w:qFormat/>
    <w:rsid w:val="00F5549B"/>
    <w:rPr>
      <w:b/>
      <w:bCs/>
      <w:smallCaps/>
      <w:color w:val="auto"/>
      <w:spacing w:val="5"/>
    </w:rPr>
  </w:style>
  <w:style w:type="character" w:styleId="BookTitle">
    <w:name w:val="Book Title"/>
    <w:basedOn w:val="DefaultParagraphFont"/>
    <w:uiPriority w:val="33"/>
    <w:qFormat/>
    <w:rsid w:val="00F5549B"/>
    <w:rPr>
      <w:rFonts w:ascii="Times New Roman" w:hAnsi="Times New Roman"/>
      <w:b/>
      <w:bCs/>
      <w:i/>
      <w:iCs/>
      <w:spacing w:val="5"/>
    </w:rPr>
  </w:style>
  <w:style w:type="numbering" w:customStyle="1" w:styleId="Headings">
    <w:name w:val="Headings"/>
    <w:uiPriority w:val="99"/>
    <w:rsid w:val="00F5549B"/>
    <w:pPr>
      <w:numPr>
        <w:numId w:val="17"/>
      </w:numPr>
    </w:pPr>
  </w:style>
  <w:style w:type="paragraph" w:styleId="Revision">
    <w:name w:val="Revision"/>
    <w:hidden/>
    <w:uiPriority w:val="99"/>
    <w:semiHidden/>
    <w:rsid w:val="00F5549B"/>
    <w:pPr>
      <w:spacing w:after="0" w:line="240" w:lineRule="auto"/>
    </w:pPr>
    <w:rPr>
      <w:rFonts w:ascii="Times New Roman" w:eastAsiaTheme="minorEastAsia" w:hAnsi="Times New Roman"/>
      <w:sz w:val="24"/>
    </w:rPr>
  </w:style>
  <w:style w:type="character" w:customStyle="1" w:styleId="UnresolvedMention">
    <w:name w:val="Unresolved Mention"/>
    <w:basedOn w:val="DefaultParagraphFont"/>
    <w:uiPriority w:val="99"/>
    <w:semiHidden/>
    <w:unhideWhenUsed/>
    <w:rsid w:val="00F5549B"/>
    <w:rPr>
      <w:color w:val="605E5C"/>
      <w:shd w:val="clear" w:color="auto" w:fill="E1DFDD"/>
    </w:rPr>
  </w:style>
  <w:style w:type="character" w:customStyle="1" w:styleId="fontstyle01">
    <w:name w:val="fontstyle01"/>
    <w:basedOn w:val="DefaultParagraphFont"/>
    <w:rsid w:val="00F5549B"/>
    <w:rPr>
      <w:rFonts w:ascii="AdvOT1ef757c0" w:hAnsi="AdvOT1ef757c0" w:hint="default"/>
      <w:b w:val="0"/>
      <w:bCs w:val="0"/>
      <w:i w:val="0"/>
      <w:iCs w:val="0"/>
      <w:color w:val="242021"/>
      <w:sz w:val="20"/>
      <w:szCs w:val="20"/>
    </w:rPr>
  </w:style>
  <w:style w:type="character" w:customStyle="1" w:styleId="fontstyle21">
    <w:name w:val="fontstyle21"/>
    <w:basedOn w:val="DefaultParagraphFont"/>
    <w:rsid w:val="00F5549B"/>
    <w:rPr>
      <w:rFonts w:ascii="AdvOT1ef757c0+fb" w:hAnsi="AdvOT1ef757c0+fb" w:hint="default"/>
      <w:b w:val="0"/>
      <w:bCs w:val="0"/>
      <w:i w:val="0"/>
      <w:iCs w:val="0"/>
      <w:color w:val="242021"/>
      <w:sz w:val="20"/>
      <w:szCs w:val="20"/>
    </w:rPr>
  </w:style>
  <w:style w:type="character" w:customStyle="1" w:styleId="ref-title">
    <w:name w:val="ref-title"/>
    <w:basedOn w:val="DefaultParagraphFont"/>
    <w:qFormat/>
    <w:rsid w:val="00F5549B"/>
  </w:style>
  <w:style w:type="character" w:customStyle="1" w:styleId="ref-journal">
    <w:name w:val="ref-journal"/>
    <w:basedOn w:val="DefaultParagraphFont"/>
    <w:qFormat/>
    <w:rsid w:val="00F5549B"/>
  </w:style>
  <w:style w:type="character" w:customStyle="1" w:styleId="ref-vol">
    <w:name w:val="ref-vol"/>
    <w:basedOn w:val="DefaultParagraphFont"/>
    <w:qFormat/>
    <w:rsid w:val="00F5549B"/>
  </w:style>
  <w:style w:type="character" w:customStyle="1" w:styleId="mixed-citation">
    <w:name w:val="mixed-citation"/>
    <w:basedOn w:val="DefaultParagraphFont"/>
    <w:qFormat/>
    <w:rsid w:val="00F5549B"/>
  </w:style>
  <w:style w:type="character" w:customStyle="1" w:styleId="ref-iss">
    <w:name w:val="ref-iss"/>
    <w:basedOn w:val="DefaultParagraphFont"/>
    <w:qFormat/>
    <w:rsid w:val="00F5549B"/>
  </w:style>
  <w:style w:type="character" w:customStyle="1" w:styleId="tran">
    <w:name w:val="tran"/>
    <w:basedOn w:val="DefaultParagraphFont"/>
    <w:rsid w:val="00F5549B"/>
  </w:style>
  <w:style w:type="character" w:customStyle="1" w:styleId="apple-converted-space">
    <w:name w:val="apple-converted-space"/>
    <w:basedOn w:val="DefaultParagraphFont"/>
    <w:rsid w:val="00F5549B"/>
  </w:style>
  <w:style w:type="paragraph" w:customStyle="1" w:styleId="EndNoteBibliographyTitle">
    <w:name w:val="EndNote Bibliography Title"/>
    <w:basedOn w:val="Normal"/>
    <w:link w:val="EndNoteBibliographyTitle0"/>
    <w:rsid w:val="00F5549B"/>
    <w:pPr>
      <w:spacing w:after="0"/>
      <w:jc w:val="center"/>
    </w:pPr>
    <w:rPr>
      <w:rFonts w:cs="Times New Roman"/>
      <w:noProof/>
    </w:rPr>
  </w:style>
  <w:style w:type="character" w:customStyle="1" w:styleId="EndNoteBibliographyTitle0">
    <w:name w:val="EndNote Bibliography Title 字符"/>
    <w:basedOn w:val="DefaultParagraphFont"/>
    <w:link w:val="EndNoteBibliographyTitle"/>
    <w:rsid w:val="00F5549B"/>
    <w:rPr>
      <w:rFonts w:ascii="Times New Roman" w:eastAsiaTheme="minorEastAsia" w:hAnsi="Times New Roman" w:cs="Times New Roman"/>
      <w:noProof/>
      <w:sz w:val="24"/>
    </w:rPr>
  </w:style>
  <w:style w:type="paragraph" w:customStyle="1" w:styleId="EndNoteBibliography">
    <w:name w:val="EndNote Bibliography"/>
    <w:basedOn w:val="Normal"/>
    <w:link w:val="EndNoteBibliography0"/>
    <w:rsid w:val="00F5549B"/>
    <w:rPr>
      <w:rFonts w:cs="Times New Roman"/>
      <w:noProof/>
    </w:rPr>
  </w:style>
  <w:style w:type="character" w:customStyle="1" w:styleId="EndNoteBibliography0">
    <w:name w:val="EndNote Bibliography 字符"/>
    <w:basedOn w:val="DefaultParagraphFont"/>
    <w:link w:val="EndNoteBibliography"/>
    <w:rsid w:val="00F5549B"/>
    <w:rPr>
      <w:rFonts w:ascii="Times New Roman" w:eastAsiaTheme="minorEastAsia" w:hAnsi="Times New Roman" w:cs="Times New Roman"/>
      <w:noProof/>
      <w:sz w:val="24"/>
    </w:rPr>
  </w:style>
  <w:style w:type="character" w:customStyle="1" w:styleId="fontstyle11">
    <w:name w:val="fontstyle11"/>
    <w:basedOn w:val="DefaultParagraphFont"/>
    <w:rsid w:val="00F5549B"/>
    <w:rPr>
      <w:rFonts w:ascii="JansonTextLT-Roman" w:hAnsi="JansonTextLT-Roman" w:hint="default"/>
      <w:b w:val="0"/>
      <w:bCs w:val="0"/>
      <w:i w:val="0"/>
      <w:iCs w:val="0"/>
      <w:color w:val="242021"/>
      <w:sz w:val="20"/>
      <w:szCs w:val="20"/>
    </w:rPr>
  </w:style>
  <w:style w:type="character" w:customStyle="1" w:styleId="fontstyle31">
    <w:name w:val="fontstyle31"/>
    <w:basedOn w:val="DefaultParagraphFont"/>
    <w:rsid w:val="00F5549B"/>
    <w:rPr>
      <w:rFonts w:ascii="JansonTextLT-Italic" w:hAnsi="JansonTextLT-Italic" w:hint="default"/>
      <w:b w:val="0"/>
      <w:bCs w:val="0"/>
      <w:i/>
      <w:iCs/>
      <w:color w:val="242021"/>
      <w:sz w:val="20"/>
      <w:szCs w:val="20"/>
    </w:rPr>
  </w:style>
  <w:style w:type="paragraph" w:customStyle="1" w:styleId="SupplementaryMaterial">
    <w:name w:val="Supplementary Material"/>
    <w:basedOn w:val="Title"/>
    <w:next w:val="Title"/>
    <w:qFormat/>
    <w:rsid w:val="00F5549B"/>
    <w:pPr>
      <w:spacing w:after="12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proteinatlas.org/"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1197</Words>
  <Characters>6824</Characters>
  <Application>Microsoft Office Word</Application>
  <DocSecurity>0</DocSecurity>
  <Lines>56</Lines>
  <Paragraphs>16</Paragraphs>
  <ScaleCrop>false</ScaleCrop>
  <Company>Springer Nature IT</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2022-04-22T12:37:00Z</dcterms:created>
  <dcterms:modified xsi:type="dcterms:W3CDTF">2022-04-22T12:38:00Z</dcterms:modified>
</cp:coreProperties>
</file>