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4849" w:rsidRPr="0009656D" w:rsidRDefault="001E4849" w:rsidP="001E4849">
      <w:pPr>
        <w:jc w:val="center"/>
        <w:rPr>
          <w:rFonts w:ascii="Arial" w:hAnsi="Arial"/>
          <w:b/>
          <w:sz w:val="24"/>
          <w:szCs w:val="24"/>
        </w:rPr>
      </w:pPr>
      <w:r w:rsidRPr="0009656D">
        <w:rPr>
          <w:rFonts w:ascii="Arial" w:hAnsi="Arial"/>
          <w:b/>
          <w:sz w:val="24"/>
          <w:szCs w:val="24"/>
        </w:rPr>
        <w:t xml:space="preserve">Supplementary Table </w:t>
      </w:r>
      <w:r>
        <w:rPr>
          <w:rFonts w:ascii="Arial" w:hAnsi="Arial" w:hint="eastAsia"/>
          <w:b/>
          <w:sz w:val="24"/>
          <w:szCs w:val="24"/>
        </w:rPr>
        <w:t>1</w:t>
      </w:r>
      <w:r w:rsidRPr="0009656D">
        <w:rPr>
          <w:rFonts w:ascii="Arial" w:hAnsi="Arial"/>
          <w:b/>
          <w:sz w:val="24"/>
          <w:szCs w:val="24"/>
        </w:rPr>
        <w:t xml:space="preserve">. </w:t>
      </w:r>
      <w:bookmarkStart w:id="0" w:name="_Hlk533621665"/>
      <w:r w:rsidRPr="0009656D">
        <w:rPr>
          <w:rFonts w:ascii="Arial" w:hAnsi="Arial"/>
          <w:b/>
          <w:sz w:val="24"/>
          <w:szCs w:val="24"/>
        </w:rPr>
        <w:t>Risk of bias of historical matched control trials</w:t>
      </w:r>
      <w:bookmarkEnd w:id="0"/>
    </w:p>
    <w:tbl>
      <w:tblPr>
        <w:tblW w:w="8466" w:type="dxa"/>
        <w:tblBorders>
          <w:top w:val="single" w:sz="4" w:space="0" w:color="auto"/>
          <w:bottom w:val="single" w:sz="4" w:space="0" w:color="auto"/>
        </w:tblBorders>
        <w:tblLayout w:type="fixed"/>
        <w:tblLook w:val="04A0" w:firstRow="1" w:lastRow="0" w:firstColumn="1" w:lastColumn="0" w:noHBand="0" w:noVBand="1"/>
      </w:tblPr>
      <w:tblGrid>
        <w:gridCol w:w="3169"/>
        <w:gridCol w:w="1472"/>
        <w:gridCol w:w="1765"/>
        <w:gridCol w:w="2060"/>
      </w:tblGrid>
      <w:tr w:rsidR="001E4849" w:rsidRPr="00307965" w:rsidTr="00447B79">
        <w:trPr>
          <w:trHeight w:val="354"/>
        </w:trPr>
        <w:tc>
          <w:tcPr>
            <w:tcW w:w="3169" w:type="dxa"/>
            <w:tcBorders>
              <w:top w:val="single" w:sz="4" w:space="0" w:color="auto"/>
              <w:bottom w:val="single" w:sz="4" w:space="0" w:color="auto"/>
            </w:tcBorders>
            <w:shd w:val="clear" w:color="auto" w:fill="BFBFBF"/>
            <w:noWrap/>
            <w:hideMark/>
          </w:tcPr>
          <w:p w:rsidR="001E4849" w:rsidRPr="00307965" w:rsidRDefault="001E4849" w:rsidP="00447B79">
            <w:pPr>
              <w:widowControl/>
              <w:jc w:val="left"/>
              <w:rPr>
                <w:rFonts w:ascii="Arial" w:hAnsi="Arial"/>
                <w:b/>
                <w:bCs/>
                <w:kern w:val="0"/>
                <w:sz w:val="18"/>
                <w:szCs w:val="18"/>
              </w:rPr>
            </w:pPr>
            <w:r w:rsidRPr="00307965">
              <w:rPr>
                <w:rFonts w:ascii="Arial" w:hAnsi="Arial"/>
                <w:b/>
                <w:bCs/>
                <w:kern w:val="0"/>
                <w:sz w:val="18"/>
                <w:szCs w:val="18"/>
              </w:rPr>
              <w:t>Observational Trials</w:t>
            </w:r>
            <w:r w:rsidRPr="00307965">
              <w:rPr>
                <w:rFonts w:ascii="Arial" w:hAnsi="Arial"/>
                <w:b/>
                <w:bCs/>
                <w:kern w:val="0"/>
                <w:sz w:val="18"/>
                <w:szCs w:val="18"/>
              </w:rPr>
              <w:t>：</w:t>
            </w:r>
            <w:r w:rsidRPr="00307965">
              <w:rPr>
                <w:rFonts w:ascii="Arial" w:hAnsi="Arial"/>
                <w:b/>
                <w:bCs/>
                <w:kern w:val="0"/>
                <w:sz w:val="18"/>
                <w:szCs w:val="18"/>
              </w:rPr>
              <w:t>NOS scale</w:t>
            </w:r>
          </w:p>
        </w:tc>
        <w:tc>
          <w:tcPr>
            <w:tcW w:w="1472" w:type="dxa"/>
            <w:tcBorders>
              <w:top w:val="single" w:sz="4" w:space="0" w:color="auto"/>
              <w:bottom w:val="single" w:sz="4" w:space="0" w:color="auto"/>
            </w:tcBorders>
            <w:shd w:val="clear" w:color="auto" w:fill="BFBFBF"/>
            <w:noWrap/>
            <w:hideMark/>
          </w:tcPr>
          <w:p w:rsidR="001E4849" w:rsidRPr="00307965" w:rsidRDefault="001E4849" w:rsidP="00447B79">
            <w:pPr>
              <w:widowControl/>
              <w:jc w:val="left"/>
              <w:rPr>
                <w:rFonts w:ascii="Arial" w:hAnsi="Arial"/>
                <w:b/>
                <w:bCs/>
                <w:kern w:val="0"/>
                <w:sz w:val="18"/>
                <w:szCs w:val="18"/>
              </w:rPr>
            </w:pPr>
            <w:r w:rsidRPr="00307965">
              <w:rPr>
                <w:rFonts w:ascii="Arial" w:hAnsi="Arial"/>
                <w:b/>
                <w:bCs/>
                <w:kern w:val="0"/>
                <w:sz w:val="18"/>
                <w:szCs w:val="18"/>
              </w:rPr>
              <w:t>Selection</w:t>
            </w:r>
          </w:p>
        </w:tc>
        <w:tc>
          <w:tcPr>
            <w:tcW w:w="1765" w:type="dxa"/>
            <w:tcBorders>
              <w:top w:val="single" w:sz="4" w:space="0" w:color="auto"/>
              <w:bottom w:val="single" w:sz="4" w:space="0" w:color="auto"/>
            </w:tcBorders>
            <w:shd w:val="clear" w:color="auto" w:fill="BFBFBF"/>
            <w:noWrap/>
            <w:hideMark/>
          </w:tcPr>
          <w:p w:rsidR="001E4849" w:rsidRPr="00307965" w:rsidRDefault="001E4849" w:rsidP="00447B79">
            <w:pPr>
              <w:widowControl/>
              <w:jc w:val="left"/>
              <w:rPr>
                <w:rFonts w:ascii="Arial" w:hAnsi="Arial"/>
                <w:b/>
                <w:bCs/>
                <w:kern w:val="0"/>
                <w:sz w:val="18"/>
                <w:szCs w:val="18"/>
              </w:rPr>
            </w:pPr>
            <w:r w:rsidRPr="00307965">
              <w:rPr>
                <w:rFonts w:ascii="Arial" w:hAnsi="Arial"/>
                <w:b/>
                <w:bCs/>
                <w:kern w:val="0"/>
                <w:sz w:val="18"/>
                <w:szCs w:val="18"/>
              </w:rPr>
              <w:t>Comparability</w:t>
            </w:r>
          </w:p>
        </w:tc>
        <w:tc>
          <w:tcPr>
            <w:tcW w:w="2060" w:type="dxa"/>
            <w:tcBorders>
              <w:top w:val="single" w:sz="4" w:space="0" w:color="auto"/>
              <w:bottom w:val="single" w:sz="4" w:space="0" w:color="auto"/>
            </w:tcBorders>
            <w:shd w:val="clear" w:color="auto" w:fill="BFBFBF"/>
            <w:noWrap/>
            <w:hideMark/>
          </w:tcPr>
          <w:p w:rsidR="001E4849" w:rsidRPr="00307965" w:rsidRDefault="001E4849" w:rsidP="00447B79">
            <w:pPr>
              <w:widowControl/>
              <w:jc w:val="left"/>
              <w:rPr>
                <w:rFonts w:ascii="Arial" w:hAnsi="Arial"/>
                <w:b/>
                <w:bCs/>
                <w:kern w:val="0"/>
                <w:sz w:val="18"/>
                <w:szCs w:val="18"/>
              </w:rPr>
            </w:pPr>
            <w:r w:rsidRPr="00307965">
              <w:rPr>
                <w:rFonts w:ascii="Arial" w:hAnsi="Arial"/>
                <w:b/>
                <w:bCs/>
                <w:kern w:val="0"/>
                <w:sz w:val="18"/>
                <w:szCs w:val="18"/>
              </w:rPr>
              <w:t>Outcome</w:t>
            </w:r>
          </w:p>
        </w:tc>
      </w:tr>
      <w:tr w:rsidR="001E4849" w:rsidRPr="00307965" w:rsidTr="00447B79">
        <w:trPr>
          <w:trHeight w:val="253"/>
        </w:trPr>
        <w:tc>
          <w:tcPr>
            <w:tcW w:w="3169" w:type="dxa"/>
            <w:tcBorders>
              <w:top w:val="single" w:sz="4" w:space="0" w:color="auto"/>
            </w:tcBorders>
            <w:shd w:val="clear" w:color="auto" w:fill="auto"/>
            <w:hideMark/>
          </w:tcPr>
          <w:p w:rsidR="001E4849" w:rsidRPr="00307965" w:rsidRDefault="001E4849" w:rsidP="00447B79">
            <w:pPr>
              <w:widowControl/>
              <w:jc w:val="left"/>
              <w:rPr>
                <w:rFonts w:ascii="Arial" w:hAnsi="Arial"/>
                <w:kern w:val="0"/>
                <w:sz w:val="18"/>
                <w:szCs w:val="18"/>
              </w:rPr>
            </w:pPr>
            <w:r w:rsidRPr="00307965">
              <w:rPr>
                <w:rFonts w:ascii="Arial" w:hAnsi="Arial"/>
                <w:kern w:val="0"/>
                <w:sz w:val="18"/>
                <w:szCs w:val="18"/>
              </w:rPr>
              <w:t>Immonen 2004(2)</w:t>
            </w:r>
          </w:p>
        </w:tc>
        <w:tc>
          <w:tcPr>
            <w:tcW w:w="1472" w:type="dxa"/>
            <w:tcBorders>
              <w:top w:val="single" w:sz="4" w:space="0" w:color="auto"/>
            </w:tcBorders>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c>
          <w:tcPr>
            <w:tcW w:w="1765" w:type="dxa"/>
            <w:tcBorders>
              <w:top w:val="single" w:sz="4" w:space="0" w:color="auto"/>
            </w:tcBorders>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c>
          <w:tcPr>
            <w:tcW w:w="2060" w:type="dxa"/>
            <w:tcBorders>
              <w:top w:val="single" w:sz="4" w:space="0" w:color="auto"/>
            </w:tcBorders>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r>
      <w:tr w:rsidR="001E4849" w:rsidRPr="00307965" w:rsidTr="00447B79">
        <w:trPr>
          <w:trHeight w:val="253"/>
        </w:trPr>
        <w:tc>
          <w:tcPr>
            <w:tcW w:w="3169" w:type="dxa"/>
            <w:shd w:val="clear" w:color="auto" w:fill="auto"/>
            <w:hideMark/>
          </w:tcPr>
          <w:p w:rsidR="001E4849" w:rsidRPr="00307965" w:rsidRDefault="001E4849" w:rsidP="00447B79">
            <w:pPr>
              <w:widowControl/>
              <w:jc w:val="left"/>
              <w:rPr>
                <w:rFonts w:ascii="Arial" w:hAnsi="Arial"/>
                <w:kern w:val="0"/>
                <w:sz w:val="18"/>
                <w:szCs w:val="18"/>
              </w:rPr>
            </w:pPr>
            <w:r w:rsidRPr="00307965">
              <w:rPr>
                <w:rFonts w:ascii="Arial" w:hAnsi="Arial"/>
                <w:kern w:val="0"/>
                <w:sz w:val="18"/>
                <w:szCs w:val="18"/>
              </w:rPr>
              <w:t>Immonen 2004(4)</w:t>
            </w:r>
          </w:p>
        </w:tc>
        <w:tc>
          <w:tcPr>
            <w:tcW w:w="1472"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c>
          <w:tcPr>
            <w:tcW w:w="1765"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c>
          <w:tcPr>
            <w:tcW w:w="2060"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r>
      <w:tr w:rsidR="001E4849" w:rsidRPr="00307965" w:rsidTr="00447B79">
        <w:trPr>
          <w:trHeight w:val="253"/>
        </w:trPr>
        <w:tc>
          <w:tcPr>
            <w:tcW w:w="3169" w:type="dxa"/>
            <w:shd w:val="clear" w:color="auto" w:fill="auto"/>
            <w:hideMark/>
          </w:tcPr>
          <w:p w:rsidR="001E4849" w:rsidRPr="00307965" w:rsidRDefault="001E4849" w:rsidP="00447B79">
            <w:pPr>
              <w:widowControl/>
              <w:jc w:val="left"/>
              <w:rPr>
                <w:rFonts w:ascii="Arial" w:hAnsi="Arial"/>
                <w:kern w:val="0"/>
                <w:sz w:val="18"/>
                <w:szCs w:val="18"/>
              </w:rPr>
            </w:pPr>
            <w:r w:rsidRPr="00307965">
              <w:rPr>
                <w:rFonts w:ascii="Arial" w:hAnsi="Arial"/>
                <w:kern w:val="0"/>
                <w:sz w:val="18"/>
                <w:szCs w:val="18"/>
              </w:rPr>
              <w:t>Vik-mo 2013</w:t>
            </w:r>
          </w:p>
        </w:tc>
        <w:tc>
          <w:tcPr>
            <w:tcW w:w="1472"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c>
          <w:tcPr>
            <w:tcW w:w="1765"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c>
          <w:tcPr>
            <w:tcW w:w="2060"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tc>
      </w:tr>
      <w:tr w:rsidR="001E4849" w:rsidRPr="00307965" w:rsidTr="00447B79">
        <w:trPr>
          <w:trHeight w:val="253"/>
        </w:trPr>
        <w:tc>
          <w:tcPr>
            <w:tcW w:w="3169" w:type="dxa"/>
            <w:shd w:val="clear" w:color="auto" w:fill="auto"/>
            <w:hideMark/>
          </w:tcPr>
          <w:p w:rsidR="001E4849" w:rsidRPr="00307965" w:rsidRDefault="001E4849" w:rsidP="00447B79">
            <w:pPr>
              <w:widowControl/>
              <w:jc w:val="left"/>
              <w:rPr>
                <w:rFonts w:ascii="Arial" w:hAnsi="Arial"/>
                <w:kern w:val="0"/>
                <w:sz w:val="18"/>
                <w:szCs w:val="18"/>
              </w:rPr>
            </w:pPr>
            <w:r w:rsidRPr="00307965">
              <w:rPr>
                <w:rFonts w:ascii="Arial" w:hAnsi="Arial"/>
                <w:kern w:val="0"/>
                <w:sz w:val="18"/>
                <w:szCs w:val="18"/>
              </w:rPr>
              <w:t>Wheeler 2016</w:t>
            </w:r>
          </w:p>
          <w:p w:rsidR="001E4849" w:rsidRPr="00315383" w:rsidRDefault="001E4849" w:rsidP="00447B79">
            <w:pPr>
              <w:widowControl/>
              <w:jc w:val="left"/>
              <w:rPr>
                <w:rFonts w:ascii="Arial" w:hAnsi="Arial"/>
                <w:kern w:val="0"/>
                <w:sz w:val="18"/>
                <w:szCs w:val="18"/>
              </w:rPr>
            </w:pPr>
            <w:r>
              <w:rPr>
                <w:rFonts w:ascii="Arial" w:hAnsi="Arial"/>
                <w:kern w:val="0"/>
                <w:sz w:val="18"/>
                <w:szCs w:val="18"/>
              </w:rPr>
              <w:t>Annick</w:t>
            </w:r>
            <w:r w:rsidRPr="00315383">
              <w:rPr>
                <w:rFonts w:ascii="Arial" w:hAnsi="Arial"/>
                <w:kern w:val="0"/>
                <w:sz w:val="18"/>
                <w:szCs w:val="18"/>
              </w:rPr>
              <w:t xml:space="preserve"> 2018</w:t>
            </w:r>
          </w:p>
        </w:tc>
        <w:tc>
          <w:tcPr>
            <w:tcW w:w="1472"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p w:rsidR="001E4849" w:rsidRPr="00307965" w:rsidRDefault="001E4849" w:rsidP="00447B79">
            <w:pPr>
              <w:widowControl/>
              <w:jc w:val="left"/>
              <w:rPr>
                <w:rFonts w:ascii="Arial" w:hAnsi="Arial"/>
                <w:sz w:val="18"/>
                <w:szCs w:val="18"/>
              </w:rPr>
            </w:pPr>
            <w:r w:rsidRPr="00307965">
              <w:rPr>
                <w:rFonts w:ascii="Segoe UI Symbol" w:hAnsi="Segoe UI Symbol" w:cs="Segoe UI Symbol"/>
                <w:sz w:val="18"/>
                <w:szCs w:val="18"/>
              </w:rPr>
              <w:t>★★★</w:t>
            </w:r>
          </w:p>
        </w:tc>
        <w:tc>
          <w:tcPr>
            <w:tcW w:w="1765"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p w:rsidR="001E4849" w:rsidRPr="00307965" w:rsidRDefault="001E4849" w:rsidP="00447B79">
            <w:pPr>
              <w:widowControl/>
              <w:jc w:val="left"/>
              <w:rPr>
                <w:rFonts w:ascii="Arial" w:hAnsi="Arial"/>
                <w:sz w:val="18"/>
                <w:szCs w:val="18"/>
              </w:rPr>
            </w:pPr>
            <w:r w:rsidRPr="00307965">
              <w:rPr>
                <w:rFonts w:ascii="Segoe UI Symbol" w:hAnsi="Segoe UI Symbol" w:cs="Segoe UI Symbol"/>
                <w:sz w:val="18"/>
                <w:szCs w:val="18"/>
              </w:rPr>
              <w:t>★★★</w:t>
            </w:r>
          </w:p>
        </w:tc>
        <w:tc>
          <w:tcPr>
            <w:tcW w:w="2060" w:type="dxa"/>
            <w:shd w:val="clear" w:color="auto" w:fill="auto"/>
            <w:noWrap/>
            <w:hideMark/>
          </w:tcPr>
          <w:p w:rsidR="001E4849" w:rsidRPr="00307965" w:rsidRDefault="001E4849" w:rsidP="00447B79">
            <w:pPr>
              <w:widowControl/>
              <w:jc w:val="left"/>
              <w:rPr>
                <w:rFonts w:ascii="Arial" w:hAnsi="Arial"/>
                <w:kern w:val="0"/>
                <w:sz w:val="18"/>
                <w:szCs w:val="18"/>
              </w:rPr>
            </w:pPr>
            <w:r w:rsidRPr="00307965">
              <w:rPr>
                <w:rFonts w:ascii="Segoe UI Symbol" w:hAnsi="Segoe UI Symbol" w:cs="Segoe UI Symbol"/>
                <w:kern w:val="0"/>
                <w:sz w:val="18"/>
                <w:szCs w:val="18"/>
              </w:rPr>
              <w:t>★★★</w:t>
            </w:r>
          </w:p>
          <w:p w:rsidR="001E4849" w:rsidRPr="00307965" w:rsidRDefault="001E4849" w:rsidP="00447B79">
            <w:pPr>
              <w:widowControl/>
              <w:jc w:val="left"/>
              <w:rPr>
                <w:rFonts w:ascii="Arial" w:hAnsi="Arial"/>
                <w:sz w:val="18"/>
                <w:szCs w:val="18"/>
              </w:rPr>
            </w:pPr>
            <w:r w:rsidRPr="00307965">
              <w:rPr>
                <w:rFonts w:ascii="Segoe UI Symbol" w:hAnsi="Segoe UI Symbol" w:cs="Segoe UI Symbol"/>
                <w:sz w:val="18"/>
                <w:szCs w:val="18"/>
              </w:rPr>
              <w:t>★★★</w:t>
            </w:r>
          </w:p>
        </w:tc>
      </w:tr>
    </w:tbl>
    <w:p w:rsidR="001E4849" w:rsidRDefault="001E4849" w:rsidP="001E4849">
      <w:pPr>
        <w:widowControl/>
        <w:jc w:val="left"/>
        <w:rPr>
          <w:rFonts w:ascii="Arial" w:hAnsi="Arial"/>
          <w:b/>
          <w:sz w:val="24"/>
          <w:szCs w:val="24"/>
        </w:rPr>
      </w:pPr>
    </w:p>
    <w:p w:rsidR="001E4849" w:rsidRDefault="001E4849">
      <w:pPr>
        <w:widowControl/>
        <w:jc w:val="left"/>
        <w:rPr>
          <w:rFonts w:ascii="Arial" w:hAnsi="Arial"/>
          <w:b/>
          <w:sz w:val="24"/>
          <w:szCs w:val="24"/>
        </w:rPr>
        <w:sectPr w:rsidR="001E4849" w:rsidSect="001E4849">
          <w:pgSz w:w="11906" w:h="16838"/>
          <w:pgMar w:top="1440" w:right="1800" w:bottom="1440" w:left="1800" w:header="851" w:footer="992" w:gutter="0"/>
          <w:cols w:space="425"/>
          <w:docGrid w:type="lines" w:linePitch="312"/>
        </w:sectPr>
      </w:pPr>
      <w:r>
        <w:rPr>
          <w:rFonts w:ascii="Arial" w:hAnsi="Arial"/>
          <w:b/>
          <w:sz w:val="24"/>
          <w:szCs w:val="24"/>
        </w:rPr>
        <w:br w:type="page"/>
      </w:r>
    </w:p>
    <w:p w:rsidR="001E4849" w:rsidRDefault="001E4849">
      <w:pPr>
        <w:widowControl/>
        <w:jc w:val="left"/>
        <w:rPr>
          <w:rFonts w:ascii="Arial" w:hAnsi="Arial"/>
          <w:b/>
          <w:sz w:val="24"/>
          <w:szCs w:val="24"/>
        </w:rPr>
      </w:pPr>
      <w:bookmarkStart w:id="1" w:name="_GoBack"/>
      <w:bookmarkEnd w:id="1"/>
    </w:p>
    <w:p w:rsidR="000A3840" w:rsidRDefault="00BF7AEC" w:rsidP="000A3840">
      <w:pPr>
        <w:jc w:val="center"/>
        <w:rPr>
          <w:rFonts w:ascii="Arial" w:hAnsi="Arial"/>
          <w:b/>
          <w:sz w:val="24"/>
          <w:szCs w:val="24"/>
        </w:rPr>
      </w:pPr>
      <w:r>
        <w:rPr>
          <w:rFonts w:ascii="Arial" w:hAnsi="Arial"/>
          <w:b/>
          <w:sz w:val="24"/>
          <w:szCs w:val="24"/>
        </w:rPr>
        <w:t>S</w:t>
      </w:r>
      <w:r>
        <w:rPr>
          <w:rFonts w:ascii="Arial" w:hAnsi="Arial" w:hint="eastAsia"/>
          <w:b/>
          <w:sz w:val="24"/>
          <w:szCs w:val="24"/>
        </w:rPr>
        <w:t>u</w:t>
      </w:r>
      <w:r>
        <w:rPr>
          <w:rFonts w:ascii="Arial" w:hAnsi="Arial"/>
          <w:b/>
          <w:sz w:val="24"/>
          <w:szCs w:val="24"/>
        </w:rPr>
        <w:t xml:space="preserve">pplementary </w:t>
      </w:r>
      <w:r w:rsidR="007638BE">
        <w:rPr>
          <w:rFonts w:ascii="Arial" w:hAnsi="Arial"/>
          <w:b/>
          <w:sz w:val="24"/>
          <w:szCs w:val="24"/>
        </w:rPr>
        <w:t xml:space="preserve">Table </w:t>
      </w:r>
      <w:r w:rsidR="007638BE">
        <w:rPr>
          <w:rFonts w:ascii="Arial" w:hAnsi="Arial" w:hint="eastAsia"/>
          <w:b/>
          <w:sz w:val="24"/>
          <w:szCs w:val="24"/>
        </w:rPr>
        <w:t>2</w:t>
      </w:r>
      <w:r w:rsidR="00BB6ED8">
        <w:rPr>
          <w:rFonts w:ascii="Arial" w:hAnsi="Arial"/>
          <w:b/>
          <w:sz w:val="24"/>
          <w:szCs w:val="24"/>
        </w:rPr>
        <w:t xml:space="preserve">. </w:t>
      </w:r>
      <w:r w:rsidR="000A3840">
        <w:rPr>
          <w:rFonts w:ascii="Arial" w:hAnsi="Arial"/>
          <w:b/>
          <w:sz w:val="24"/>
          <w:szCs w:val="24"/>
        </w:rPr>
        <w:t>Summary of outcomes and quality of evidence</w:t>
      </w:r>
    </w:p>
    <w:tbl>
      <w:tblPr>
        <w:tblW w:w="5000" w:type="pct"/>
        <w:tblLook w:val="04A0" w:firstRow="1" w:lastRow="0" w:firstColumn="1" w:lastColumn="0" w:noHBand="0" w:noVBand="1"/>
      </w:tblPr>
      <w:tblGrid>
        <w:gridCol w:w="3651"/>
        <w:gridCol w:w="1538"/>
        <w:gridCol w:w="262"/>
        <w:gridCol w:w="2641"/>
        <w:gridCol w:w="1689"/>
        <w:gridCol w:w="1558"/>
        <w:gridCol w:w="1293"/>
        <w:gridCol w:w="1326"/>
      </w:tblGrid>
      <w:tr w:rsidR="00BB6ED8" w:rsidRPr="006F3374" w:rsidTr="000609B0">
        <w:tc>
          <w:tcPr>
            <w:tcW w:w="0" w:type="auto"/>
            <w:gridSpan w:val="8"/>
            <w:tcBorders>
              <w:top w:val="single" w:sz="12" w:space="0" w:color="000000"/>
              <w:left w:val="nil"/>
              <w:bottom w:val="single" w:sz="12" w:space="0" w:color="000000"/>
              <w:right w:val="nil"/>
            </w:tcBorders>
            <w:shd w:val="clear" w:color="auto" w:fill="auto"/>
            <w:tcMar>
              <w:top w:w="45" w:type="dxa"/>
              <w:left w:w="45" w:type="dxa"/>
              <w:bottom w:w="45" w:type="dxa"/>
              <w:right w:w="45" w:type="dxa"/>
            </w:tcMar>
            <w:vAlign w:val="center"/>
            <w:hideMark/>
          </w:tcPr>
          <w:p w:rsidR="00BB6ED8" w:rsidRPr="006F3374" w:rsidRDefault="00BB6ED8" w:rsidP="00BB6ED8">
            <w:pPr>
              <w:pStyle w:val="a3"/>
              <w:rPr>
                <w:rFonts w:ascii="Arial" w:hAnsi="Arial" w:cs="Arial"/>
                <w:b/>
                <w:bCs/>
                <w:kern w:val="2"/>
                <w:sz w:val="20"/>
                <w:szCs w:val="18"/>
              </w:rPr>
            </w:pPr>
            <w:r w:rsidRPr="006F3374">
              <w:rPr>
                <w:rFonts w:ascii="Arial" w:hAnsi="Arial" w:cs="Arial"/>
                <w:b/>
                <w:bCs/>
                <w:kern w:val="2"/>
                <w:sz w:val="20"/>
                <w:szCs w:val="18"/>
              </w:rPr>
              <w:t>Immunotherapy combined Standard of Care (SOC) compared to SOC for High-grade Glioma</w:t>
            </w:r>
          </w:p>
        </w:tc>
      </w:tr>
      <w:tr w:rsidR="00BB6ED8" w:rsidRPr="006F3374" w:rsidTr="000609B0">
        <w:tc>
          <w:tcPr>
            <w:tcW w:w="0" w:type="auto"/>
            <w:gridSpan w:val="8"/>
            <w:tcBorders>
              <w:top w:val="single" w:sz="12" w:space="0" w:color="000000"/>
              <w:left w:val="nil"/>
              <w:bottom w:val="single" w:sz="12" w:space="0" w:color="000000"/>
              <w:right w:val="nil"/>
            </w:tcBorders>
            <w:shd w:val="clear" w:color="auto" w:fill="auto"/>
            <w:tcMar>
              <w:top w:w="45" w:type="dxa"/>
              <w:left w:w="45" w:type="dxa"/>
              <w:bottom w:w="45" w:type="dxa"/>
              <w:right w:w="45" w:type="dxa"/>
            </w:tcMar>
            <w:vAlign w:val="center"/>
            <w:hideMark/>
          </w:tcPr>
          <w:p w:rsidR="00BB6ED8" w:rsidRPr="006F3374" w:rsidRDefault="00BB6ED8">
            <w:pPr>
              <w:rPr>
                <w:rFonts w:ascii="Arial" w:hAnsi="Arial" w:cs="Arial"/>
                <w:sz w:val="20"/>
                <w:szCs w:val="16"/>
              </w:rPr>
            </w:pPr>
            <w:r w:rsidRPr="006F3374">
              <w:rPr>
                <w:rFonts w:ascii="Arial" w:hAnsi="Arial" w:cs="Arial"/>
                <w:b/>
                <w:bCs/>
                <w:sz w:val="20"/>
                <w:szCs w:val="16"/>
              </w:rPr>
              <w:t>Patient or population:</w:t>
            </w:r>
            <w:r w:rsidRPr="006F3374">
              <w:rPr>
                <w:rFonts w:ascii="Arial" w:hAnsi="Arial" w:cs="Arial"/>
                <w:sz w:val="20"/>
                <w:szCs w:val="16"/>
              </w:rPr>
              <w:t xml:space="preserve"> patients with High-grade Glioma</w:t>
            </w:r>
            <w:r w:rsidRPr="006F3374">
              <w:rPr>
                <w:rFonts w:ascii="Arial" w:hAnsi="Arial" w:cs="Arial"/>
                <w:sz w:val="20"/>
                <w:szCs w:val="16"/>
              </w:rPr>
              <w:br/>
            </w:r>
            <w:r w:rsidRPr="006F3374">
              <w:rPr>
                <w:rFonts w:ascii="Arial" w:hAnsi="Arial" w:cs="Arial"/>
                <w:b/>
                <w:bCs/>
                <w:sz w:val="20"/>
                <w:szCs w:val="16"/>
              </w:rPr>
              <w:t>Settings:</w:t>
            </w:r>
            <w:r w:rsidRPr="006F3374">
              <w:rPr>
                <w:rFonts w:ascii="Arial" w:hAnsi="Arial" w:cs="Arial"/>
                <w:sz w:val="20"/>
                <w:szCs w:val="16"/>
              </w:rPr>
              <w:t xml:space="preserve"> Adults</w:t>
            </w:r>
            <w:r w:rsidRPr="006F3374">
              <w:rPr>
                <w:rFonts w:ascii="Arial" w:hAnsi="Arial" w:cs="Arial"/>
                <w:sz w:val="20"/>
                <w:szCs w:val="16"/>
              </w:rPr>
              <w:br/>
            </w:r>
            <w:r w:rsidRPr="006F3374">
              <w:rPr>
                <w:rFonts w:ascii="Arial" w:hAnsi="Arial" w:cs="Arial"/>
                <w:b/>
                <w:bCs/>
                <w:sz w:val="20"/>
                <w:szCs w:val="16"/>
              </w:rPr>
              <w:t>Intervention:</w:t>
            </w:r>
            <w:r w:rsidRPr="006F3374">
              <w:rPr>
                <w:rFonts w:ascii="Arial" w:hAnsi="Arial" w:cs="Arial"/>
                <w:sz w:val="20"/>
                <w:szCs w:val="16"/>
              </w:rPr>
              <w:t xml:space="preserve"> Immunotherapy plus Standard of Care</w:t>
            </w:r>
            <w:r w:rsidRPr="006F3374">
              <w:rPr>
                <w:rFonts w:ascii="Arial" w:hAnsi="Arial" w:cs="Arial"/>
                <w:sz w:val="20"/>
                <w:szCs w:val="16"/>
              </w:rPr>
              <w:br/>
            </w:r>
            <w:r w:rsidRPr="006F3374">
              <w:rPr>
                <w:rFonts w:ascii="Arial" w:hAnsi="Arial" w:cs="Arial"/>
                <w:b/>
                <w:bCs/>
                <w:sz w:val="20"/>
                <w:szCs w:val="16"/>
              </w:rPr>
              <w:t xml:space="preserve">Comparison: </w:t>
            </w:r>
            <w:r w:rsidRPr="006F3374">
              <w:rPr>
                <w:rFonts w:ascii="Arial" w:hAnsi="Arial" w:cs="Arial"/>
                <w:sz w:val="20"/>
                <w:szCs w:val="16"/>
              </w:rPr>
              <w:t>Standard of Care</w:t>
            </w:r>
          </w:p>
        </w:tc>
      </w:tr>
      <w:tr w:rsidR="000609B0" w:rsidRPr="006F3374" w:rsidTr="000609B0">
        <w:trPr>
          <w:trHeight w:val="375"/>
        </w:trPr>
        <w:tc>
          <w:tcPr>
            <w:tcW w:w="1308" w:type="pct"/>
            <w:shd w:val="clear" w:color="auto" w:fill="auto"/>
            <w:tcMar>
              <w:top w:w="15" w:type="dxa"/>
              <w:left w:w="15" w:type="dxa"/>
              <w:bottom w:w="15" w:type="dxa"/>
              <w:right w:w="15" w:type="dxa"/>
            </w:tcMar>
            <w:hideMark/>
          </w:tcPr>
          <w:p w:rsidR="000609B0" w:rsidRPr="006F3374" w:rsidRDefault="000609B0">
            <w:pPr>
              <w:pStyle w:val="a3"/>
              <w:rPr>
                <w:rFonts w:ascii="Arial" w:hAnsi="Arial" w:cs="Arial"/>
                <w:kern w:val="2"/>
                <w:sz w:val="20"/>
                <w:szCs w:val="16"/>
              </w:rPr>
            </w:pPr>
          </w:p>
        </w:tc>
        <w:tc>
          <w:tcPr>
            <w:tcW w:w="1591" w:type="pct"/>
            <w:gridSpan w:val="3"/>
            <w:tcBorders>
              <w:bottom w:val="single" w:sz="4" w:space="0" w:color="auto"/>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Illustrative comparative risks* (95% CI)</w:t>
            </w:r>
          </w:p>
        </w:tc>
        <w:tc>
          <w:tcPr>
            <w:tcW w:w="605" w:type="pct"/>
            <w:tcBorders>
              <w:bottom w:val="nil"/>
              <w:right w:val="nil"/>
            </w:tcBorders>
            <w:shd w:val="clear" w:color="auto" w:fill="auto"/>
            <w:tcMar>
              <w:top w:w="15" w:type="dxa"/>
              <w:left w:w="15" w:type="dxa"/>
              <w:bottom w:w="15" w:type="dxa"/>
              <w:right w:w="15" w:type="dxa"/>
            </w:tcMar>
            <w:hideMark/>
          </w:tcPr>
          <w:p w:rsidR="000609B0" w:rsidRPr="006F3374" w:rsidRDefault="000609B0">
            <w:pPr>
              <w:pStyle w:val="a3"/>
              <w:rPr>
                <w:rFonts w:ascii="Arial" w:hAnsi="Arial" w:cs="Arial"/>
                <w:kern w:val="2"/>
                <w:sz w:val="20"/>
                <w:szCs w:val="16"/>
              </w:rPr>
            </w:pPr>
          </w:p>
        </w:tc>
        <w:tc>
          <w:tcPr>
            <w:tcW w:w="558" w:type="pct"/>
            <w:tcBorders>
              <w:top w:val="single" w:sz="12" w:space="0" w:color="000000"/>
              <w:left w:val="nil"/>
              <w:bottom w:val="nil"/>
              <w:right w:val="nil"/>
            </w:tcBorders>
            <w:shd w:val="clear" w:color="auto" w:fill="auto"/>
            <w:tcMar>
              <w:top w:w="15" w:type="dxa"/>
              <w:left w:w="15" w:type="dxa"/>
              <w:bottom w:w="15" w:type="dxa"/>
              <w:right w:w="15" w:type="dxa"/>
            </w:tcMar>
          </w:tcPr>
          <w:p w:rsidR="000609B0" w:rsidRPr="006F3374" w:rsidRDefault="000609B0">
            <w:pPr>
              <w:pStyle w:val="a3"/>
              <w:rPr>
                <w:rFonts w:ascii="Arial" w:hAnsi="Arial" w:cs="Arial"/>
                <w:kern w:val="2"/>
                <w:sz w:val="20"/>
                <w:szCs w:val="16"/>
              </w:rPr>
            </w:pPr>
          </w:p>
        </w:tc>
        <w:tc>
          <w:tcPr>
            <w:tcW w:w="463" w:type="pct"/>
            <w:tcBorders>
              <w:top w:val="single" w:sz="12" w:space="0" w:color="000000"/>
              <w:left w:val="nil"/>
              <w:bottom w:val="nil"/>
              <w:right w:val="nil"/>
            </w:tcBorders>
            <w:shd w:val="clear" w:color="auto" w:fill="auto"/>
            <w:tcMar>
              <w:top w:w="15" w:type="dxa"/>
              <w:left w:w="15" w:type="dxa"/>
              <w:bottom w:w="15" w:type="dxa"/>
              <w:right w:w="15" w:type="dxa"/>
            </w:tcMar>
          </w:tcPr>
          <w:p w:rsidR="000609B0" w:rsidRPr="006F3374" w:rsidRDefault="000609B0">
            <w:pPr>
              <w:pStyle w:val="a3"/>
              <w:rPr>
                <w:rFonts w:ascii="Arial" w:hAnsi="Arial" w:cs="Arial"/>
                <w:kern w:val="2"/>
                <w:sz w:val="20"/>
                <w:szCs w:val="16"/>
              </w:rPr>
            </w:pPr>
          </w:p>
        </w:tc>
        <w:tc>
          <w:tcPr>
            <w:tcW w:w="0" w:type="auto"/>
            <w:tcBorders>
              <w:top w:val="single" w:sz="12" w:space="0" w:color="000000"/>
              <w:left w:val="nil"/>
              <w:bottom w:val="nil"/>
              <w:right w:val="nil"/>
            </w:tcBorders>
            <w:shd w:val="clear" w:color="auto" w:fill="auto"/>
            <w:tcMar>
              <w:top w:w="15" w:type="dxa"/>
              <w:left w:w="15" w:type="dxa"/>
              <w:bottom w:w="15" w:type="dxa"/>
              <w:right w:w="15" w:type="dxa"/>
            </w:tcMar>
          </w:tcPr>
          <w:p w:rsidR="000609B0" w:rsidRPr="006F3374" w:rsidRDefault="000609B0">
            <w:pPr>
              <w:pStyle w:val="a3"/>
              <w:rPr>
                <w:rFonts w:ascii="Arial" w:hAnsi="Arial" w:cs="Arial"/>
                <w:kern w:val="2"/>
                <w:sz w:val="20"/>
                <w:szCs w:val="16"/>
              </w:rPr>
            </w:pPr>
          </w:p>
        </w:tc>
      </w:tr>
      <w:tr w:rsidR="000609B0" w:rsidRPr="006F3374" w:rsidTr="000609B0">
        <w:tc>
          <w:tcPr>
            <w:tcW w:w="1308" w:type="pct"/>
            <w:tcBorders>
              <w:bottom w:val="single" w:sz="4" w:space="0" w:color="auto"/>
            </w:tcBorders>
            <w:shd w:val="clear" w:color="auto" w:fill="auto"/>
            <w:tcMar>
              <w:top w:w="15" w:type="dxa"/>
              <w:left w:w="15" w:type="dxa"/>
              <w:bottom w:w="15" w:type="dxa"/>
              <w:right w:w="15" w:type="dxa"/>
            </w:tcMar>
            <w:vAlign w:val="center"/>
            <w:hideMark/>
          </w:tcPr>
          <w:p w:rsidR="000609B0" w:rsidRPr="006F3374" w:rsidRDefault="000609B0" w:rsidP="000609B0">
            <w:pPr>
              <w:rPr>
                <w:rFonts w:ascii="Arial" w:hAnsi="Arial" w:cs="Arial"/>
                <w:sz w:val="20"/>
                <w:szCs w:val="16"/>
              </w:rPr>
            </w:pPr>
            <w:r w:rsidRPr="006F3374">
              <w:rPr>
                <w:rFonts w:ascii="Arial" w:hAnsi="Arial" w:cs="Arial"/>
                <w:b/>
                <w:bCs/>
                <w:sz w:val="20"/>
                <w:szCs w:val="16"/>
              </w:rPr>
              <w:t>Outcomes</w:t>
            </w:r>
          </w:p>
        </w:tc>
        <w:tc>
          <w:tcPr>
            <w:tcW w:w="645" w:type="pct"/>
            <w:gridSpan w:val="2"/>
            <w:tcBorders>
              <w:top w:val="single" w:sz="4" w:space="0" w:color="auto"/>
              <w:bottom w:val="single" w:sz="4" w:space="0" w:color="auto"/>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Assumed risk</w:t>
            </w:r>
          </w:p>
          <w:p w:rsidR="000609B0" w:rsidRPr="006F3374" w:rsidRDefault="000609B0" w:rsidP="000609B0">
            <w:pPr>
              <w:pStyle w:val="a3"/>
              <w:rPr>
                <w:rFonts w:ascii="Arial" w:hAnsi="Arial" w:cs="Arial"/>
                <w:b/>
                <w:bCs/>
                <w:kern w:val="2"/>
                <w:sz w:val="20"/>
                <w:szCs w:val="16"/>
              </w:rPr>
            </w:pPr>
            <w:r w:rsidRPr="006F3374">
              <w:rPr>
                <w:rFonts w:ascii="Arial" w:hAnsi="Arial" w:cs="Arial"/>
                <w:b/>
                <w:bCs/>
                <w:kern w:val="2"/>
                <w:sz w:val="20"/>
                <w:szCs w:val="16"/>
              </w:rPr>
              <w:t>Standard of Care</w:t>
            </w:r>
          </w:p>
        </w:tc>
        <w:tc>
          <w:tcPr>
            <w:tcW w:w="946" w:type="pct"/>
            <w:tcBorders>
              <w:top w:val="single" w:sz="4" w:space="0" w:color="auto"/>
              <w:bottom w:val="single" w:sz="4" w:space="0" w:color="auto"/>
            </w:tcBorders>
            <w:shd w:val="clear" w:color="auto" w:fill="auto"/>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Corresponding risk</w:t>
            </w:r>
          </w:p>
          <w:p w:rsidR="000609B0" w:rsidRPr="006F3374" w:rsidRDefault="000609B0" w:rsidP="000609B0">
            <w:pPr>
              <w:pStyle w:val="a3"/>
              <w:rPr>
                <w:rFonts w:ascii="Arial" w:hAnsi="Arial" w:cs="Arial"/>
                <w:b/>
                <w:bCs/>
                <w:kern w:val="2"/>
                <w:sz w:val="20"/>
                <w:szCs w:val="16"/>
              </w:rPr>
            </w:pPr>
            <w:r w:rsidRPr="006F3374">
              <w:rPr>
                <w:rFonts w:ascii="Arial" w:hAnsi="Arial" w:cs="Arial"/>
                <w:b/>
                <w:bCs/>
                <w:kern w:val="2"/>
                <w:sz w:val="20"/>
                <w:szCs w:val="16"/>
              </w:rPr>
              <w:t>Immunotherapy</w:t>
            </w:r>
          </w:p>
        </w:tc>
        <w:tc>
          <w:tcPr>
            <w:tcW w:w="605" w:type="pct"/>
            <w:tcBorders>
              <w:top w:val="nil"/>
              <w:left w:val="nil"/>
              <w:bottom w:val="single" w:sz="4" w:space="0" w:color="auto"/>
              <w:right w:val="nil"/>
            </w:tcBorders>
            <w:shd w:val="clear" w:color="auto" w:fill="auto"/>
            <w:tcMar>
              <w:top w:w="15" w:type="dxa"/>
              <w:left w:w="15" w:type="dxa"/>
              <w:bottom w:w="15" w:type="dxa"/>
              <w:right w:w="15" w:type="dxa"/>
            </w:tcMar>
            <w:vAlign w:val="center"/>
            <w:hideMark/>
          </w:tcPr>
          <w:p w:rsidR="000609B0" w:rsidRPr="006F3374" w:rsidRDefault="000609B0" w:rsidP="000609B0">
            <w:pPr>
              <w:rPr>
                <w:rFonts w:ascii="Arial" w:hAnsi="Arial" w:cs="Arial"/>
                <w:b/>
                <w:bCs/>
                <w:sz w:val="20"/>
                <w:szCs w:val="16"/>
              </w:rPr>
            </w:pPr>
            <w:r w:rsidRPr="006F3374">
              <w:rPr>
                <w:rFonts w:ascii="Arial" w:hAnsi="Arial" w:cs="Arial"/>
                <w:b/>
                <w:bCs/>
                <w:sz w:val="20"/>
                <w:szCs w:val="16"/>
              </w:rPr>
              <w:t>Relative effect</w:t>
            </w:r>
            <w:r w:rsidRPr="006F3374">
              <w:rPr>
                <w:rFonts w:ascii="Arial" w:hAnsi="Arial" w:cs="Arial"/>
                <w:b/>
                <w:bCs/>
                <w:sz w:val="20"/>
                <w:szCs w:val="16"/>
              </w:rPr>
              <w:br/>
              <w:t>(95% CI)</w:t>
            </w:r>
          </w:p>
        </w:tc>
        <w:tc>
          <w:tcPr>
            <w:tcW w:w="558" w:type="pct"/>
            <w:tcBorders>
              <w:top w:val="nil"/>
              <w:left w:val="nil"/>
              <w:bottom w:val="single" w:sz="4" w:space="0" w:color="auto"/>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No of Participants</w:t>
            </w:r>
            <w:r w:rsidRPr="006F3374">
              <w:rPr>
                <w:rFonts w:ascii="Arial" w:hAnsi="Arial" w:cs="Arial"/>
                <w:b/>
                <w:bCs/>
                <w:kern w:val="2"/>
                <w:sz w:val="20"/>
                <w:szCs w:val="16"/>
              </w:rPr>
              <w:br/>
              <w:t>(studies)</w:t>
            </w:r>
          </w:p>
        </w:tc>
        <w:tc>
          <w:tcPr>
            <w:tcW w:w="463" w:type="pct"/>
            <w:tcBorders>
              <w:top w:val="nil"/>
              <w:left w:val="nil"/>
              <w:bottom w:val="single" w:sz="4" w:space="0" w:color="auto"/>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Quality of the evidence</w:t>
            </w:r>
            <w:r w:rsidRPr="006F3374">
              <w:rPr>
                <w:rFonts w:ascii="Arial" w:hAnsi="Arial" w:cs="Arial"/>
                <w:b/>
                <w:bCs/>
                <w:kern w:val="2"/>
                <w:sz w:val="20"/>
                <w:szCs w:val="16"/>
              </w:rPr>
              <w:br/>
              <w:t>(GRADE)</w:t>
            </w:r>
          </w:p>
        </w:tc>
        <w:tc>
          <w:tcPr>
            <w:tcW w:w="0" w:type="auto"/>
            <w:tcBorders>
              <w:top w:val="nil"/>
              <w:left w:val="nil"/>
              <w:bottom w:val="single" w:sz="4" w:space="0" w:color="auto"/>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Comments</w:t>
            </w:r>
          </w:p>
        </w:tc>
      </w:tr>
      <w:tr w:rsidR="000609B0" w:rsidRPr="006F3374" w:rsidTr="000609B0">
        <w:tc>
          <w:tcPr>
            <w:tcW w:w="1308" w:type="pct"/>
            <w:vMerge w:val="restart"/>
            <w:tcBorders>
              <w:top w:val="single" w:sz="4" w:space="0" w:color="auto"/>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Overall Survival (HMCT)</w:t>
            </w:r>
            <w:r w:rsidRPr="006F3374">
              <w:rPr>
                <w:rFonts w:ascii="Arial" w:hAnsi="Arial" w:cs="Arial"/>
                <w:kern w:val="2"/>
                <w:sz w:val="20"/>
                <w:szCs w:val="16"/>
              </w:rPr>
              <w:br/>
              <w:t>Kaplan-Meier estimator</w:t>
            </w:r>
            <w:r w:rsidRPr="006F3374">
              <w:rPr>
                <w:rFonts w:ascii="Arial" w:hAnsi="Arial" w:cs="Arial"/>
                <w:kern w:val="2"/>
                <w:sz w:val="20"/>
                <w:szCs w:val="16"/>
              </w:rPr>
              <w:br/>
              <w:t>Follow-up: 27.6-56 months</w:t>
            </w:r>
          </w:p>
        </w:tc>
        <w:tc>
          <w:tcPr>
            <w:tcW w:w="1591" w:type="pct"/>
            <w:gridSpan w:val="3"/>
            <w:tcBorders>
              <w:top w:val="single" w:sz="4" w:space="0" w:color="auto"/>
              <w:left w:val="nil"/>
              <w:right w:val="nil"/>
            </w:tcBorders>
            <w:shd w:val="clear" w:color="auto" w:fill="auto"/>
            <w:tcMar>
              <w:top w:w="45" w:type="dxa"/>
              <w:left w:w="45" w:type="dxa"/>
              <w:bottom w:w="45" w:type="dxa"/>
              <w:right w:w="45" w:type="dxa"/>
            </w:tcMar>
            <w:vAlign w:val="cente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Moderate</w:t>
            </w:r>
          </w:p>
        </w:tc>
        <w:tc>
          <w:tcPr>
            <w:tcW w:w="605" w:type="pct"/>
            <w:vMerge w:val="restart"/>
            <w:tcBorders>
              <w:top w:val="single" w:sz="4" w:space="0" w:color="auto"/>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 xml:space="preserve">HR 0.83 </w:t>
            </w:r>
            <w:r w:rsidRPr="006F3374">
              <w:rPr>
                <w:rFonts w:ascii="Arial" w:hAnsi="Arial" w:cs="Arial"/>
                <w:kern w:val="2"/>
                <w:sz w:val="20"/>
                <w:szCs w:val="16"/>
              </w:rPr>
              <w:br/>
              <w:t>(0.71 to 0.96)</w:t>
            </w:r>
          </w:p>
        </w:tc>
        <w:tc>
          <w:tcPr>
            <w:tcW w:w="558" w:type="pct"/>
            <w:vMerge w:val="restart"/>
            <w:tcBorders>
              <w:top w:val="single" w:sz="4" w:space="0" w:color="auto"/>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1007</w:t>
            </w:r>
            <w:r w:rsidRPr="006F3374">
              <w:rPr>
                <w:rFonts w:ascii="Arial" w:hAnsi="Arial" w:cs="Arial"/>
                <w:kern w:val="2"/>
                <w:sz w:val="20"/>
                <w:szCs w:val="16"/>
              </w:rPr>
              <w:br/>
              <w:t>(5 studies)</w:t>
            </w:r>
          </w:p>
        </w:tc>
        <w:tc>
          <w:tcPr>
            <w:tcW w:w="463" w:type="pct"/>
            <w:vMerge w:val="restart"/>
            <w:tcBorders>
              <w:top w:val="single" w:sz="4" w:space="0" w:color="auto"/>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微软雅黑" w:eastAsia="微软雅黑" w:hAnsi="微软雅黑" w:cs="微软雅黑" w:hint="eastAsia"/>
                <w:kern w:val="2"/>
                <w:sz w:val="20"/>
                <w:szCs w:val="16"/>
              </w:rPr>
              <w:t>⊕⊕⊕</w:t>
            </w:r>
            <w:r w:rsidRPr="006F3374">
              <w:rPr>
                <w:rFonts w:ascii="Cambria Math" w:hAnsi="Cambria Math" w:cs="Cambria Math"/>
                <w:kern w:val="2"/>
                <w:sz w:val="20"/>
                <w:szCs w:val="16"/>
              </w:rPr>
              <w:t>⊝</w:t>
            </w:r>
            <w:r w:rsidRPr="006F3374">
              <w:rPr>
                <w:rFonts w:ascii="Arial" w:hAnsi="Arial" w:cs="Arial"/>
                <w:kern w:val="2"/>
                <w:sz w:val="20"/>
                <w:szCs w:val="16"/>
              </w:rPr>
              <w:br/>
            </w:r>
            <w:r w:rsidRPr="006F3374">
              <w:rPr>
                <w:rFonts w:ascii="Arial" w:hAnsi="Arial" w:cs="Arial"/>
                <w:b/>
                <w:bCs/>
                <w:kern w:val="2"/>
                <w:sz w:val="20"/>
                <w:szCs w:val="16"/>
              </w:rPr>
              <w:t>moderate</w:t>
            </w:r>
          </w:p>
        </w:tc>
        <w:tc>
          <w:tcPr>
            <w:tcW w:w="0" w:type="auto"/>
            <w:vMerge w:val="restart"/>
            <w:tcBorders>
              <w:top w:val="single" w:sz="4" w:space="0" w:color="auto"/>
              <w:left w:val="nil"/>
              <w:right w:val="nil"/>
            </w:tcBorders>
            <w:shd w:val="clear" w:color="auto" w:fill="auto"/>
            <w:tcMar>
              <w:top w:w="15" w:type="dxa"/>
              <w:left w:w="15" w:type="dxa"/>
              <w:bottom w:w="15" w:type="dxa"/>
              <w:right w:w="15" w:type="dxa"/>
            </w:tcMar>
            <w:hideMark/>
          </w:tcPr>
          <w:p w:rsidR="000609B0" w:rsidRPr="006F3374" w:rsidRDefault="000609B0" w:rsidP="000609B0">
            <w:pPr>
              <w:rPr>
                <w:rFonts w:ascii="Arial" w:hAnsi="Arial" w:cs="Arial"/>
                <w:sz w:val="20"/>
                <w:szCs w:val="16"/>
              </w:rPr>
            </w:pPr>
          </w:p>
        </w:tc>
      </w:tr>
      <w:tr w:rsidR="000609B0" w:rsidRPr="006F3374" w:rsidTr="000609B0">
        <w:tc>
          <w:tcPr>
            <w:tcW w:w="1308" w:type="pct"/>
            <w:vMerge/>
            <w:tcBorders>
              <w:left w:val="nil"/>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551"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widowControl/>
              <w:jc w:val="left"/>
              <w:rPr>
                <w:rFonts w:ascii="Arial" w:eastAsia="等线" w:hAnsi="Arial" w:cs="Arial"/>
                <w:kern w:val="0"/>
                <w:sz w:val="20"/>
                <w:szCs w:val="20"/>
              </w:rPr>
            </w:pPr>
            <w:r w:rsidRPr="006F3374">
              <w:rPr>
                <w:rFonts w:ascii="Arial" w:eastAsia="等线" w:hAnsi="Arial" w:cs="Arial"/>
                <w:kern w:val="0"/>
                <w:sz w:val="20"/>
                <w:szCs w:val="20"/>
              </w:rPr>
              <w:t>NA</w:t>
            </w:r>
          </w:p>
        </w:tc>
        <w:tc>
          <w:tcPr>
            <w:tcW w:w="1040" w:type="pct"/>
            <w:gridSpan w:val="2"/>
            <w:tcBorders>
              <w:left w:val="nil"/>
              <w:right w:val="nil"/>
            </w:tcBorders>
            <w:shd w:val="clear" w:color="auto" w:fill="auto"/>
            <w:tcMar>
              <w:top w:w="15" w:type="dxa"/>
              <w:left w:w="15" w:type="dxa"/>
              <w:bottom w:w="15" w:type="dxa"/>
              <w:right w:w="15" w:type="dxa"/>
            </w:tcMar>
            <w:hideMark/>
          </w:tcPr>
          <w:p w:rsidR="000609B0" w:rsidRPr="006F3374" w:rsidRDefault="000609B0" w:rsidP="000609B0">
            <w:pPr>
              <w:widowControl/>
              <w:jc w:val="left"/>
              <w:rPr>
                <w:rFonts w:ascii="Arial" w:eastAsia="等线" w:hAnsi="Arial" w:cs="Arial"/>
                <w:kern w:val="0"/>
                <w:sz w:val="20"/>
                <w:szCs w:val="20"/>
              </w:rPr>
            </w:pPr>
            <w:r w:rsidRPr="006F3374">
              <w:rPr>
                <w:rFonts w:ascii="Arial" w:eastAsia="等线" w:hAnsi="Arial" w:cs="Arial"/>
                <w:kern w:val="0"/>
                <w:sz w:val="20"/>
                <w:szCs w:val="20"/>
              </w:rPr>
              <w:t>NA</w:t>
            </w:r>
          </w:p>
        </w:tc>
        <w:tc>
          <w:tcPr>
            <w:tcW w:w="605" w:type="pct"/>
            <w:vMerge/>
            <w:tcBorders>
              <w:left w:val="nil"/>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558" w:type="pct"/>
            <w:vMerge/>
            <w:tcBorders>
              <w:left w:val="nil"/>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463" w:type="pct"/>
            <w:vMerge/>
            <w:tcBorders>
              <w:left w:val="nil"/>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0" w:type="auto"/>
            <w:vMerge/>
            <w:tcBorders>
              <w:left w:val="nil"/>
              <w:right w:val="nil"/>
            </w:tcBorders>
            <w:shd w:val="clear" w:color="auto" w:fill="auto"/>
            <w:vAlign w:val="center"/>
            <w:hideMark/>
          </w:tcPr>
          <w:p w:rsidR="000609B0" w:rsidRPr="006F3374" w:rsidRDefault="000609B0" w:rsidP="000609B0">
            <w:pPr>
              <w:widowControl/>
              <w:jc w:val="left"/>
              <w:rPr>
                <w:rFonts w:ascii="Arial" w:hAnsi="Arial" w:cs="Arial"/>
                <w:sz w:val="20"/>
                <w:szCs w:val="16"/>
              </w:rPr>
            </w:pPr>
          </w:p>
        </w:tc>
      </w:tr>
      <w:tr w:rsidR="000609B0" w:rsidRPr="006F3374" w:rsidTr="000609B0">
        <w:tc>
          <w:tcPr>
            <w:tcW w:w="1308"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Overall Survival (RCT)</w:t>
            </w:r>
            <w:r w:rsidRPr="006F3374">
              <w:rPr>
                <w:rFonts w:ascii="Arial" w:hAnsi="Arial" w:cs="Arial"/>
                <w:kern w:val="2"/>
                <w:sz w:val="20"/>
                <w:szCs w:val="16"/>
              </w:rPr>
              <w:br/>
              <w:t>Kaplan-Meier estimator. Scale from: 0.28 to 2.18.</w:t>
            </w:r>
            <w:r w:rsidRPr="006F3374">
              <w:rPr>
                <w:rFonts w:ascii="Arial" w:hAnsi="Arial" w:cs="Arial"/>
                <w:kern w:val="2"/>
                <w:sz w:val="20"/>
                <w:szCs w:val="16"/>
              </w:rPr>
              <w:br/>
              <w:t>Follow-up: 12-70 months</w:t>
            </w:r>
          </w:p>
        </w:tc>
        <w:tc>
          <w:tcPr>
            <w:tcW w:w="551"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NA</w:t>
            </w:r>
          </w:p>
        </w:tc>
        <w:tc>
          <w:tcPr>
            <w:tcW w:w="1040" w:type="pct"/>
            <w:gridSpan w:val="2"/>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NA</w:t>
            </w:r>
          </w:p>
        </w:tc>
        <w:tc>
          <w:tcPr>
            <w:tcW w:w="605"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H</w:t>
            </w:r>
            <w:r>
              <w:rPr>
                <w:rFonts w:ascii="Arial" w:hAnsi="Arial" w:cs="Arial"/>
                <w:b/>
                <w:bCs/>
                <w:kern w:val="2"/>
                <w:sz w:val="20"/>
                <w:szCs w:val="16"/>
              </w:rPr>
              <w:t>R 0.82</w:t>
            </w:r>
            <w:r w:rsidRPr="006F3374">
              <w:rPr>
                <w:rFonts w:ascii="Arial" w:hAnsi="Arial" w:cs="Arial"/>
                <w:b/>
                <w:bCs/>
                <w:kern w:val="2"/>
                <w:sz w:val="20"/>
                <w:szCs w:val="16"/>
              </w:rPr>
              <w:t xml:space="preserve"> </w:t>
            </w:r>
            <w:r>
              <w:rPr>
                <w:rFonts w:ascii="Arial" w:hAnsi="Arial" w:cs="Arial"/>
                <w:kern w:val="2"/>
                <w:sz w:val="20"/>
                <w:szCs w:val="16"/>
              </w:rPr>
              <w:br/>
              <w:t>(0.74 to 0.90</w:t>
            </w:r>
            <w:r w:rsidRPr="006F3374">
              <w:rPr>
                <w:rFonts w:ascii="Arial" w:hAnsi="Arial" w:cs="Arial"/>
                <w:kern w:val="2"/>
                <w:sz w:val="20"/>
                <w:szCs w:val="16"/>
              </w:rPr>
              <w:t>)</w:t>
            </w:r>
          </w:p>
        </w:tc>
        <w:tc>
          <w:tcPr>
            <w:tcW w:w="558"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1490</w:t>
            </w:r>
            <w:r w:rsidRPr="006F3374">
              <w:rPr>
                <w:rFonts w:ascii="Arial" w:hAnsi="Arial" w:cs="Arial"/>
                <w:kern w:val="2"/>
                <w:sz w:val="20"/>
                <w:szCs w:val="16"/>
              </w:rPr>
              <w:br/>
              <w:t>(14 studies)</w:t>
            </w:r>
          </w:p>
        </w:tc>
        <w:tc>
          <w:tcPr>
            <w:tcW w:w="463"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微软雅黑" w:eastAsia="微软雅黑" w:hAnsi="微软雅黑" w:cs="微软雅黑" w:hint="eastAsia"/>
                <w:kern w:val="2"/>
                <w:sz w:val="20"/>
                <w:szCs w:val="16"/>
              </w:rPr>
              <w:t>⊕⊕⊕⊕</w:t>
            </w:r>
            <w:r w:rsidRPr="006F3374">
              <w:rPr>
                <w:rFonts w:ascii="Arial" w:hAnsi="Arial" w:cs="Arial"/>
                <w:kern w:val="2"/>
                <w:sz w:val="20"/>
                <w:szCs w:val="16"/>
              </w:rPr>
              <w:br/>
            </w:r>
            <w:r w:rsidRPr="006F3374">
              <w:rPr>
                <w:rFonts w:ascii="Arial" w:hAnsi="Arial" w:cs="Arial"/>
                <w:b/>
                <w:bCs/>
                <w:kern w:val="2"/>
                <w:sz w:val="20"/>
                <w:szCs w:val="16"/>
              </w:rPr>
              <w:t>high</w:t>
            </w:r>
          </w:p>
        </w:tc>
        <w:tc>
          <w:tcPr>
            <w:tcW w:w="0" w:type="auto"/>
            <w:tcBorders>
              <w:left w:val="nil"/>
              <w:right w:val="nil"/>
            </w:tcBorders>
            <w:shd w:val="clear" w:color="auto" w:fill="auto"/>
            <w:tcMar>
              <w:top w:w="15" w:type="dxa"/>
              <w:left w:w="15" w:type="dxa"/>
              <w:bottom w:w="15" w:type="dxa"/>
              <w:right w:w="15" w:type="dxa"/>
            </w:tcMar>
            <w:hideMark/>
          </w:tcPr>
          <w:p w:rsidR="000609B0" w:rsidRPr="006F3374" w:rsidRDefault="000609B0" w:rsidP="000609B0">
            <w:pPr>
              <w:rPr>
                <w:rFonts w:ascii="Arial" w:hAnsi="Arial" w:cs="Arial"/>
                <w:sz w:val="20"/>
                <w:szCs w:val="16"/>
              </w:rPr>
            </w:pPr>
          </w:p>
        </w:tc>
      </w:tr>
      <w:tr w:rsidR="000609B0" w:rsidRPr="006F3374" w:rsidTr="000609B0">
        <w:tc>
          <w:tcPr>
            <w:tcW w:w="1308"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Progression-free Survival (RCT)</w:t>
            </w:r>
            <w:r w:rsidRPr="006F3374">
              <w:rPr>
                <w:rFonts w:ascii="Arial" w:hAnsi="Arial" w:cs="Arial"/>
                <w:kern w:val="2"/>
                <w:sz w:val="20"/>
                <w:szCs w:val="16"/>
              </w:rPr>
              <w:br/>
              <w:t>Kaplan-Meier estimator. Scale from: 0.12 to 1.80.</w:t>
            </w:r>
            <w:r w:rsidRPr="006F3374">
              <w:rPr>
                <w:rFonts w:ascii="Arial" w:hAnsi="Arial" w:cs="Arial"/>
                <w:kern w:val="2"/>
                <w:sz w:val="20"/>
                <w:szCs w:val="16"/>
              </w:rPr>
              <w:br/>
              <w:t>Follow-up: 14-60 months</w:t>
            </w:r>
          </w:p>
        </w:tc>
        <w:tc>
          <w:tcPr>
            <w:tcW w:w="551"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NA</w:t>
            </w:r>
          </w:p>
        </w:tc>
        <w:tc>
          <w:tcPr>
            <w:tcW w:w="1040" w:type="pct"/>
            <w:gridSpan w:val="2"/>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NA</w:t>
            </w:r>
          </w:p>
        </w:tc>
        <w:tc>
          <w:tcPr>
            <w:tcW w:w="605"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H</w:t>
            </w:r>
            <w:r>
              <w:rPr>
                <w:rFonts w:ascii="Arial" w:hAnsi="Arial" w:cs="Arial"/>
                <w:b/>
                <w:bCs/>
                <w:kern w:val="2"/>
                <w:sz w:val="20"/>
                <w:szCs w:val="16"/>
              </w:rPr>
              <w:t>R 0.68</w:t>
            </w:r>
            <w:r w:rsidRPr="006F3374">
              <w:rPr>
                <w:rFonts w:ascii="Arial" w:hAnsi="Arial" w:cs="Arial"/>
                <w:b/>
                <w:bCs/>
                <w:kern w:val="2"/>
                <w:sz w:val="20"/>
                <w:szCs w:val="16"/>
              </w:rPr>
              <w:t xml:space="preserve"> </w:t>
            </w:r>
            <w:r>
              <w:rPr>
                <w:rFonts w:ascii="Arial" w:hAnsi="Arial" w:cs="Arial"/>
                <w:kern w:val="2"/>
                <w:sz w:val="20"/>
                <w:szCs w:val="16"/>
              </w:rPr>
              <w:br/>
              <w:t>(0.53 to 0.88</w:t>
            </w:r>
            <w:r w:rsidRPr="006F3374">
              <w:rPr>
                <w:rFonts w:ascii="Arial" w:hAnsi="Arial" w:cs="Arial"/>
                <w:kern w:val="2"/>
                <w:sz w:val="20"/>
                <w:szCs w:val="16"/>
              </w:rPr>
              <w:t>)</w:t>
            </w:r>
          </w:p>
        </w:tc>
        <w:tc>
          <w:tcPr>
            <w:tcW w:w="558"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371</w:t>
            </w:r>
            <w:r w:rsidRPr="006F3374">
              <w:rPr>
                <w:rFonts w:ascii="Arial" w:hAnsi="Arial" w:cs="Arial"/>
                <w:kern w:val="2"/>
                <w:sz w:val="20"/>
                <w:szCs w:val="16"/>
              </w:rPr>
              <w:br/>
              <w:t>(7 studies)</w:t>
            </w:r>
          </w:p>
        </w:tc>
        <w:tc>
          <w:tcPr>
            <w:tcW w:w="463" w:type="pc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微软雅黑" w:eastAsia="微软雅黑" w:hAnsi="微软雅黑" w:cs="微软雅黑" w:hint="eastAsia"/>
                <w:kern w:val="2"/>
                <w:sz w:val="20"/>
                <w:szCs w:val="16"/>
              </w:rPr>
              <w:t>⊕⊕⊕⊕</w:t>
            </w:r>
            <w:r w:rsidRPr="006F3374">
              <w:rPr>
                <w:rFonts w:ascii="Arial" w:hAnsi="Arial" w:cs="Arial"/>
                <w:kern w:val="2"/>
                <w:sz w:val="20"/>
                <w:szCs w:val="16"/>
              </w:rPr>
              <w:br/>
            </w:r>
            <w:r w:rsidRPr="006F3374">
              <w:rPr>
                <w:rFonts w:ascii="Arial" w:hAnsi="Arial" w:cs="Arial"/>
                <w:b/>
                <w:bCs/>
                <w:kern w:val="2"/>
                <w:sz w:val="20"/>
                <w:szCs w:val="16"/>
              </w:rPr>
              <w:t>high</w:t>
            </w:r>
          </w:p>
        </w:tc>
        <w:tc>
          <w:tcPr>
            <w:tcW w:w="0" w:type="auto"/>
            <w:tcBorders>
              <w:left w:val="nil"/>
              <w:right w:val="nil"/>
            </w:tcBorders>
            <w:shd w:val="clear" w:color="auto" w:fill="auto"/>
            <w:tcMar>
              <w:top w:w="15" w:type="dxa"/>
              <w:left w:w="15" w:type="dxa"/>
              <w:bottom w:w="15" w:type="dxa"/>
              <w:right w:w="15" w:type="dxa"/>
            </w:tcMar>
            <w:hideMark/>
          </w:tcPr>
          <w:p w:rsidR="000609B0" w:rsidRPr="006F3374" w:rsidRDefault="000609B0" w:rsidP="000609B0">
            <w:pPr>
              <w:rPr>
                <w:rFonts w:ascii="Arial" w:hAnsi="Arial" w:cs="Arial"/>
                <w:sz w:val="20"/>
                <w:szCs w:val="16"/>
              </w:rPr>
            </w:pPr>
          </w:p>
        </w:tc>
      </w:tr>
      <w:tr w:rsidR="000609B0" w:rsidRPr="006F3374" w:rsidTr="000609B0">
        <w:tc>
          <w:tcPr>
            <w:tcW w:w="1308" w:type="pct"/>
            <w:vMerge w:val="restar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Objective Response Rate (RCT)</w:t>
            </w:r>
            <w:r w:rsidRPr="006F3374">
              <w:rPr>
                <w:rFonts w:ascii="Arial" w:hAnsi="Arial" w:cs="Arial"/>
                <w:kern w:val="2"/>
                <w:sz w:val="20"/>
                <w:szCs w:val="16"/>
              </w:rPr>
              <w:br/>
              <w:t>Tumor Control</w:t>
            </w:r>
            <w:r w:rsidRPr="006F3374">
              <w:rPr>
                <w:rFonts w:ascii="Arial" w:hAnsi="Arial" w:cs="Arial"/>
                <w:kern w:val="2"/>
                <w:sz w:val="20"/>
                <w:szCs w:val="16"/>
              </w:rPr>
              <w:br/>
              <w:t>Follow-up: 24-70 months</w:t>
            </w:r>
          </w:p>
        </w:tc>
        <w:tc>
          <w:tcPr>
            <w:tcW w:w="1591" w:type="pct"/>
            <w:gridSpan w:val="3"/>
            <w:tcBorders>
              <w:left w:val="nil"/>
              <w:right w:val="nil"/>
            </w:tcBorders>
            <w:shd w:val="clear" w:color="auto" w:fill="auto"/>
            <w:tcMar>
              <w:top w:w="45" w:type="dxa"/>
              <w:left w:w="45" w:type="dxa"/>
              <w:bottom w:w="45" w:type="dxa"/>
              <w:right w:w="45" w:type="dxa"/>
            </w:tcMar>
            <w:vAlign w:val="cente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Study population</w:t>
            </w:r>
          </w:p>
        </w:tc>
        <w:tc>
          <w:tcPr>
            <w:tcW w:w="605" w:type="pct"/>
            <w:vMerge w:val="restar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 xml:space="preserve">RR 2.13 </w:t>
            </w:r>
            <w:r w:rsidRPr="006F3374">
              <w:rPr>
                <w:rFonts w:ascii="Arial" w:hAnsi="Arial" w:cs="Arial"/>
                <w:kern w:val="2"/>
                <w:sz w:val="20"/>
                <w:szCs w:val="16"/>
              </w:rPr>
              <w:br/>
              <w:t>(1.56 to 2.92)</w:t>
            </w:r>
          </w:p>
        </w:tc>
        <w:tc>
          <w:tcPr>
            <w:tcW w:w="558" w:type="pct"/>
            <w:vMerge w:val="restar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kern w:val="2"/>
                <w:sz w:val="20"/>
                <w:szCs w:val="16"/>
              </w:rPr>
              <w:t>604</w:t>
            </w:r>
            <w:r w:rsidRPr="006F3374">
              <w:rPr>
                <w:rFonts w:ascii="Arial" w:hAnsi="Arial" w:cs="Arial"/>
                <w:kern w:val="2"/>
                <w:sz w:val="20"/>
                <w:szCs w:val="16"/>
              </w:rPr>
              <w:br/>
              <w:t>(5 studies)</w:t>
            </w:r>
          </w:p>
        </w:tc>
        <w:tc>
          <w:tcPr>
            <w:tcW w:w="463" w:type="pct"/>
            <w:vMerge w:val="restart"/>
            <w:tcBorders>
              <w:left w:val="nil"/>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微软雅黑" w:eastAsia="微软雅黑" w:hAnsi="微软雅黑" w:cs="微软雅黑" w:hint="eastAsia"/>
                <w:kern w:val="2"/>
                <w:sz w:val="20"/>
                <w:szCs w:val="16"/>
              </w:rPr>
              <w:t>⊕⊕⊕⊕</w:t>
            </w:r>
            <w:r w:rsidRPr="006F3374">
              <w:rPr>
                <w:rFonts w:ascii="Arial" w:hAnsi="Arial" w:cs="Arial"/>
                <w:kern w:val="2"/>
                <w:sz w:val="20"/>
                <w:szCs w:val="16"/>
              </w:rPr>
              <w:br/>
            </w:r>
            <w:r w:rsidRPr="006F3374">
              <w:rPr>
                <w:rFonts w:ascii="Arial" w:hAnsi="Arial" w:cs="Arial"/>
                <w:b/>
                <w:bCs/>
                <w:kern w:val="2"/>
                <w:sz w:val="20"/>
                <w:szCs w:val="16"/>
              </w:rPr>
              <w:t>high</w:t>
            </w:r>
          </w:p>
        </w:tc>
        <w:tc>
          <w:tcPr>
            <w:tcW w:w="0" w:type="auto"/>
            <w:vMerge w:val="restart"/>
            <w:tcBorders>
              <w:left w:val="nil"/>
              <w:right w:val="nil"/>
            </w:tcBorders>
            <w:shd w:val="clear" w:color="auto" w:fill="auto"/>
            <w:tcMar>
              <w:top w:w="15" w:type="dxa"/>
              <w:left w:w="15" w:type="dxa"/>
              <w:bottom w:w="15" w:type="dxa"/>
              <w:right w:w="15" w:type="dxa"/>
            </w:tcMar>
            <w:hideMark/>
          </w:tcPr>
          <w:p w:rsidR="000609B0" w:rsidRPr="006F3374" w:rsidRDefault="000609B0" w:rsidP="000609B0">
            <w:pPr>
              <w:rPr>
                <w:rFonts w:ascii="Arial" w:hAnsi="Arial" w:cs="Arial"/>
                <w:sz w:val="20"/>
                <w:szCs w:val="16"/>
              </w:rPr>
            </w:pPr>
          </w:p>
        </w:tc>
      </w:tr>
      <w:tr w:rsidR="000609B0" w:rsidRPr="006F3374" w:rsidTr="000609B0">
        <w:tc>
          <w:tcPr>
            <w:tcW w:w="1308" w:type="pct"/>
            <w:vMerge/>
            <w:tcBorders>
              <w:left w:val="nil"/>
              <w:bottom w:val="single" w:sz="4" w:space="0" w:color="auto"/>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551" w:type="pct"/>
            <w:tcBorders>
              <w:left w:val="nil"/>
              <w:bottom w:val="single" w:sz="4" w:space="0" w:color="auto"/>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169 per 1000</w:t>
            </w:r>
          </w:p>
        </w:tc>
        <w:tc>
          <w:tcPr>
            <w:tcW w:w="1040" w:type="pct"/>
            <w:gridSpan w:val="2"/>
            <w:tcBorders>
              <w:left w:val="nil"/>
              <w:bottom w:val="single" w:sz="4" w:space="0" w:color="auto"/>
              <w:right w:val="nil"/>
            </w:tcBorders>
            <w:shd w:val="clear" w:color="auto" w:fill="auto"/>
            <w:tcMar>
              <w:top w:w="15" w:type="dxa"/>
              <w:left w:w="15" w:type="dxa"/>
              <w:bottom w:w="15" w:type="dxa"/>
              <w:right w:w="15" w:type="dxa"/>
            </w:tcMa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361 per 1000</w:t>
            </w:r>
            <w:r w:rsidRPr="006F3374">
              <w:rPr>
                <w:rFonts w:ascii="Arial" w:hAnsi="Arial" w:cs="Arial"/>
                <w:kern w:val="2"/>
                <w:sz w:val="20"/>
                <w:szCs w:val="16"/>
              </w:rPr>
              <w:br/>
              <w:t>(264 to 495)</w:t>
            </w:r>
          </w:p>
        </w:tc>
        <w:tc>
          <w:tcPr>
            <w:tcW w:w="605" w:type="pct"/>
            <w:vMerge/>
            <w:tcBorders>
              <w:left w:val="nil"/>
              <w:bottom w:val="single" w:sz="4" w:space="0" w:color="auto"/>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558" w:type="pct"/>
            <w:vMerge/>
            <w:tcBorders>
              <w:left w:val="nil"/>
              <w:bottom w:val="single" w:sz="4" w:space="0" w:color="auto"/>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463" w:type="pct"/>
            <w:vMerge/>
            <w:tcBorders>
              <w:left w:val="nil"/>
              <w:bottom w:val="single" w:sz="4" w:space="0" w:color="auto"/>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0" w:type="auto"/>
            <w:vMerge/>
            <w:tcBorders>
              <w:left w:val="nil"/>
              <w:bottom w:val="single" w:sz="4" w:space="0" w:color="auto"/>
              <w:right w:val="nil"/>
            </w:tcBorders>
            <w:shd w:val="clear" w:color="auto" w:fill="auto"/>
            <w:vAlign w:val="center"/>
            <w:hideMark/>
          </w:tcPr>
          <w:p w:rsidR="000609B0" w:rsidRPr="006F3374" w:rsidRDefault="000609B0" w:rsidP="000609B0">
            <w:pPr>
              <w:widowControl/>
              <w:jc w:val="left"/>
              <w:rPr>
                <w:rFonts w:ascii="Arial" w:hAnsi="Arial" w:cs="Arial"/>
                <w:sz w:val="20"/>
                <w:szCs w:val="16"/>
              </w:rPr>
            </w:pPr>
          </w:p>
        </w:tc>
      </w:tr>
      <w:tr w:rsidR="000609B0" w:rsidRPr="006F3374" w:rsidTr="000609B0">
        <w:tc>
          <w:tcPr>
            <w:tcW w:w="1308" w:type="pct"/>
            <w:vMerge/>
            <w:tcBorders>
              <w:top w:val="single" w:sz="4" w:space="0" w:color="auto"/>
              <w:left w:val="nil"/>
              <w:bottom w:val="single" w:sz="6" w:space="0" w:color="000000"/>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1591" w:type="pct"/>
            <w:gridSpan w:val="3"/>
            <w:tcBorders>
              <w:top w:val="single" w:sz="4" w:space="0" w:color="auto"/>
              <w:left w:val="nil"/>
              <w:bottom w:val="single" w:sz="6" w:space="0" w:color="000000"/>
              <w:right w:val="nil"/>
            </w:tcBorders>
            <w:shd w:val="clear" w:color="auto" w:fill="auto"/>
            <w:tcMar>
              <w:top w:w="45" w:type="dxa"/>
              <w:left w:w="45" w:type="dxa"/>
              <w:bottom w:w="45" w:type="dxa"/>
              <w:right w:w="45" w:type="dxa"/>
            </w:tcMar>
            <w:vAlign w:val="center"/>
            <w:hideMark/>
          </w:tcPr>
          <w:p w:rsidR="000609B0" w:rsidRPr="006F3374" w:rsidRDefault="000609B0" w:rsidP="000609B0">
            <w:pPr>
              <w:pStyle w:val="a3"/>
              <w:rPr>
                <w:rFonts w:ascii="Arial" w:hAnsi="Arial" w:cs="Arial"/>
                <w:kern w:val="2"/>
                <w:sz w:val="20"/>
                <w:szCs w:val="16"/>
              </w:rPr>
            </w:pPr>
            <w:r w:rsidRPr="006F3374">
              <w:rPr>
                <w:rFonts w:ascii="Arial" w:hAnsi="Arial" w:cs="Arial"/>
                <w:b/>
                <w:bCs/>
                <w:kern w:val="2"/>
                <w:sz w:val="20"/>
                <w:szCs w:val="16"/>
              </w:rPr>
              <w:t>Moderate</w:t>
            </w:r>
          </w:p>
        </w:tc>
        <w:tc>
          <w:tcPr>
            <w:tcW w:w="605" w:type="pct"/>
            <w:vMerge/>
            <w:tcBorders>
              <w:top w:val="single" w:sz="4" w:space="0" w:color="auto"/>
              <w:left w:val="nil"/>
              <w:bottom w:val="single" w:sz="6" w:space="0" w:color="000000"/>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558" w:type="pct"/>
            <w:vMerge/>
            <w:tcBorders>
              <w:top w:val="single" w:sz="4" w:space="0" w:color="auto"/>
              <w:left w:val="nil"/>
              <w:bottom w:val="single" w:sz="6" w:space="0" w:color="000000"/>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463" w:type="pct"/>
            <w:vMerge/>
            <w:tcBorders>
              <w:top w:val="single" w:sz="4" w:space="0" w:color="auto"/>
              <w:left w:val="nil"/>
              <w:bottom w:val="single" w:sz="6" w:space="0" w:color="000000"/>
              <w:right w:val="nil"/>
            </w:tcBorders>
            <w:shd w:val="clear" w:color="auto" w:fill="auto"/>
            <w:vAlign w:val="center"/>
            <w:hideMark/>
          </w:tcPr>
          <w:p w:rsidR="000609B0" w:rsidRPr="006F3374" w:rsidRDefault="000609B0" w:rsidP="000609B0">
            <w:pPr>
              <w:widowControl/>
              <w:jc w:val="left"/>
              <w:rPr>
                <w:rFonts w:ascii="Arial" w:eastAsia="宋体" w:hAnsi="Arial" w:cs="Arial"/>
                <w:sz w:val="20"/>
                <w:szCs w:val="16"/>
              </w:rPr>
            </w:pPr>
          </w:p>
        </w:tc>
        <w:tc>
          <w:tcPr>
            <w:tcW w:w="0" w:type="auto"/>
            <w:vMerge/>
            <w:tcBorders>
              <w:top w:val="single" w:sz="4" w:space="0" w:color="auto"/>
              <w:left w:val="nil"/>
              <w:bottom w:val="single" w:sz="6" w:space="0" w:color="000000"/>
              <w:right w:val="nil"/>
            </w:tcBorders>
            <w:shd w:val="clear" w:color="auto" w:fill="auto"/>
            <w:vAlign w:val="center"/>
            <w:hideMark/>
          </w:tcPr>
          <w:p w:rsidR="000609B0" w:rsidRPr="006F3374" w:rsidRDefault="000609B0" w:rsidP="000609B0">
            <w:pPr>
              <w:widowControl/>
              <w:jc w:val="left"/>
              <w:rPr>
                <w:rFonts w:ascii="Arial" w:hAnsi="Arial" w:cs="Arial"/>
                <w:sz w:val="20"/>
                <w:szCs w:val="16"/>
              </w:rPr>
            </w:pPr>
          </w:p>
        </w:tc>
      </w:tr>
      <w:tr w:rsidR="000609B0" w:rsidRPr="006F3374" w:rsidTr="000609B0">
        <w:tc>
          <w:tcPr>
            <w:tcW w:w="0" w:type="auto"/>
            <w:gridSpan w:val="8"/>
            <w:tcBorders>
              <w:top w:val="single" w:sz="12" w:space="0" w:color="000000"/>
              <w:left w:val="nil"/>
              <w:bottom w:val="single" w:sz="12" w:space="0" w:color="000000"/>
              <w:right w:val="nil"/>
            </w:tcBorders>
            <w:shd w:val="clear" w:color="auto" w:fill="auto"/>
            <w:tcMar>
              <w:top w:w="15" w:type="dxa"/>
              <w:left w:w="15" w:type="dxa"/>
              <w:bottom w:w="15" w:type="dxa"/>
              <w:right w:w="15" w:type="dxa"/>
            </w:tcMar>
            <w:vAlign w:val="center"/>
            <w:hideMark/>
          </w:tcPr>
          <w:p w:rsidR="000609B0" w:rsidRPr="006F3374" w:rsidRDefault="000609B0" w:rsidP="000609B0">
            <w:pPr>
              <w:rPr>
                <w:rFonts w:ascii="Arial" w:eastAsia="宋体" w:hAnsi="Arial" w:cs="Arial"/>
                <w:sz w:val="20"/>
                <w:szCs w:val="16"/>
              </w:rPr>
            </w:pPr>
            <w:r w:rsidRPr="006F3374">
              <w:rPr>
                <w:rFonts w:ascii="Arial" w:hAnsi="Arial" w:cs="Arial"/>
                <w:sz w:val="20"/>
                <w:szCs w:val="16"/>
              </w:rPr>
              <w:t xml:space="preserve">*The basis for the </w:t>
            </w:r>
            <w:r w:rsidRPr="006F3374">
              <w:rPr>
                <w:rFonts w:ascii="Arial" w:hAnsi="Arial" w:cs="Arial"/>
                <w:b/>
                <w:bCs/>
                <w:sz w:val="20"/>
                <w:szCs w:val="16"/>
              </w:rPr>
              <w:t>assumed risk</w:t>
            </w:r>
            <w:r w:rsidRPr="006F3374">
              <w:rPr>
                <w:rFonts w:ascii="Arial" w:hAnsi="Arial" w:cs="Arial"/>
                <w:sz w:val="20"/>
                <w:szCs w:val="16"/>
              </w:rPr>
              <w:t xml:space="preserve"> (e.g. the median control group risk across studies) is provided in footnotes. The </w:t>
            </w:r>
            <w:r w:rsidRPr="006F3374">
              <w:rPr>
                <w:rFonts w:ascii="Arial" w:hAnsi="Arial" w:cs="Arial"/>
                <w:b/>
                <w:bCs/>
                <w:sz w:val="20"/>
                <w:szCs w:val="16"/>
              </w:rPr>
              <w:t>corresponding risk</w:t>
            </w:r>
            <w:r w:rsidRPr="006F3374">
              <w:rPr>
                <w:rFonts w:ascii="Arial" w:hAnsi="Arial" w:cs="Arial"/>
                <w:sz w:val="20"/>
                <w:szCs w:val="16"/>
              </w:rPr>
              <w:t xml:space="preserve"> (and its 95% confidence interval) is based on the assumed risk in the comparison group and the </w:t>
            </w:r>
            <w:r w:rsidRPr="006F3374">
              <w:rPr>
                <w:rFonts w:ascii="Arial" w:hAnsi="Arial" w:cs="Arial"/>
                <w:b/>
                <w:bCs/>
                <w:sz w:val="20"/>
                <w:szCs w:val="16"/>
              </w:rPr>
              <w:t>relative effect</w:t>
            </w:r>
            <w:r w:rsidRPr="006F3374">
              <w:rPr>
                <w:rFonts w:ascii="Arial" w:hAnsi="Arial" w:cs="Arial"/>
                <w:sz w:val="20"/>
                <w:szCs w:val="16"/>
              </w:rPr>
              <w:t xml:space="preserve"> of the intervention (and its 95% CI).</w:t>
            </w:r>
            <w:r w:rsidRPr="006F3374">
              <w:rPr>
                <w:rFonts w:ascii="Arial" w:hAnsi="Arial" w:cs="Arial"/>
                <w:sz w:val="20"/>
                <w:szCs w:val="16"/>
              </w:rPr>
              <w:br/>
            </w:r>
            <w:r w:rsidRPr="006F3374">
              <w:rPr>
                <w:rFonts w:ascii="Arial" w:hAnsi="Arial" w:cs="Arial"/>
                <w:sz w:val="20"/>
                <w:szCs w:val="16"/>
              </w:rPr>
              <w:br/>
            </w:r>
            <w:r w:rsidRPr="006F3374">
              <w:rPr>
                <w:rFonts w:ascii="Arial" w:hAnsi="Arial" w:cs="Arial"/>
                <w:b/>
                <w:bCs/>
                <w:sz w:val="20"/>
                <w:szCs w:val="16"/>
              </w:rPr>
              <w:t>CI:</w:t>
            </w:r>
            <w:r w:rsidRPr="006F3374">
              <w:rPr>
                <w:rFonts w:ascii="Arial" w:hAnsi="Arial" w:cs="Arial"/>
                <w:sz w:val="20"/>
                <w:szCs w:val="16"/>
              </w:rPr>
              <w:t xml:space="preserve"> Confidence interval; </w:t>
            </w:r>
            <w:r w:rsidRPr="006F3374">
              <w:rPr>
                <w:rFonts w:ascii="Arial" w:hAnsi="Arial" w:cs="Arial"/>
                <w:b/>
                <w:bCs/>
                <w:sz w:val="20"/>
                <w:szCs w:val="16"/>
              </w:rPr>
              <w:t>RR:</w:t>
            </w:r>
            <w:r w:rsidRPr="006F3374">
              <w:rPr>
                <w:rFonts w:ascii="Arial" w:hAnsi="Arial" w:cs="Arial"/>
                <w:sz w:val="20"/>
                <w:szCs w:val="16"/>
              </w:rPr>
              <w:t xml:space="preserve"> Risk ratio; </w:t>
            </w:r>
            <w:r w:rsidRPr="006F3374">
              <w:rPr>
                <w:rFonts w:ascii="Arial" w:hAnsi="Arial" w:cs="Arial"/>
                <w:b/>
                <w:bCs/>
                <w:sz w:val="20"/>
                <w:szCs w:val="16"/>
              </w:rPr>
              <w:t>OR:</w:t>
            </w:r>
            <w:r w:rsidRPr="006F3374">
              <w:rPr>
                <w:rFonts w:ascii="Arial" w:hAnsi="Arial" w:cs="Arial"/>
                <w:sz w:val="20"/>
                <w:szCs w:val="16"/>
              </w:rPr>
              <w:t xml:space="preserve"> Odds ratio; </w:t>
            </w:r>
          </w:p>
        </w:tc>
      </w:tr>
      <w:tr w:rsidR="000609B0" w:rsidRPr="006F3374" w:rsidTr="000609B0">
        <w:tc>
          <w:tcPr>
            <w:tcW w:w="0" w:type="auto"/>
            <w:gridSpan w:val="8"/>
            <w:tcBorders>
              <w:top w:val="single" w:sz="12" w:space="0" w:color="000000"/>
              <w:left w:val="nil"/>
              <w:bottom w:val="single" w:sz="12" w:space="0" w:color="000000"/>
              <w:right w:val="nil"/>
            </w:tcBorders>
            <w:shd w:val="clear" w:color="auto" w:fill="auto"/>
            <w:tcMar>
              <w:top w:w="15" w:type="dxa"/>
              <w:left w:w="15" w:type="dxa"/>
              <w:bottom w:w="15" w:type="dxa"/>
              <w:right w:w="15" w:type="dxa"/>
            </w:tcMar>
            <w:vAlign w:val="center"/>
            <w:hideMark/>
          </w:tcPr>
          <w:p w:rsidR="000609B0" w:rsidRPr="006F3374" w:rsidRDefault="000609B0" w:rsidP="000609B0">
            <w:pPr>
              <w:rPr>
                <w:rFonts w:ascii="Arial" w:hAnsi="Arial" w:cs="Arial"/>
                <w:sz w:val="20"/>
                <w:szCs w:val="16"/>
              </w:rPr>
            </w:pPr>
            <w:r w:rsidRPr="006F3374">
              <w:rPr>
                <w:rFonts w:ascii="Arial" w:hAnsi="Arial" w:cs="Arial"/>
                <w:sz w:val="20"/>
                <w:szCs w:val="16"/>
              </w:rPr>
              <w:t>GRADE Working Group grades of evidence</w:t>
            </w:r>
            <w:r w:rsidRPr="006F3374">
              <w:rPr>
                <w:rFonts w:ascii="Arial" w:hAnsi="Arial" w:cs="Arial"/>
                <w:sz w:val="20"/>
                <w:szCs w:val="16"/>
              </w:rPr>
              <w:br/>
            </w:r>
            <w:r w:rsidRPr="006F3374">
              <w:rPr>
                <w:rFonts w:ascii="Arial" w:hAnsi="Arial" w:cs="Arial"/>
                <w:b/>
                <w:bCs/>
                <w:sz w:val="20"/>
                <w:szCs w:val="16"/>
              </w:rPr>
              <w:t>High quality:</w:t>
            </w:r>
            <w:r w:rsidRPr="006F3374">
              <w:rPr>
                <w:rFonts w:ascii="Arial" w:hAnsi="Arial" w:cs="Arial"/>
                <w:sz w:val="20"/>
                <w:szCs w:val="16"/>
              </w:rPr>
              <w:t xml:space="preserve"> Further research is very unlikely to change our confidence in the estimate of effect. </w:t>
            </w:r>
            <w:r w:rsidRPr="006F3374">
              <w:rPr>
                <w:rFonts w:ascii="Arial" w:hAnsi="Arial" w:cs="Arial"/>
                <w:sz w:val="20"/>
                <w:szCs w:val="16"/>
              </w:rPr>
              <w:br/>
            </w:r>
            <w:r w:rsidRPr="006F3374">
              <w:rPr>
                <w:rFonts w:ascii="Arial" w:hAnsi="Arial" w:cs="Arial"/>
                <w:b/>
                <w:bCs/>
                <w:sz w:val="20"/>
                <w:szCs w:val="16"/>
              </w:rPr>
              <w:t>Moderate quality:</w:t>
            </w:r>
            <w:r w:rsidRPr="006F3374">
              <w:rPr>
                <w:rFonts w:ascii="Arial" w:hAnsi="Arial" w:cs="Arial"/>
                <w:sz w:val="20"/>
                <w:szCs w:val="16"/>
              </w:rPr>
              <w:t xml:space="preserve"> Further research is likely to have an important impact on our confidence in the estimate of effect and may change the estimate.</w:t>
            </w:r>
            <w:r w:rsidRPr="006F3374">
              <w:rPr>
                <w:rFonts w:ascii="Arial" w:hAnsi="Arial" w:cs="Arial"/>
                <w:sz w:val="20"/>
                <w:szCs w:val="16"/>
              </w:rPr>
              <w:br/>
            </w:r>
            <w:r w:rsidRPr="006F3374">
              <w:rPr>
                <w:rFonts w:ascii="Arial" w:hAnsi="Arial" w:cs="Arial"/>
                <w:b/>
                <w:bCs/>
                <w:sz w:val="20"/>
                <w:szCs w:val="16"/>
              </w:rPr>
              <w:t>Low quality:</w:t>
            </w:r>
            <w:r w:rsidRPr="006F3374">
              <w:rPr>
                <w:rFonts w:ascii="Arial" w:hAnsi="Arial" w:cs="Arial"/>
                <w:sz w:val="20"/>
                <w:szCs w:val="16"/>
              </w:rPr>
              <w:t xml:space="preserve"> Further research is very likely to have an important impact on our confidence in the estimate of effect and is likely to change the estimate.</w:t>
            </w:r>
            <w:r w:rsidRPr="006F3374">
              <w:rPr>
                <w:rFonts w:ascii="Arial" w:hAnsi="Arial" w:cs="Arial"/>
                <w:sz w:val="20"/>
                <w:szCs w:val="16"/>
              </w:rPr>
              <w:br/>
            </w:r>
            <w:r w:rsidRPr="006F3374">
              <w:rPr>
                <w:rFonts w:ascii="Arial" w:hAnsi="Arial" w:cs="Arial"/>
                <w:b/>
                <w:bCs/>
                <w:sz w:val="20"/>
                <w:szCs w:val="16"/>
              </w:rPr>
              <w:t>Very low quality:</w:t>
            </w:r>
            <w:r w:rsidRPr="006F3374">
              <w:rPr>
                <w:rFonts w:ascii="Arial" w:hAnsi="Arial" w:cs="Arial"/>
                <w:sz w:val="20"/>
                <w:szCs w:val="16"/>
              </w:rPr>
              <w:t xml:space="preserve"> We are very uncertain about the estimate.</w:t>
            </w:r>
          </w:p>
        </w:tc>
      </w:tr>
      <w:tr w:rsidR="000609B0" w:rsidRPr="006F3374" w:rsidTr="000609B0">
        <w:tc>
          <w:tcPr>
            <w:tcW w:w="0" w:type="auto"/>
            <w:gridSpan w:val="8"/>
            <w:tcBorders>
              <w:top w:val="single" w:sz="12" w:space="0" w:color="000000"/>
              <w:left w:val="nil"/>
              <w:bottom w:val="single" w:sz="12" w:space="0" w:color="000000"/>
              <w:right w:val="nil"/>
            </w:tcBorders>
            <w:shd w:val="clear" w:color="auto" w:fill="auto"/>
            <w:tcMar>
              <w:top w:w="15" w:type="dxa"/>
              <w:left w:w="15" w:type="dxa"/>
              <w:bottom w:w="15" w:type="dxa"/>
              <w:right w:w="15" w:type="dxa"/>
            </w:tcMar>
            <w:vAlign w:val="center"/>
          </w:tcPr>
          <w:p w:rsidR="000609B0" w:rsidRPr="006F3374" w:rsidRDefault="000609B0" w:rsidP="000609B0">
            <w:pPr>
              <w:rPr>
                <w:rFonts w:ascii="Arial" w:hAnsi="Arial" w:cs="Arial"/>
                <w:sz w:val="20"/>
                <w:szCs w:val="16"/>
              </w:rPr>
            </w:pPr>
          </w:p>
        </w:tc>
      </w:tr>
    </w:tbl>
    <w:p w:rsidR="001E4849" w:rsidRDefault="001E4849">
      <w:pPr>
        <w:sectPr w:rsidR="001E4849" w:rsidSect="001E4849">
          <w:pgSz w:w="16838" w:h="11906" w:orient="landscape"/>
          <w:pgMar w:top="1800" w:right="1440" w:bottom="1800" w:left="1440" w:header="851" w:footer="992" w:gutter="0"/>
          <w:cols w:space="425"/>
          <w:docGrid w:type="lines" w:linePitch="312"/>
        </w:sectPr>
      </w:pPr>
    </w:p>
    <w:p w:rsidR="001E4849" w:rsidRPr="004E76E9" w:rsidRDefault="001E4849" w:rsidP="001E4849">
      <w:pPr>
        <w:jc w:val="center"/>
        <w:rPr>
          <w:rFonts w:ascii="Arial" w:hAnsi="Arial"/>
          <w:b/>
          <w:sz w:val="24"/>
          <w:szCs w:val="24"/>
        </w:rPr>
      </w:pPr>
      <w:r>
        <w:rPr>
          <w:rFonts w:ascii="Arial" w:hAnsi="Arial"/>
          <w:b/>
          <w:sz w:val="24"/>
          <w:szCs w:val="24"/>
        </w:rPr>
        <w:lastRenderedPageBreak/>
        <w:t>S</w:t>
      </w:r>
      <w:r>
        <w:rPr>
          <w:rFonts w:ascii="Arial" w:hAnsi="Arial" w:hint="eastAsia"/>
          <w:b/>
          <w:sz w:val="24"/>
          <w:szCs w:val="24"/>
        </w:rPr>
        <w:t>u</w:t>
      </w:r>
      <w:r>
        <w:rPr>
          <w:rFonts w:ascii="Arial" w:hAnsi="Arial"/>
          <w:b/>
          <w:sz w:val="24"/>
          <w:szCs w:val="24"/>
        </w:rPr>
        <w:t xml:space="preserve">pplementary </w:t>
      </w:r>
      <w:r w:rsidRPr="00307965">
        <w:rPr>
          <w:rFonts w:ascii="Arial" w:hAnsi="Arial"/>
          <w:b/>
          <w:sz w:val="24"/>
          <w:szCs w:val="24"/>
        </w:rPr>
        <w:t xml:space="preserve">Table </w:t>
      </w:r>
      <w:r>
        <w:rPr>
          <w:rFonts w:ascii="Arial" w:hAnsi="Arial" w:hint="eastAsia"/>
          <w:b/>
          <w:sz w:val="24"/>
          <w:szCs w:val="24"/>
        </w:rPr>
        <w:t>3</w:t>
      </w:r>
      <w:r>
        <w:rPr>
          <w:rFonts w:ascii="Arial" w:hAnsi="Arial"/>
          <w:b/>
          <w:sz w:val="24"/>
          <w:szCs w:val="24"/>
        </w:rPr>
        <w:t>.</w:t>
      </w:r>
      <w:r w:rsidRPr="00307965">
        <w:rPr>
          <w:rFonts w:ascii="Arial" w:hAnsi="Arial"/>
          <w:b/>
          <w:sz w:val="24"/>
          <w:szCs w:val="24"/>
        </w:rPr>
        <w:t xml:space="preserve"> Summary of patients clinical characteristics</w:t>
      </w:r>
    </w:p>
    <w:tbl>
      <w:tblPr>
        <w:tblW w:w="8472" w:type="dxa"/>
        <w:jc w:val="center"/>
        <w:tblLayout w:type="fixed"/>
        <w:tblLook w:val="04A0" w:firstRow="1" w:lastRow="0" w:firstColumn="1" w:lastColumn="0" w:noHBand="0" w:noVBand="1"/>
      </w:tblPr>
      <w:tblGrid>
        <w:gridCol w:w="1837"/>
        <w:gridCol w:w="1258"/>
        <w:gridCol w:w="1416"/>
        <w:gridCol w:w="767"/>
        <w:gridCol w:w="1750"/>
        <w:gridCol w:w="1444"/>
      </w:tblGrid>
      <w:tr w:rsidR="001E4849" w:rsidRPr="00307965" w:rsidTr="00447B79">
        <w:trPr>
          <w:trHeight w:val="272"/>
          <w:jc w:val="center"/>
        </w:trPr>
        <w:tc>
          <w:tcPr>
            <w:tcW w:w="1837" w:type="dxa"/>
            <w:tcBorders>
              <w:top w:val="single" w:sz="4" w:space="0" w:color="auto"/>
              <w:bottom w:val="single" w:sz="4" w:space="0" w:color="auto"/>
            </w:tcBorders>
            <w:shd w:val="clear" w:color="auto" w:fill="BFBFBF"/>
            <w:vAlign w:val="bottom"/>
            <w:hideMark/>
          </w:tcPr>
          <w:p w:rsidR="001E4849" w:rsidRPr="00307965" w:rsidRDefault="001E4849" w:rsidP="00447B79">
            <w:pPr>
              <w:widowControl/>
              <w:jc w:val="left"/>
              <w:rPr>
                <w:rFonts w:ascii="Arial" w:eastAsia="微软雅黑" w:hAnsi="Arial"/>
                <w:b/>
                <w:bCs/>
                <w:kern w:val="0"/>
                <w:sz w:val="18"/>
                <w:szCs w:val="18"/>
              </w:rPr>
            </w:pPr>
            <w:bookmarkStart w:id="2" w:name="_Hlk531120457"/>
            <w:r w:rsidRPr="00307965">
              <w:rPr>
                <w:rFonts w:ascii="Arial" w:eastAsia="微软雅黑" w:hAnsi="Arial"/>
                <w:b/>
                <w:bCs/>
                <w:kern w:val="0"/>
                <w:sz w:val="18"/>
                <w:szCs w:val="18"/>
              </w:rPr>
              <w:t>First author(year)</w:t>
            </w:r>
          </w:p>
        </w:tc>
        <w:tc>
          <w:tcPr>
            <w:tcW w:w="1258" w:type="dxa"/>
            <w:tcBorders>
              <w:top w:val="single" w:sz="4" w:space="0" w:color="auto"/>
              <w:bottom w:val="single" w:sz="4" w:space="0" w:color="auto"/>
            </w:tcBorders>
            <w:shd w:val="clear" w:color="auto" w:fill="BFBFBF"/>
            <w:vAlign w:val="bottom"/>
            <w:hideMark/>
          </w:tcPr>
          <w:p w:rsidR="001E4849" w:rsidRPr="00307965" w:rsidRDefault="001E4849" w:rsidP="00447B79">
            <w:pPr>
              <w:widowControl/>
              <w:jc w:val="left"/>
              <w:rPr>
                <w:rFonts w:ascii="Arial" w:eastAsia="微软雅黑" w:hAnsi="Arial"/>
                <w:b/>
                <w:bCs/>
                <w:kern w:val="0"/>
                <w:sz w:val="18"/>
                <w:szCs w:val="18"/>
              </w:rPr>
            </w:pPr>
            <w:r w:rsidRPr="00307965">
              <w:rPr>
                <w:rFonts w:ascii="Arial" w:eastAsia="微软雅黑" w:hAnsi="Arial"/>
                <w:b/>
                <w:bCs/>
                <w:kern w:val="0"/>
                <w:sz w:val="18"/>
                <w:szCs w:val="18"/>
              </w:rPr>
              <w:t>Method</w:t>
            </w:r>
          </w:p>
        </w:tc>
        <w:tc>
          <w:tcPr>
            <w:tcW w:w="1416" w:type="dxa"/>
            <w:tcBorders>
              <w:top w:val="single" w:sz="4" w:space="0" w:color="auto"/>
              <w:bottom w:val="single" w:sz="4" w:space="0" w:color="auto"/>
            </w:tcBorders>
            <w:shd w:val="clear" w:color="auto" w:fill="BFBFBF"/>
            <w:vAlign w:val="bottom"/>
            <w:hideMark/>
          </w:tcPr>
          <w:p w:rsidR="001E4849" w:rsidRPr="00307965" w:rsidRDefault="001E4849" w:rsidP="00447B79">
            <w:pPr>
              <w:widowControl/>
              <w:jc w:val="left"/>
              <w:rPr>
                <w:rFonts w:ascii="Arial" w:eastAsia="微软雅黑" w:hAnsi="Arial"/>
                <w:b/>
                <w:bCs/>
                <w:kern w:val="0"/>
                <w:sz w:val="18"/>
                <w:szCs w:val="18"/>
              </w:rPr>
            </w:pPr>
            <w:r w:rsidRPr="00307965">
              <w:rPr>
                <w:rFonts w:ascii="Arial" w:eastAsia="微软雅黑" w:hAnsi="Arial"/>
                <w:b/>
                <w:bCs/>
                <w:kern w:val="0"/>
                <w:sz w:val="18"/>
                <w:szCs w:val="18"/>
              </w:rPr>
              <w:t>NCT number</w:t>
            </w:r>
          </w:p>
        </w:tc>
        <w:tc>
          <w:tcPr>
            <w:tcW w:w="767" w:type="dxa"/>
            <w:tcBorders>
              <w:top w:val="single" w:sz="4" w:space="0" w:color="auto"/>
              <w:bottom w:val="single" w:sz="4" w:space="0" w:color="auto"/>
            </w:tcBorders>
            <w:shd w:val="clear" w:color="auto" w:fill="BFBFBF"/>
            <w:vAlign w:val="bottom"/>
            <w:hideMark/>
          </w:tcPr>
          <w:p w:rsidR="001E4849" w:rsidRPr="00307965" w:rsidRDefault="001E4849" w:rsidP="00447B79">
            <w:pPr>
              <w:widowControl/>
              <w:jc w:val="left"/>
              <w:rPr>
                <w:rFonts w:ascii="Arial" w:eastAsia="微软雅黑" w:hAnsi="Arial"/>
                <w:b/>
                <w:bCs/>
                <w:kern w:val="0"/>
                <w:sz w:val="18"/>
                <w:szCs w:val="18"/>
              </w:rPr>
            </w:pPr>
            <w:r w:rsidRPr="00307965">
              <w:rPr>
                <w:rFonts w:ascii="Arial" w:eastAsia="微软雅黑" w:hAnsi="Arial"/>
                <w:b/>
                <w:bCs/>
                <w:kern w:val="0"/>
                <w:sz w:val="18"/>
                <w:szCs w:val="18"/>
              </w:rPr>
              <w:t>Phase</w:t>
            </w:r>
          </w:p>
        </w:tc>
        <w:tc>
          <w:tcPr>
            <w:tcW w:w="1750" w:type="dxa"/>
            <w:tcBorders>
              <w:top w:val="single" w:sz="4" w:space="0" w:color="auto"/>
              <w:bottom w:val="single" w:sz="4" w:space="0" w:color="auto"/>
            </w:tcBorders>
            <w:shd w:val="clear" w:color="auto" w:fill="BFBFBF"/>
            <w:vAlign w:val="bottom"/>
            <w:hideMark/>
          </w:tcPr>
          <w:p w:rsidR="001E4849" w:rsidRPr="00307965" w:rsidRDefault="001E4849" w:rsidP="00447B79">
            <w:pPr>
              <w:widowControl/>
              <w:jc w:val="left"/>
              <w:rPr>
                <w:rFonts w:ascii="Arial" w:eastAsia="微软雅黑" w:hAnsi="Arial"/>
                <w:b/>
                <w:bCs/>
                <w:kern w:val="0"/>
                <w:sz w:val="18"/>
                <w:szCs w:val="18"/>
              </w:rPr>
            </w:pPr>
            <w:r w:rsidRPr="00307965">
              <w:rPr>
                <w:rFonts w:ascii="Arial" w:eastAsia="微软雅黑" w:hAnsi="Arial"/>
                <w:b/>
                <w:bCs/>
                <w:kern w:val="0"/>
                <w:sz w:val="18"/>
                <w:szCs w:val="18"/>
              </w:rPr>
              <w:t>Immunotherapy type</w:t>
            </w:r>
          </w:p>
        </w:tc>
        <w:tc>
          <w:tcPr>
            <w:tcW w:w="1444" w:type="dxa"/>
            <w:tcBorders>
              <w:top w:val="single" w:sz="4" w:space="0" w:color="auto"/>
              <w:bottom w:val="single" w:sz="4" w:space="0" w:color="auto"/>
            </w:tcBorders>
            <w:shd w:val="clear" w:color="auto" w:fill="BFBFBF"/>
            <w:vAlign w:val="bottom"/>
            <w:hideMark/>
          </w:tcPr>
          <w:p w:rsidR="001E4849" w:rsidRPr="00307965" w:rsidRDefault="001E4849" w:rsidP="00447B79">
            <w:pPr>
              <w:widowControl/>
              <w:jc w:val="left"/>
              <w:rPr>
                <w:rFonts w:ascii="Arial" w:eastAsia="微软雅黑" w:hAnsi="Arial"/>
                <w:b/>
                <w:bCs/>
                <w:kern w:val="0"/>
                <w:sz w:val="18"/>
                <w:szCs w:val="18"/>
              </w:rPr>
            </w:pPr>
            <w:r w:rsidRPr="00307965">
              <w:rPr>
                <w:rFonts w:ascii="Arial" w:eastAsia="微软雅黑" w:hAnsi="Arial"/>
                <w:b/>
                <w:bCs/>
                <w:kern w:val="0"/>
                <w:sz w:val="18"/>
                <w:szCs w:val="18"/>
              </w:rPr>
              <w:t>Patients(No.)E/C</w:t>
            </w:r>
            <w:r w:rsidR="000609B0" w:rsidRPr="000609B0">
              <w:rPr>
                <w:rFonts w:ascii="Arial" w:eastAsia="微软雅黑" w:hAnsi="Arial"/>
                <w:b/>
                <w:bCs/>
                <w:kern w:val="0"/>
                <w:sz w:val="18"/>
                <w:szCs w:val="18"/>
                <w:vertAlign w:val="superscript"/>
              </w:rPr>
              <w:t>a</w:t>
            </w:r>
          </w:p>
        </w:tc>
      </w:tr>
      <w:bookmarkEnd w:id="2"/>
      <w:tr w:rsidR="001E4849" w:rsidRPr="00307965" w:rsidTr="00447B79">
        <w:trPr>
          <w:trHeight w:val="423"/>
          <w:jc w:val="center"/>
        </w:trPr>
        <w:tc>
          <w:tcPr>
            <w:tcW w:w="1837" w:type="dxa"/>
            <w:tcBorders>
              <w:top w:val="single" w:sz="4" w:space="0" w:color="auto"/>
            </w:tcBorders>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Ji 2015(1)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{"citationItems":[{"id":"ITEM-1","itemData":{"DOI":"10.18632/oncotarget.6737","ISBN":"1949-2553","ISSN":"1949-2553","PMID":"26716896","abstract":"//      Nan Ji 1,  6,  * , Danhui Weng 3,  * , Cang Liu 4 , Zheng Gu 5 , Shizhang Chen 2 , Ying Guo 2 , Zhong Fan 2 , Xiao Wang 2 , Jianfei Chen 2 , Yanyan Zhao 2 , Jianfeng Zhou 3 , Jisheng Wang 1,  6 , Ding Ma 3 , Ning Li 2     1 Department of Neurosurgery, Beijing Tiantan Hospital, Capital Medical University, Beijing, P.R. China    2 Beijing YouAn Hospital, Capital Medical University, Beijing, P.R. China    3 Tongji Hospital Affiliated with Tongji Medical College of Huazhong University of Science and Technology, Wuhan, P.R. China    4 Beijing Friendship Hospital, Capital Medical University, Beijing, P.R. China    5 Beijing Chao-Yang Hospital, Capital Medical University, Beijing, P.R. China    6 Beijing Key Laboratory of Brian Tumor, Beijing, P.R. China    * These authors have contributed equally to this work   Correspondence to:   Ding Ma, e-mail:  dma@tjh.tjmu.edu.cn    Ning Li, e-mail:  liningbjyah@vip.sina.com    Jisheng Wang, e-mail:  neurowang@sina.com     Keywords:  recurrent high-grade glioma, gene therapy, ADV-TK, glioblastoma    Received:  September 09, 2015&amp;nbsp;&amp;nbsp;&amp;nbsp;&amp;nbsp; Accepted:  November 26, 2015&amp;nbsp;&amp;nbsp;&amp;nbsp;&amp;nbsp; Published:  December 23, 2015     ABSTRACT    Background:  This randomized, open-label, multicenter, phase II clinical trial was conducted to assess the anti-tumor efficacy and safety of replication-deficient adenovirus mutant thymidine kinase (ADV-TK) in combination with ganciclovir administration in patients with recurrent high-grade glioma (HGG).    Patients and Methods:  53 patients with recurrent HGG were randomly allocated to receive intra-arterial cerebral infusion of ADV-TK or conventional treatments. The primary end point was 6-month progression-free survival (PFS-6). Secondary end points included progression-free survival (PFS), overall survival (OS), safety, and clinical benefit. This trial is registered with Clinicaltrials.gov, NCT00870181.    Results:  In ADV-TK group, PFS-6 was 54.5%, the median PFS was 29.6 weeks, the median OS was 45.4 weeks, and better survivals were achieved when compared with control group. The one-year PFS and OS were 22.7% and 44.6% in ADV-TK group respectively, and clinical benefit was 68.2%. There are 2 patients alive for more than 4 years without progression in ADV-TK group. In the subgroup of glioblastoma received ADV-TK, PFS-6 was 71.4%, median PFS was 34.9 weeks, median OS was 45.7 weeks respectively, much better than those in control group. The one-year PFS and OS wer…","author":[{"dropping-particle":"","family":"Ji","given":"Nan","non-dropping-particle":"","parse-names":false,"suffix":""},{"dropping-particle":"","family":"Weng","given":"Danhui","non-dropping-particle":"","parse-names":false,"suffix":""},{"dropping-particle":"","family":"Liu","given":"Cang","non-dropping-particle":"","parse-names":false,"suffix":""},{"dropping-particle":"","family":"Gu","given":"Zheng","non-dropping-particle":"","parse-names":false,"suffix":""},{"dropping-particle":"","family":"Chen","given":"Shizhang","non-dropping-particle":"","parse-names":false,"suffix":""},{"dropping-particle":"","family":"Guo","given":"Ying","non-dropping-particle":"","parse-names":false,"suffix":""},{"dropping-particle":"","family":"Fan","given":"Zhong","non-dropping-particle":"","parse-names":false,"suffix":""},{"dropping-particle":"","family":"Wang","given":"Xiao","non-dropping-particle":"","parse-names":false,"suffix":""},{"dropping-particle":"","family":"Chen","given":"Jianfei","non-dropping-particle":"","parse-names":false,"suffix":""},{"dropping-particle":"","family":"Zhao","given":"Yanyan","non-dropping-particle":"","parse-names":false,"suffix":""},{"dropping-particle":"","family":"Zhou","given":"Jianfeng","non-dropping-particle":"","parse-names":false,"suffix":""},{"dropping-particle":"","family":"Wang","given":"Jisheng","non-dropping-particle":"","parse-names":false,"suffix":""},{"dropping-particle":"","family":"Ma","given":"Ding","non-dropping-particle":"","parse-names":false,"suffix":""},{"dropping-particle":"","family":"Li","given":"Ning","non-dropping-particle":"","parse-names":false,"suffix":""}],"container-title":"Oncotarget","id":"ITEM-1","issue":"4","issued":{"date-parts":[["2016"]]},"title":"Adenovirus-mediated delivery of herpes simplex virus thymidine kinase administration improves outcome of recurrent high-grade glioma","type":"article-journal","volume":"7"},"uris":["http://www.mendeley.com/documents/?uuid=17bdbbff-d465-4ecd-a3ba-92c8e3e3930c"]}],"mendeley":{"formattedCitation":"[23]","plainTextFormattedCitation":"[23]","previouslyFormattedCitation":"[18]"},"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[23]</w:t>
            </w:r>
            <w:r>
              <w:rPr>
                <w:rFonts w:ascii="Arial" w:eastAsia="微软雅黑" w:hAnsi="Arial"/>
                <w:kern w:val="0"/>
                <w:sz w:val="18"/>
                <w:szCs w:val="18"/>
              </w:rPr>
              <w:fldChar w:fldCharType="end"/>
            </w:r>
          </w:p>
        </w:tc>
        <w:tc>
          <w:tcPr>
            <w:tcW w:w="1258" w:type="dxa"/>
            <w:tcBorders>
              <w:top w:val="single" w:sz="4" w:space="0" w:color="auto"/>
            </w:tcBorders>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tcBorders>
              <w:top w:val="single" w:sz="4" w:space="0" w:color="auto"/>
            </w:tcBorders>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161E2D">
              <w:rPr>
                <w:rFonts w:ascii="Arial" w:eastAsia="微软雅黑" w:hAnsi="Arial"/>
                <w:kern w:val="0"/>
                <w:sz w:val="18"/>
                <w:szCs w:val="18"/>
              </w:rPr>
              <w:t>NCT00870181</w:t>
            </w:r>
          </w:p>
        </w:tc>
        <w:tc>
          <w:tcPr>
            <w:tcW w:w="767" w:type="dxa"/>
            <w:tcBorders>
              <w:top w:val="single" w:sz="4" w:space="0" w:color="auto"/>
            </w:tcBorders>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tcBorders>
              <w:top w:val="single" w:sz="4" w:space="0" w:color="auto"/>
            </w:tcBorders>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AdV-tk</w:t>
            </w:r>
          </w:p>
        </w:tc>
        <w:tc>
          <w:tcPr>
            <w:tcW w:w="1444" w:type="dxa"/>
            <w:tcBorders>
              <w:top w:val="single" w:sz="4" w:space="0" w:color="auto"/>
            </w:tcBorders>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22/22</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Ji 2015(2)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{"citationItems":[{"id":"ITEM-1","itemData":{"DOI":"10.18632/oncotarget.6737","ISBN":"1949-2553","ISSN":"1949-2553","PMID":"26716896","abstract":"//      Nan Ji 1,  6,  * , Danhui Weng 3,  * , Cang Liu 4 , Zheng Gu 5 , Shizhang Chen 2 , Ying Guo 2 , Zhong Fan 2 , Xiao Wang 2 , Jianfei Chen 2 , Yanyan Zhao 2 , Jianfeng Zhou 3 , Jisheng Wang 1,  6 , Ding Ma 3 , Ning Li 2     1 Department of Neurosurgery, Beijing Tiantan Hospital, Capital Medical University, Beijing, P.R. China    2 Beijing YouAn Hospital, Capital Medical University, Beijing, P.R. China    3 Tongji Hospital Affiliated with Tongji Medical College of Huazhong University of Science and Technology, Wuhan, P.R. China    4 Beijing Friendship Hospital, Capital Medical University, Beijing, P.R. China    5 Beijing Chao-Yang Hospital, Capital Medical University, Beijing, P.R. China    6 Beijing Key Laboratory of Brian Tumor, Beijing, P.R. China    * These authors have contributed equally to this work   Correspondence to:   Ding Ma, e-mail:  dma@tjh.tjmu.edu.cn    Ning Li, e-mail:  liningbjyah@vip.sina.com    Jisheng Wang, e-mail:  neurowang@sina.com     Keywords:  recurrent high-grade glioma, gene therapy, ADV-TK, glioblastoma    Received:  September 09, 2015&amp;nbsp;&amp;nbsp;&amp;nbsp;&amp;nbsp; Accepted:  November 26, 2015&amp;nbsp;&amp;nbsp;&amp;nbsp;&amp;nbsp; Published:  December 23, 2015     ABSTRACT    Background:  This randomized, open-label, multicenter, phase II clinical trial was conducted to assess the anti-tumor efficacy and safety of replication-deficient adenovirus mutant thymidine kinase (ADV-TK) in combination with ganciclovir administration in patients with recurrent high-grade glioma (HGG).    Patients and Methods:  53 patients with recurrent HGG were randomly allocated to receive intra-arterial cerebral infusion of ADV-TK or conventional treatments. The primary end point was 6-month progression-free survival (PFS-6). Secondary end points included progression-free survival (PFS), overall survival (OS), safety, and clinical benefit. This trial is registered with Clinicaltrials.gov, NCT00870181.    Results:  In ADV-TK group, PFS-6 was 54.5%, the median PFS was 29.6 weeks, the median OS was 45.4 weeks, and better survivals were achieved when compared with control group. The one-year PFS and OS were 22.7% and 44.6% in ADV-TK group respectively, and clinical benefit was 68.2%. There are 2 patients alive for more than 4 years without progression in ADV-TK group. In the subgroup of glioblastoma received ADV-TK, PFS-6 was 71.4%, median PFS was 34.9 weeks, median OS was 45.7 weeks respectively, much better than those in control group. The one-year PFS and OS wer…","author":[{"dropping-particle":"","family":"Ji","given":"Nan","non-dropping-particle":"","parse-names":false,"suffix":""},{"dropping-particle":"","family":"Weng","given":"Danhui","non-dropping-particle":"","parse-names":false,"suffix":""},{"dropping-particle":"","family":"Liu","given":"Cang","non-dropping-particle":"","parse-names":false,"suffix":""},{"dropping-particle":"","family":"Gu","given":"Zheng","non-dropping-particle":"","parse-names":false,"suffix":""},{"dropping-particle":"","family":"Chen","given":"Shizhang","non-dropping-particle":"","parse-names":false,"suffix":""},{"dropping-particle":"","family":"Guo","given":"Ying","non-dropping-particle":"","parse-names":false,"suffix":""},{"dropping-particle":"","family":"Fan","given":"Zhong","non-dropping-particle":"","parse-names":false,"suffix":""},{"dropping-particle":"","family":"Wang","given":"Xiao","non-dropping-particle":"","parse-names":false,"suffix":""},{"dropping-particle":"","family":"Chen","given":"Jianfei","non-dropping-particle":"","parse-names":false,"suffix":""},{"dropping-particle":"","family":"Zhao","given":"Yanyan","non-dropping-particle":"","parse-names":false,"suffix":""},{"dropping-particle":"","family":"Zhou","given":"Jianfeng","non-dropping-particle":"","parse-names":false,"suffix":""},{"dropping-particle":"","family":"Wang","given":"Jisheng","non-dropping-particle":"","parse-names":false,"suffix":""},{"dropping-particle":"","family":"Ma","given":"Ding","non-dropping-particle":"","parse-names":false,"suffix":""},{"dropping-particle":"","family":"Li","given":"Ning","non-dropping-particle":"","parse-names":false,"suffix":""}],"container-title":"Oncotarget","id":"ITEM-1","issue":"4","issued":{"date-parts":[["2016"]]},"title":"Adenovirus-mediated delivery of herpes simplex virus thymidine kinase administration improves outcome of recurrent high-grade glioma","type":"article-journal","volume":"7"},"uris":["http://www.mendeley.com/documents/?uuid=17bdbbff-d465-4ecd-a3ba-92c8e3e3930c"]}],"mendeley":{"formattedCitation":"[23]","plainTextFormattedCitation":"[23]","previouslyFormattedCitation":"[18]"},"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[23]</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161E2D">
              <w:rPr>
                <w:rFonts w:ascii="Arial" w:eastAsia="微软雅黑" w:hAnsi="Arial"/>
                <w:kern w:val="0"/>
                <w:sz w:val="18"/>
                <w:szCs w:val="18"/>
              </w:rPr>
              <w:t>NCT00870181</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AdV-tk</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14/18</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Immonen 2004(1)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noWrap/>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Adv-tk</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17/19</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Immonen 2004(2)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Historical</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noWrap/>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Adv-tk</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17/36</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Immonen 2004(3)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Historical</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noWrap/>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Adv-tk</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13/18</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Immonen 2004(4)</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noWrap/>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Adv-tk</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13/34</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Solomón 2013(1)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hAnsi="Arial"/>
                <w:sz w:val="18"/>
                <w:szCs w:val="18"/>
              </w:rPr>
              <w:t>Nimotuzumab</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32/38</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Solomón 2013(2)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hAnsi="Arial"/>
                <w:sz w:val="18"/>
                <w:szCs w:val="18"/>
              </w:rPr>
              <w:t>Nimotuzumab</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14/15</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Solomón 2013(3)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hAnsi="Arial"/>
                <w:sz w:val="18"/>
                <w:szCs w:val="18"/>
              </w:rPr>
              <w:t>Nimotuzumab</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18/23</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Ursu 2017</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{"citationItems":[{"id":"ITEM-1","itemData":{"DOI":"10.1016/j.ejca.2016.12.003","ISBN":"0959-8049","ISSN":"18790852","PMID":"28142059","abstract":"Background Immunostimulating oligodeoxynucleotides containing unmethylated cytosine-guanosine motifs (CpG-ODN) have shown a promising efficacy in several cancer models when injected locally. A previous phase II study of CpG-ODN in patients with recurrent glioblastoma (GBM) has suggested some activity and has shown a limited toxicity. This multicentre single-blinded randomised phase II trial was designed to study the efficacy of a local treatment by CpG-ODN in patients with de novo glioblastomas. Patients and methods Patients with a newly diagnosed glioblastoma underwent large surgical resection and CpG-ODN was randomly administrated locally around the surgical cavity. The patients were then treated according to standard of care (SOC) with radiotherapy and temozolomide. The primary objective was 2-year survival. Secondary outcomes were progression free survival (PFS), and tolerance. Results Eighty-one (81) patients were randomly assigned to receive CpG-ODN plus SOC (39 patients) or SOC (42 patients). The 2-year overall survival was 31% (19%; 49%) in the CpG-ODN arm and 26% (16%; 44%) in the SOC arm. The median PFS was 9 months in the CpG-ODN arm and 8.5 months in the SOC arm. The incidence of adverse events was similar in both arms; although fever and post-operative haematoma were more frequent in the CpG-ODN arm. Conclusions Local immunotherapy with CpG-ODN injected into the surgical cavity after tumour removal and followed by SOC, although well tolerated, does not improve survival of patients with newly diagnosed GBM.","author":[{"dropping-particle":"","family":"Carpentier","given":"Antoine F.","non-dropping-particle":"","parse-names":false,"suffix":""},{"dropping-particle":"","family":"Lambert","given":"Jérôme","non-dropping-particle":"","parse-names":false,"suffix":""}],"container-title":"European Journal of Cancer","id":"ITEM-1","issued":{"date-parts":[["2017"]]},"page":"30-37","title":"Intracerebral injection of CpG oligonucleotide for patients with de novo glioblastoma—A phase II multicentric, randomised study","type":"article-journal","volume":"73"},"uris":["http://www.mendeley.com/documents/?uuid=729d862d-306d-4245-a954-5b281245a52f"]}],"mendeley":{"formattedCitation":"[20]","plainTextFormattedCitation":"[20]","previouslyFormattedCitation":"[15]"},"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[20]</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NCT00190424</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CpG</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39/42</w:t>
            </w:r>
          </w:p>
        </w:tc>
      </w:tr>
      <w:tr w:rsidR="001E4849" w:rsidRPr="00307965" w:rsidTr="00447B79">
        <w:trPr>
          <w:trHeight w:val="579"/>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Vik-mo 2013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{"citationItems":[{"id":"ITEM-1","itemData":{"DOI":"10.1007/s00262-013-1453-3","ISBN":"1432-0851 (Electronic) 0340-7004 (Linking)","ISSN":"03407004","PMID":"23817721","abstract":"BACKGROUND: The growth and recurrence of several cancers appear to be driven by a population of cancer stem cells (CSCs). Glioblastoma, the most common primary brain tumor, is invariably fatal, with a median survival of approximately 1 year. Although experimental data have suggested the importance of CSCs, few data exist regarding the potential relevance and importance of these cells in a clinical setting. METHODS: We here present the first seven patients treated with a dendritic cell (DC)-based vaccine targeting CSCs in a solid tumor. Brain tumor biopsies were dissociated into single-cell suspensions, and autologous CSCs were expanded in vitro as tumorspheres. From these, CSC-mRNA was amplified and transfected into monocyte-derived autologous DCs. The DCs were aliquoted to 9-18 vaccines containing 10(7) cells each. These vaccines were injected intradermally at specified intervals after the patients had received a standard 6-week course of post-operative radio-chemotherapy. The study was registered with the ClinicalTrials.gov identifier NCT00846456. RESULTS: Autologous CSC cultures were established from ten out of eleven tumors. High-quality RNA was isolated, and mRNA was amplified in all cases. Seven patients were able to be weaned from corticosteroids to receive DC immunotherapy. An immune response induced by vaccination was identified in all seven patients. No patients developed adverse autoimmune events or other side effects. Compared to matched controls, progression-free survival was 2.9 times longer in vaccinated patients (median 694 vs. 236 days, p = 0.0018, log-rank test). CONCLUSION: These findings suggest that vaccination against glioblastoma stem cells is safe, well-tolerated, and may prolong progression-free survival.","author":[{"dropping-particle":"","family":"Vik-Mo","given":"Einar Osland","non-dropping-particle":"","parse-names":false,"suffix":""},{"dropping-particle":"","family":"Nyakas","given":"Marta","non-dropping-particle":"","parse-names":false,"suffix":""},{"dropping-particle":"","family":"Mikkelsen","given":"Birthe Viftrup","non-dropping-particle":"","parse-names":false,"suffix":""},{"dropping-particle":"","family":"Moe","given":"Morten Carstens","non-dropping-particle":"","parse-names":false,"suffix":""},{"dropping-particle":"","family":"Due-Tønnesen","given":"Paulina","non-dropping-particle":"","parse-names":false,"suffix":""},{"dropping-particle":"","family":"Suso","given":"Else Marit Inderberg","non-dropping-particle":"","parse-names":false,"suffix":""},{"dropping-particle":"","family":"Sæbøe-Larssen","given":"Stein","non-dropping-particle":"","parse-names":false,"suffix":""},{"dropping-particle":"","family":"Sandberg","given":"Cecilie","non-dropping-particle":"","parse-names":false,"suffix":""},{"dropping-particle":"","family":"Brinchmann","given":"Jan E.","non-dropping-particle":"","parse-names":false,"suffix":""},{"dropping-particle":"","family":"Helseth","given":"Eirik","non-dropping-particle":"","parse-names":false,"suffix":""},{"dropping-particle":"","family":"Rasmussen","given":"Anne Marie","non-dropping-particle":"","parse-names":false,"suffix":""},{"dropping-particle":"","family":"Lote","given":"Knut","non-dropping-particle":"","parse-names":false,"suffix":""},{"dropping-particle":"","family":"Aamdal","given":"Steinar","non-dropping-particle":"","parse-names":false,"suffix":""},{"dropping-particle":"","family":"Gaudernack","given":"Gustav","non-dropping-particle":"","parse-names":false,"suffix":""},{"dropping-particle":"","family":"Kvalheim","given":"Gunnar","non-dropping-particle":"","parse-names":false,"suffix":""},{"dropping-particle":"","family":"Langmoen","given":"Iver A.","non-dropping-particle":"","parse-names":false,"suffix":""}],"container-title":"Cancer Immunology, Immunotherapy","id":"ITEM-1","issue":"9","issued":{"date-parts":[["2013"]]},"page":"1499-1509","title":"Therapeutic vaccination against autologous cancer stem cells with mRNA-transfected dendritic cells in patients with glioblastoma","type":"article-journal","volume":"62"},"uris":["http://www.mendeley.com/documents/?uuid=818a9df8-7be4-42d3-830f-a00da2a87f31"]}],"mendeley":{"formattedCitation":"[25]","plainTextFormattedCitation":"[25]","previouslyFormattedCitation":"[21]"},"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[25]</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Historical</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NCT00846456</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1750" w:type="dxa"/>
            <w:shd w:val="clear" w:color="auto" w:fill="auto"/>
            <w:vAlign w:val="bottom"/>
            <w:hideMark/>
          </w:tcPr>
          <w:p w:rsidR="001E4849" w:rsidRPr="00307965" w:rsidRDefault="001E4849" w:rsidP="000609B0">
            <w:pPr>
              <w:widowControl/>
              <w:jc w:val="left"/>
              <w:rPr>
                <w:rFonts w:ascii="Arial" w:eastAsia="微软雅黑" w:hAnsi="Arial"/>
                <w:kern w:val="0"/>
                <w:sz w:val="18"/>
                <w:szCs w:val="18"/>
              </w:rPr>
            </w:pPr>
            <w:r w:rsidRPr="00307965">
              <w:rPr>
                <w:rFonts w:ascii="Arial" w:eastAsia="微软雅黑" w:hAnsi="Arial"/>
                <w:kern w:val="0"/>
                <w:sz w:val="18"/>
                <w:szCs w:val="18"/>
              </w:rPr>
              <w:t>mRNA-transfected DC</w:t>
            </w:r>
            <w:r w:rsidR="000609B0">
              <w:rPr>
                <w:rFonts w:ascii="Arial" w:eastAsia="微软雅黑" w:hAnsi="Arial"/>
                <w:kern w:val="0"/>
                <w:sz w:val="18"/>
                <w:szCs w:val="18"/>
              </w:rPr>
              <w:t>V</w:t>
            </w:r>
            <w:r w:rsidR="000609B0" w:rsidRPr="000609B0">
              <w:rPr>
                <w:rFonts w:ascii="Arial" w:eastAsia="微软雅黑" w:hAnsi="Arial"/>
                <w:kern w:val="0"/>
                <w:sz w:val="18"/>
                <w:szCs w:val="18"/>
                <w:vertAlign w:val="superscript"/>
              </w:rPr>
              <w:t>b</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6/7</w:t>
            </w:r>
          </w:p>
        </w:tc>
      </w:tr>
      <w:tr w:rsidR="001E4849" w:rsidRPr="00307965" w:rsidTr="00447B79">
        <w:trPr>
          <w:trHeight w:val="423"/>
          <w:jc w:val="center"/>
        </w:trPr>
        <w:tc>
          <w:tcPr>
            <w:tcW w:w="1837" w:type="dxa"/>
            <w:shd w:val="clear" w:color="auto" w:fill="auto"/>
            <w:vAlign w:val="bottom"/>
          </w:tcPr>
          <w:p w:rsidR="001E4849" w:rsidRPr="00487012" w:rsidRDefault="001E4849" w:rsidP="00447B79">
            <w:pPr>
              <w:widowControl/>
              <w:rPr>
                <w:rFonts w:ascii="Arial" w:eastAsia="微软雅黑" w:hAnsi="Arial"/>
                <w:sz w:val="18"/>
                <w:szCs w:val="18"/>
              </w:rPr>
            </w:pPr>
            <w:r>
              <w:rPr>
                <w:rFonts w:ascii="Arial" w:eastAsia="微软雅黑" w:hAnsi="Arial"/>
                <w:sz w:val="18"/>
                <w:szCs w:val="18"/>
              </w:rPr>
              <w:t>Bogdahn 2011</w:t>
            </w:r>
            <w:r>
              <w:rPr>
                <w:rFonts w:ascii="Arial" w:eastAsia="微软雅黑" w:hAnsi="Arial"/>
                <w:sz w:val="18"/>
                <w:szCs w:val="18"/>
              </w:rPr>
              <w:fldChar w:fldCharType="begin" w:fldLock="1"/>
            </w:r>
            <w:r>
              <w:rPr>
                <w:rFonts w:ascii="Arial" w:eastAsia="微软雅黑" w:hAnsi="Arial"/>
                <w:sz w:val="18"/>
                <w:szCs w:val="18"/>
              </w:rPr>
              <w:instrText>ADDIN CSL_CITATION {"citationItems":[{"id":"ITEM-1","itemData":{"ISSN":"1522-8517","abstract":"INTRODUCTION: TGF-beta2 regulates key mechanisms of carcinogenesis, especially immunosuppression and metastasis. The antisense oligonucleotide trabedersen (AP 12009) is a TGF-beta2-specific inhibitor developed for the treatment of patients with highly malignant tumors such as recurrent or refractory high-grade glioma (HGG). METHODS: Clinical studies with trabedersen in HGG have included 3 phase I/II studies and one randomized, controlled, multinational dose-finding phase IIb study. These studies were performed in adult patients with recurrent/refractory anaplastic astrocytoma (AA, WHO grade III) or glioblastoma multiforme (GBM, WHO grade IV). Trabedersen was administered intratumorally by convection-enhanced delivery during a treatment period of about 6 months. RESULTS: In the phase IIb study, of 145 patients randomized to either one of the two doses of trabedersen (10 mM or 80 mM) or to chemotherapy (TMZ or PCV), 134 patients (AA = 39; GBM = 95) received study medication. The highest efficacy was observed in AA patients treated with 10-μM trabedersen. In this group, the 14-month progression rate was 16.7%, which was lower than seen with 80-mM trabedersen (40.0%, P = 0.1534) or chemotherapy (58.3%, P = 0.0032). The 10-μM trabedersen group also had a 3-fold longer duration of response and a clearly longer median survival than chemotherapy (39.1 vs. 21.7 months, ns). In addition, promising efficacy data were observed in GBM, especially in patients not older than 55 years with Karnofsky Performance Statuses (KPS) &gt;80% at baseline, who had a 24-month survival rate of 40% in the 10-μM trabedersen group vs. 13% in the chemotherapy group. Trabedersen generally had a good tolerability and safety profile. CONCLUSIONS: Trabedersen treatment showed a clear clinical benefit in recurrent HGG. Based on the Phase IIb results, the pivotal Phase III SAPPHIRE study in patients with recurrent/refractory AA was started. Patient recruitment is ongoing. The primary endpoint is 2-year survival rate; secondary endpoints include overall survival, tumor response, quality of life, and safety.","author":[{"dropping-particle":"","family":"Bogdahn","given":"U","non-dropping-particle":"","parse-names":false,"suffix":""},{"dropping-particle":"","family":"Stockhammer","given":"G","non-dropping-particle":"","parse-names":false,"suffix":""},{"dropping-particle":"","family":"Mahapatra","given":"A K","non-dropping-particle":"","parse-names":false,"suffix":""},{"dropping-particle":"","family":"Venkataramana","given":"N K","non-dropping-particle":"","parse-names":false,"suffix":""},{"dropping-particle":"","family":"Oliushine","given":"V E","non-dropping-particle":"","parse-names":false,"suffix":""},{"dropping-particle":"","family":"Parfenov","given":"V E","non-dropping-particle":"","parse-names":false,"suffix":""},{"dropping-particle":"","family":"Poverennova","given":"I E","non-dropping-particle":"","parse-names":false,"suffix":""},{"dropping-particle":"","family":"Hau","given":"P","non-dropping-particle":"","parse-names":false,"suffix":""},{"dropping-particle":"","family":"Jachimczak","given":"P","non-dropping-particle":"","parse-names":false,"suffix":""},{"dropping-particle":"","family":"Heinrichs","given":"H","non-dropping-particle":"","parse-names":false,"suffix":""},{"dropping-particle":"","family":"Schlingensiepen","given":"K.-H.","non-dropping-particle":"","parse-names":false,"suffix":""}],"container-title":"Neuro-Oncology","id":"ITEM-1","issue":"1","issued":{"date-parts":[["2010"]]},"page":"iv74","title":"Phase III sapphire study in high-grade gliomas: Targeted therapy with TGF-beta2 inhibitor trabedersen based on results of a randomized phase IIB study","type":"article-journal","volume":"12"},"uris":["http://www.mendeley.com/documents/?uuid=8059f83e-5924-47a2-9472-05ee961453af"]}],"mendeley":{"formattedCitation":"[2]","plainTextFormattedCitation":"[2]","previouslyFormattedCitation":"[22]"},"properties":{"noteIndex":0},"schema":"https://github.com/citation-style-language/schema/raw/master/csl-citation.json"}</w:instrText>
            </w:r>
            <w:r>
              <w:rPr>
                <w:rFonts w:ascii="Arial" w:eastAsia="微软雅黑" w:hAnsi="Arial"/>
                <w:sz w:val="18"/>
                <w:szCs w:val="18"/>
              </w:rPr>
              <w:fldChar w:fldCharType="separate"/>
            </w:r>
            <w:r w:rsidRPr="00B261A6">
              <w:rPr>
                <w:rFonts w:ascii="Arial" w:eastAsia="微软雅黑" w:hAnsi="Arial"/>
                <w:noProof/>
                <w:sz w:val="18"/>
                <w:szCs w:val="18"/>
              </w:rPr>
              <w:t>[2]</w:t>
            </w:r>
            <w:r>
              <w:rPr>
                <w:rFonts w:ascii="Arial" w:eastAsia="微软雅黑" w:hAnsi="Arial"/>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4E76E9"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center"/>
            <w:hideMark/>
          </w:tcPr>
          <w:p w:rsidR="001E4849" w:rsidRPr="00307965" w:rsidRDefault="001E4849" w:rsidP="00447B79">
            <w:pPr>
              <w:widowControl/>
              <w:rPr>
                <w:rFonts w:ascii="Arial" w:eastAsia="微软雅黑" w:hAnsi="Arial"/>
                <w:kern w:val="0"/>
                <w:sz w:val="18"/>
                <w:szCs w:val="18"/>
              </w:rPr>
            </w:pPr>
            <w:r w:rsidRPr="00307965">
              <w:rPr>
                <w:rFonts w:ascii="Arial" w:eastAsia="微软雅黑" w:hAnsi="Arial"/>
                <w:kern w:val="0"/>
                <w:sz w:val="18"/>
                <w:szCs w:val="18"/>
              </w:rPr>
              <w:t xml:space="preserve">IIb </w:t>
            </w:r>
          </w:p>
        </w:tc>
        <w:tc>
          <w:tcPr>
            <w:tcW w:w="1750" w:type="dxa"/>
            <w:shd w:val="clear" w:color="auto" w:fill="auto"/>
            <w:vAlign w:val="center"/>
            <w:hideMark/>
          </w:tcPr>
          <w:p w:rsidR="001E4849" w:rsidRPr="00BC4799" w:rsidRDefault="001E4849" w:rsidP="00447B79">
            <w:pPr>
              <w:widowControl/>
              <w:rPr>
                <w:rFonts w:ascii="Arial" w:eastAsia="微软雅黑" w:hAnsi="Arial"/>
                <w:kern w:val="0"/>
                <w:sz w:val="18"/>
                <w:szCs w:val="18"/>
              </w:rPr>
            </w:pPr>
            <w:r w:rsidRPr="00BC4799">
              <w:rPr>
                <w:rFonts w:ascii="Arial" w:eastAsia="微软雅黑" w:hAnsi="Arial"/>
                <w:kern w:val="0"/>
                <w:sz w:val="18"/>
                <w:szCs w:val="18"/>
              </w:rPr>
              <w:t>Trabederson</w:t>
            </w:r>
          </w:p>
        </w:tc>
        <w:tc>
          <w:tcPr>
            <w:tcW w:w="1444" w:type="dxa"/>
            <w:shd w:val="clear" w:color="auto" w:fill="auto"/>
            <w:noWrap/>
            <w:vAlign w:val="center"/>
            <w:hideMark/>
          </w:tcPr>
          <w:p w:rsidR="001E4849" w:rsidRPr="00BC4799" w:rsidRDefault="001E4849" w:rsidP="00447B79">
            <w:pPr>
              <w:widowControl/>
              <w:jc w:val="left"/>
              <w:rPr>
                <w:rFonts w:ascii="Arial" w:eastAsia="微软雅黑" w:hAnsi="Arial"/>
                <w:kern w:val="0"/>
                <w:sz w:val="18"/>
                <w:szCs w:val="18"/>
              </w:rPr>
            </w:pPr>
            <w:r w:rsidRPr="00BC4799">
              <w:rPr>
                <w:rFonts w:ascii="Arial" w:eastAsia="微软雅黑" w:hAnsi="Arial"/>
                <w:kern w:val="0"/>
                <w:sz w:val="18"/>
                <w:szCs w:val="18"/>
              </w:rPr>
              <w:t>12/12</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rPr>
                <w:rFonts w:ascii="Arial" w:eastAsia="微软雅黑" w:hAnsi="Arial" w:cs="Times New Roman"/>
                <w:kern w:val="0"/>
                <w:sz w:val="18"/>
                <w:szCs w:val="18"/>
              </w:rPr>
            </w:pPr>
            <w:r>
              <w:rPr>
                <w:rFonts w:ascii="Arial" w:eastAsia="微软雅黑" w:hAnsi="Arial"/>
                <w:kern w:val="0"/>
                <w:sz w:val="18"/>
                <w:szCs w:val="18"/>
              </w:rPr>
              <w:t>Bogdahn 2011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{"citationItems":[{"id":"ITEM-1","itemData":{"ISSN":"1522-8517","abstract":"INTRODUCTION: TGF-beta2 regulates key mechanisms of carcinogenesis, especially immunosuppression and metastasis. The antisense oligonucleotide trabedersen (AP 12009) is a TGF-beta2-specific inhibitor developed for the treatment of patients with highly malignant tumors such as recurrent or refractory high-grade glioma (HGG). METHODS: Clinical studies with trabedersen in HGG have included 3 phase I/II studies and one randomized, controlled, multinational dose-finding phase IIb study. These studies were performed in adult patients with recurrent/refractory anaplastic astrocytoma (AA, WHO grade III) or glioblastoma multiforme (GBM, WHO grade IV). Trabedersen was administered intratumorally by convection-enhanced delivery during a treatment period of about 6 months. RESULTS: In the phase IIb study, of 145 patients randomized to either one of the two doses of trabedersen (10 mM or 80 mM) or to chemotherapy (TMZ or PCV), 134 patients (AA = 39; GBM = 95) received study medication. The highest efficacy was observed in AA patients treated with 10-μM trabedersen. In this group, the 14-month progression rate was 16.7%, which was lower than seen with 80-mM trabedersen (40.0%, P = 0.1534) or chemotherapy (58.3%, P = 0.0032). The 10-μM trabedersen group also had a 3-fold longer duration of response and a clearly longer median survival than chemotherapy (39.1 vs. 21.7 months, ns). In addition, promising efficacy data were observed in GBM, especially in patients not older than 55 years with Karnofsky Performance Statuses (KPS) &gt;80% at baseline, who had a 24-month survival rate of 40% in the 10-μM trabedersen group vs. 13% in the chemotherapy group. Trabedersen generally had a good tolerability and safety profile. CONCLUSIONS: Trabedersen treatment showed a clear clinical benefit in recurrent HGG. Based on the Phase IIb results, the pivotal Phase III SAPPHIRE study in patients with recurrent/refractory AA was started. Patient recruitment is ongoing. The primary endpoint is 2-year survival rate; secondary endpoints include overall survival, tumor response, quality of life, and safety.","author":[{"dropping-particle":"","family":"Bogdahn","given":"U","non-dropping-particle":"","parse-names":false,"suffix":""},{"dropping-particle":"","family":"Stockhammer","given":"G","non-dropping-particle":"","parse-names":false,"suffix":""},{"dropping-particle":"","family":"Mahapatra","given":"A K","non-dropping-particle":"","parse-names":false,"suffix":""},{"dropping-particle":"","family":"Venkataramana","given":"N K","non-dropping-particle":"","parse-names":false,"suffix":""},{"dropping-particle":"","family":"Oliushine","given":"V E","non-dropping-particle":"","parse-names":false,"suffix":""},{"dropping-particle":"","family":"Parfenov","given":"V E","non-dropping-particle":"","parse-names":false,"suffix":""},{"dropping-particle":"","family":"Poverennova","given":"I E","non-dropping-particle":"","parse-names":false,"suffix":""},{"dropping-particle":"","family":"Hau","given":"P","non-dropping-particle":"","parse-names":false,"suffix":""},{"dropping-particle":"","family":"Jachimczak","given":"P","non-dropping-particle":"","parse-names":false,"suffix":""},{"dropping-particle":"","family":"Heinrichs","given":"H","non-dropping-particle":"","parse-names":false,"suffix":""},{"dropping-particle":"","family":"Schlingensiepen","given":"K.-H.","non-dropping-particle":"","parse-names":false,"suffix":""}],"container-title":"Neuro-Oncology","id":"ITEM-1","issue":"1","issued":{"date-parts":[["2010"]]},"page":"iv74","title":"Phase III sapphire study in high-grade gliomas: Targeted therapy with TGF-beta2 inhibitor trabedersen based on results of a randomized phase IIB study","type":"article-journal","volume":"12"},"uris":["http://www.mendeley.com/documents/?uuid=8059f83e-5924-47a2-9472-05ee961453af"]}],"mendeley":{"formattedCitation":"[2]","plainTextFormattedCitation":"[2]","previouslyFormattedCitation":"[22]"},"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w:t>
            </w:r>
            <w:r>
              <w:rPr>
                <w:rFonts w:ascii="Arial" w:eastAsia="微软雅黑" w:hAnsi="Arial"/>
                <w:kern w:val="0"/>
                <w:sz w:val="18"/>
                <w:szCs w:val="18"/>
              </w:rPr>
              <w:fldChar w:fldCharType="end"/>
            </w:r>
          </w:p>
        </w:tc>
        <w:tc>
          <w:tcPr>
            <w:tcW w:w="1258"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tcPr>
          <w:p w:rsidR="001E4849" w:rsidRPr="00487012" w:rsidRDefault="001E4849" w:rsidP="00447B79">
            <w:pPr>
              <w:widowControl/>
              <w:jc w:val="left"/>
              <w:rPr>
                <w:rFonts w:ascii="Arial" w:eastAsia="微软雅黑" w:hAnsi="Arial"/>
                <w:sz w:val="18"/>
                <w:szCs w:val="18"/>
              </w:rPr>
            </w:pPr>
            <w:r w:rsidRPr="00307965">
              <w:rPr>
                <w:rFonts w:ascii="Arial" w:eastAsia="微软雅黑" w:hAnsi="Arial"/>
                <w:sz w:val="18"/>
                <w:szCs w:val="18"/>
              </w:rPr>
              <w:t>N/A</w:t>
            </w:r>
          </w:p>
        </w:tc>
        <w:tc>
          <w:tcPr>
            <w:tcW w:w="767" w:type="dxa"/>
            <w:shd w:val="clear" w:color="auto" w:fill="auto"/>
            <w:vAlign w:val="center"/>
          </w:tcPr>
          <w:p w:rsidR="001E4849" w:rsidRPr="00307965" w:rsidRDefault="001E4849" w:rsidP="00447B79">
            <w:pPr>
              <w:widowControl/>
              <w:rPr>
                <w:rFonts w:ascii="Arial" w:eastAsia="微软雅黑" w:hAnsi="Arial"/>
                <w:kern w:val="0"/>
                <w:sz w:val="18"/>
                <w:szCs w:val="18"/>
              </w:rPr>
            </w:pPr>
            <w:r w:rsidRPr="00307965">
              <w:rPr>
                <w:rFonts w:ascii="Arial" w:eastAsia="微软雅黑" w:hAnsi="Arial"/>
                <w:kern w:val="0"/>
                <w:sz w:val="18"/>
                <w:szCs w:val="18"/>
              </w:rPr>
              <w:t xml:space="preserve">IIb </w:t>
            </w:r>
          </w:p>
        </w:tc>
        <w:tc>
          <w:tcPr>
            <w:tcW w:w="1750" w:type="dxa"/>
            <w:shd w:val="clear" w:color="auto" w:fill="auto"/>
            <w:vAlign w:val="center"/>
          </w:tcPr>
          <w:p w:rsidR="001E4849" w:rsidRPr="00BC4799" w:rsidRDefault="001E4849" w:rsidP="00447B79">
            <w:pPr>
              <w:widowControl/>
              <w:rPr>
                <w:rFonts w:ascii="Arial" w:eastAsia="微软雅黑" w:hAnsi="Arial"/>
                <w:kern w:val="0"/>
                <w:sz w:val="18"/>
                <w:szCs w:val="18"/>
              </w:rPr>
            </w:pPr>
            <w:r w:rsidRPr="00BC4799">
              <w:rPr>
                <w:rFonts w:ascii="Arial" w:eastAsia="微软雅黑" w:hAnsi="Arial"/>
                <w:kern w:val="0"/>
                <w:sz w:val="18"/>
                <w:szCs w:val="18"/>
              </w:rPr>
              <w:t>Trabederson</w:t>
            </w:r>
          </w:p>
        </w:tc>
        <w:tc>
          <w:tcPr>
            <w:tcW w:w="1444" w:type="dxa"/>
            <w:shd w:val="clear" w:color="auto" w:fill="auto"/>
            <w:noWrap/>
            <w:vAlign w:val="center"/>
          </w:tcPr>
          <w:p w:rsidR="001E4849" w:rsidRPr="00BC4799" w:rsidRDefault="001E4849" w:rsidP="00447B79">
            <w:pPr>
              <w:widowControl/>
              <w:jc w:val="left"/>
              <w:rPr>
                <w:rFonts w:ascii="Arial" w:eastAsia="微软雅黑" w:hAnsi="Arial"/>
                <w:kern w:val="0"/>
                <w:sz w:val="18"/>
                <w:szCs w:val="18"/>
              </w:rPr>
            </w:pPr>
            <w:r w:rsidRPr="00BC4799">
              <w:rPr>
                <w:rFonts w:ascii="Arial" w:eastAsia="微软雅黑" w:hAnsi="Arial"/>
                <w:kern w:val="0"/>
                <w:sz w:val="18"/>
                <w:szCs w:val="18"/>
              </w:rPr>
              <w:t>28/33</w:t>
            </w:r>
          </w:p>
        </w:tc>
      </w:tr>
      <w:tr w:rsidR="001E4849" w:rsidRPr="00307965" w:rsidTr="00447B79">
        <w:trPr>
          <w:trHeight w:val="87"/>
          <w:jc w:val="center"/>
        </w:trPr>
        <w:tc>
          <w:tcPr>
            <w:tcW w:w="1837" w:type="dxa"/>
            <w:shd w:val="clear" w:color="auto" w:fill="auto"/>
            <w:vAlign w:val="bottom"/>
          </w:tcPr>
          <w:p w:rsidR="001E4849" w:rsidRDefault="001E4849" w:rsidP="00447B79">
            <w:pPr>
              <w:widowControl/>
              <w:rPr>
                <w:rFonts w:ascii="Arial" w:eastAsia="微软雅黑" w:hAnsi="Arial"/>
                <w:kern w:val="0"/>
                <w:sz w:val="18"/>
                <w:szCs w:val="18"/>
              </w:rPr>
            </w:pPr>
            <w:r>
              <w:rPr>
                <w:rFonts w:ascii="Arial" w:eastAsia="微软雅黑" w:hAnsi="Arial"/>
                <w:kern w:val="0"/>
                <w:sz w:val="18"/>
                <w:szCs w:val="18"/>
              </w:rPr>
              <w:t>Jie 2011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{"citationItems":[{"id":"ITEM-1","itemData":{"DOI":"10.1007/s12013-011-9265-6","ISBN":"1559-0283 (Electronic)\\r1085-9195 (Linking)","ISSN":"10859195","PMID":"21909820","abstract":"Establishment of a detection platform for glioblastoma-dendritic cell (DC) vaccine preparation and to determine the efficacy of the vaccine in a clinical trial. Autologous glioblastoma-DC vaccine was prepared from a glioblast specimen procured from surgical resection. The specimen was used to enrich the vaccine with peripherally blood-derived DCs after heat-shock induced, glioblastoma apoptosis. The control group received conventional treatment of surgery and radio-chemotherapy post-operation. The therapeutic group received a combination of glioblastoma-DC vaccine and conventional therapy. A comparison of the functional immune parameters, including tumor control, rate live time, Karnofsky scores, and complications occurring in each group were observed and recorded. The proportions of peripheral CD3(+), CD3(+)CD4(+), CD4(+)/CD8(+), and NK cells were significantly higher after DC vaccination than the control group (P &lt; 0.05). Serum levels of IL-2, IL-12, and IFN-γ were significantly higher after DC vaccination than in the control group (P &lt; 0.05). Nine months after vaccination, tumor control rate is significantly improved in the DC group compared with the control group (P &lt; 0.05); survival rate was significantly higher in DC group than in control group (P &lt; 0.05) and the time to relapse was significantly longer in DC group than that in control group (P &lt; 0.05). Karnofsky scores were better in DC vaccination group 6 and 9 months post-treatment compared with the control group (P &lt; 0.05). The combination of glioma DC vaccine and radiotherapy/chemotherapy post-operatively enhances the immune function of patients, increases the tumor control rate, prolongs the survival time and relapse duration, improves the quality of life, and therefore provides a more effective intervention of treating glioblastoma.","author":[{"dropping-particle":"","family":"Jie","given":"X.","non-dropping-particle":"","parse-names":false,"suffix":""},{"dropping-particle":"","family":"Hua","given":"L.","non-dropping-particle":"","parse-names":false,"suffix":""},{"dropping-particle":"","family":"Jiang","given":"W.","non-dropping-particle":"","parse-names":false,"suffix":""},{"dropping-particle":"","family":"Feng","given":"F.","non-dropping-particle":"","parse-names":false,"suffix":""},{"dropping-particle":"","family":"Feng","given":"G.","non-dropping-particle":"","parse-names":false,"suffix":""},{"dropping-particle":"","family":"Hua","given":"Z.","non-dropping-particle":"","parse-names":false,"suffix":""}],"container-title":"Cell Biochemistry and Biophysics","id":"ITEM-1","issue":"1","issued":{"date-parts":[["2012"]]},"page":"91-99","title":"Clinical Application of a Dendritic Cell Vaccine Raised Against Heat-Shocked Glioblastoma","type":"article-journal","volume":"62"},"uris":["http://www.mendeley.com/documents/?uuid=929b28e7-924e-465d-b12d-2fa499b662f8"]}],"mendeley":{"formattedCitation":"[26]","plainTextFormattedCitation":"[26]","previouslyFormattedCitation":"[10]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[26]</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N/A</w:t>
            </w:r>
          </w:p>
        </w:tc>
        <w:tc>
          <w:tcPr>
            <w:tcW w:w="1750" w:type="dxa"/>
            <w:shd w:val="clear" w:color="auto" w:fill="auto"/>
            <w:vAlign w:val="center"/>
            <w:hideMark/>
          </w:tcPr>
          <w:p w:rsidR="001E4849" w:rsidRPr="00307965" w:rsidRDefault="001E4849" w:rsidP="000609B0">
            <w:pPr>
              <w:widowControl/>
              <w:rPr>
                <w:rFonts w:ascii="Arial" w:eastAsia="微软雅黑" w:hAnsi="Arial"/>
                <w:kern w:val="0"/>
                <w:sz w:val="18"/>
                <w:szCs w:val="18"/>
              </w:rPr>
            </w:pPr>
            <w:bookmarkStart w:id="3" w:name="OLE_LINK5"/>
            <w:bookmarkStart w:id="4" w:name="OLE_LINK6"/>
            <w:r w:rsidRPr="00307965">
              <w:rPr>
                <w:rFonts w:ascii="Arial" w:eastAsia="微软雅黑" w:hAnsi="Arial"/>
                <w:kern w:val="0"/>
                <w:sz w:val="18"/>
                <w:szCs w:val="18"/>
              </w:rPr>
              <w:t>DC</w:t>
            </w:r>
            <w:bookmarkEnd w:id="3"/>
            <w:bookmarkEnd w:id="4"/>
            <w:r w:rsidR="000609B0">
              <w:rPr>
                <w:rFonts w:ascii="Arial" w:eastAsia="微软雅黑" w:hAnsi="Arial"/>
                <w:kern w:val="0"/>
                <w:sz w:val="18"/>
                <w:szCs w:val="18"/>
              </w:rPr>
              <w:t>V</w:t>
            </w:r>
            <w:r w:rsidR="000609B0" w:rsidRPr="000609B0">
              <w:rPr>
                <w:rFonts w:ascii="Arial" w:eastAsia="微软雅黑" w:hAnsi="Arial"/>
                <w:kern w:val="0"/>
                <w:sz w:val="18"/>
                <w:szCs w:val="18"/>
                <w:vertAlign w:val="superscript"/>
              </w:rPr>
              <w:t>b</w:t>
            </w:r>
          </w:p>
        </w:tc>
        <w:tc>
          <w:tcPr>
            <w:tcW w:w="1444" w:type="dxa"/>
            <w:shd w:val="clear" w:color="auto" w:fill="auto"/>
            <w:noWrap/>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13/12</w:t>
            </w:r>
          </w:p>
        </w:tc>
      </w:tr>
      <w:tr w:rsidR="001E4849" w:rsidRPr="00307965" w:rsidTr="00447B79">
        <w:trPr>
          <w:trHeight w:val="402"/>
          <w:jc w:val="center"/>
        </w:trPr>
        <w:tc>
          <w:tcPr>
            <w:tcW w:w="183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Weller 2017</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{"citationItems":[{"id":"ITEM-1","itemData":{"DOI":"10.1016/S1470-2045(17)30517-X","ISBN":"1538-7305","ISSN":"14745488","PMID":"28844499","abstract":"Background Rindopepimut (also known as CDX-110), a vaccine targeting the EGFR deletion mutation EGFRvIII, consists of an EGFRvIII-specific peptide conjugated to keyhole limpet haemocyanin. In the ACT IV study, we aimed to assess whether or not the addition of rindopepimut to standard chemotherapy is able to improve survival in patients with EGFRvIII-positive glioblastoma. Methods In this randomised, double-blind, phase 3 trial, we recruited patients aged 18 years and older with glioblastoma from 165 hospitals in 22 countries. Eligible patients had newly diagnosed glioblastoma confirmed to express EGFRvIII by central analysis, and had undergone maximal surgical resection and completion of standard chemoradiation without progression. Patients were stratified by European Organisation for Research and Treatment of Cancer recursive partitioning analysis class, MGMT promoter methylation, and geographical region, and randomly assigned (1:1) with a prespecified randomisation sequence (block size of four) to receive rindopepimut (500 μg admixed with 150 μg GM-CSF) or control (100 μg keyhole limpet haemocyanin) via monthly intradermal injection until progression or intolerance, concurrent with standard oral temozolomide (150–200 mg/m2 for 5 of 28 days) for 6–12 cycles or longer. Patients, investigators, and the trial funder were masked to treatment allocation. The primary endpoint was overall survival in patients with minimal residual disease (MRD; enhancing tumour &lt;2 cm2 post-chemoradiation by central review), analysed by modified intention to treat. This trial is registered with ClinicalTrials.gov, number NCT01480479. Findings Between April 12, 2012, and Dec 15, 2014, 745 patients were enrolled (405 with MRD, 338 with significant residual disease [SRD], and two unevaluable) and randomly assigned to rindopepimut and temozolomide (n=371) or control and temozolomide (n=374). The study was terminated for futility after a preplanned interim analysis. At final analysis, there was no significant difference in overall survival for patients with MRD: median overall survival was 20·1 months (95% CI 18·5–22·1) in the rindopepimut group versus 20·0 months (18·1–21·9) in the control group (HR 1·01, 95% CI 0·79–1·30; p=0·93). The most common grade 3–4 adverse events for all 369 treated patients in the rindopepimut group versus 372 treated patients in the control group were: thrombocytopenia (32 [9%] vs 23 [6%]), fatigue (six [2%] vs 19 [5%]), brain oedema (eight [2%] vs 11 […","author":[{"dropping-particle":"","family":"Weller","given":"Michael","non-dropping-particle":"","parse-names":false,"suffix":""},{"dropping-particle":"","family":"Butowski","given":"Nicholas","non-dropping-particle":"","parse-names":false,"suffix":""},{"dropping-particle":"","family":"Tran","given":"David D.","non-dropping-particle":"","parse-names":false,"suffix":""},{"dropping-particle":"","family":"Recht","given":"Lawrence D.","non-dropping-particle":"","parse-names":false,"suffix":""},{"dropping-particle":"","family":"Lim","given":"Michael","non-dropping-particle":"","parse-names":false,"suffix":""},{"dropping-particle":"","family":"Hirte","given":"Hal","non-dropping-particle":"","parse-names":false,"suffix":""},{"dropping-particle":"","family":"Ashby","given":"Lynn","non-dropping-particle":"","parse-names":false,"suffix":""},{"dropping-particle":"","family":"Mechtler","given":"Laszlo","non-dropping-particle":"","parse-names":false,"suffix":""},{"dropping-particle":"","family":"Goldlust","given":"Samuel A.","non-dropping-particle":"","parse-names":false,"suffix":""},{"dropping-particle":"","family":"Iwamoto","given":"Fabio","non-dropping-particle":"","parse-names":false,"suffix":""},{"dropping-particle":"","family":"Drappatz","given":"Jan","non-dropping-particle":"","parse-names":false,"suffix":""},{"dropping-particle":"","family":"O'Rourke","given":"Donald M.","non-dropping-particle":"","parse-names":false,"suffix":""},{"dropping-particle":"","family":"Wong","given":"Mark","non-dropping-particle":"","parse-names":false,"suffix":""},{"dropping-particle":"","family":"Hamilton","given":"Mark G.","non-dropping-particle":"","parse-names":false,"suffix":""},{"dropping-particle":"","family":"Finocchiaro","given":"Gaetano","non-dropping-particle":"","parse-names":false,"suffix":""},{"dropping-particle":"","family":"Perry","given":"James","non-dropping-particle":"","parse-names":false,"suffix":""},{"dropping-particle":"","family":"Wick","given":"Wolfgang","non-dropping-particle":"","parse-names":false,"suffix":""},{"dropping-particle":"","family":"Green","given":"Jennifer","non-dropping-particle":"","parse-names":false,"suffix":""},{"dropping-particle":"","family":"He","given":"Yi","non-dropping-particle":"","parse-names":false,"suffix":""},{"dropping-particle":"","family":"Turner","given":"Christopher D.","non-dropping-particle":"","parse-names":false,"suffix":""},{"dropping-particle":"","family":"Yellin","given":"Michael J.","non-dropping-particle":"","parse-names":false,"suffix":""},{"dropping-particle":"","family":"Keler","given":"Tibor","non-dropping-particle":"","parse-names":false,"suffix":""},{"dropping-particle":"","family":"Davis","given":"Thomas A.","non-dropping-particle":"","parse-names":false,"suffix":""},{"dropping-particle":"","family":"Stupp","given":"Roger","non-dropping-particle":"","parse-names":false,"suffix":""},{"dropping-particle":"","family":"Sampson","given":"John H.","non-dropping-particle":"","parse-names":false,"suffix":""},{"dropping-particle":"","family":"Butowski","given":"Nicholas","non-dropping-particle":"","parse-names":false,"suffix":""},{"dropping-particle":"","family":"Campian","given":"Jian","non-dropping-particle":"","parse-names":false,"suffix":""},{"dropping-particle":"","family":"Recht","given":"Lawrence","non-dropping-particle":"","parse-names":false,"suffix":""},{"dropping-particle":"","family":"Lim","given":"Michael","non-dropping-particle":"","parse-names":false,"suffix":""},{"dropping-particle":"","family":"Ashby","given":"Lynn","non-dropping-particle":"","parse-names":false,"suffix":""},{"dropping-particle":"","family":"Drappatz","given":"Jan","non-dropping-particle":"","parse-names":false,"suffix":""},{"dropping-particle":"","family":"Hirte","given":"Hal","non-dropping-particle":"","parse-names":false,"suffix":""},{"dropping-particle":"","family":"Iwamoto","given":"Fabio","non-dropping-particle":"","parse-names":false,"suffix":""},{"dropping-particle":"","family":"Mechtler","given":"Laszlo","non-dropping-particle":"","parse-names":false,"suffix":""},{"dropping-particle":"","family":"Goldlust","given":"Samuel","non-dropping-particle":"","parse-names":false,"suffix":""},{"dropping-particle":"","family":"Becker","given":"Kevin","non-dropping-particle":"","parse-names":false,"suffix":""},{"dropping-particle":"","family":"Barnett","given":"Gene","non-dropping-particle":"","parse-names":false,"suffix":""},{"dropping-particle":"","family":"Nicholas","given":"Garth","non-dropping-particle":"","parse-names":false,"suffix":""},{"dropping-particle":"","family":"Desjardins","given":"Annick","non-dropping-particle":"","parse-names":false,"suffix":""},{"dropping-particle":"","family":"Benkers","given":"Tara","non-dropping-particle":"","parse-names":false,"suffix":""},{"dropping-particle":"","family":"Wagle","given":"Naveed","non-dropping-particle":"","parse-names":false,"suffix":""},{"dropping-particle":"","family":"Groves","given":"Morris","non-dropping-particle":"","parse-names":false,"suffix":""},{"dropping-particle":"","family":"Kesari","given":"Santosh","non-dropping-particle":"","parse-names":false,"suffix":""},{"dropping-particle":"","family":"Horvath","given":"Zsolt","non-dropping-particle":"","parse-names":false,"suffix":""},{"dropping-particle":"","family":"Merrell","given":"Ryan","non-dropping-particle":"","parse-names":false,"suffix":""},{"dropping-particle":"","family":"Curry","given":"Richard","non-dropping-particle":"","parse-names":false,"suffix":""},{"dropping-particle":"","family":"O'Rourke","given":"James","non-dropping-particle":"","parse-names":false,"suffix":""},{"dropping-particle":"","family":"Schuster","given":"David","non-dropping-particle":"","parse-names":false,"suffix":""},{"dropping-particle":"","family":"Wong","given":"Mark","non-dropping-particle":"","parse-names":false,"suffix":""},{"dropping-particle":"","family":"Mrugala","given":"Maciej","non-dropping-particle":"","parse-names":false,"suffix":""},{"dropping-particle":"","family":"Jensen","given":"Randy","non-dropping-particle":"","parse-names":false,"suffix":""},{"dropping-particle":"","family":"Trusheim","given":"John","non-dropping-particle":"","parse-names":false,"suffix":""},{"dropping-particle":"","family":"Lesser","given":"Glenn","non-dropping-particle":"","parse-names":false,"suffix":""},{"dropping-particle":"","family":"Belanger","given":"Karl","non-dropping-particle":"","parse-names":false,"suffix":""},{"dropping-particle":"","family":"Sloan","given":"Andrew","non-dropping-particle":"","parse-names":false,"suffix":""},{"dropping-particle":"","family":"Purow","given":"Benjamin","non-dropping-particle":"","parse-names":false,"suffix":""},{"dropping-particle":"","family":"Fink","given":"Karen","non-dropping-particle":"","parse-names":false,"suffix":""},{"dropping-particle":"","family":"Raizer","given":"Jeffrey","non-dropping-particle":"","parse-names":false,"suffix":""},{"dropping-particle":"","family":"Schulder","given":"Michael","non-dropping-particle":"","parse-names":false,"suffix":""},{"dropping-particle":"","family":"Nair","given":"Suresh","non-dropping-particle":"","parse-names":false,"suffix":""},{"dropping-particle":"","family":"Peak","given":"Scott","non-dropping-particle":"","parse-names":false,"suffix":""},{"dropping-particle":"","family":"Perry","given":"James","non-dropping-particle":"","parse-names":false,"suffix":""},{"dropping-particle":"","family":"Brandes","given":"Alba","non-dropping-particle":"","parse-names":false,"suffix":""},{"dropping-particle":"","family":"Weller","given":"Michael","non-dropping-particle":"","parse-names":false,"suffix":""},{"dropping-particle":"","family":"Mohile","given":"Nimish","non-dropping-particle":"","parse-names":false,"suffix":""},{"dropping-particle":"","family":"Landolfi","given":"Joseph","non-dropping-particle":"","parse-names":false,"suffix":""},{"dropping-particle":"","family":"Olson","given":"Jon","non-dropping-particle":"","parse-names":false,"suffix":""},{"dropping-particle":"","family":"Finocchiaro","given":"Gaetano","non-dropping-particle":"","parse-names":false,"suffix":""},{"dropping-particle":"","family":"Jennens","given":"Ross","non-dropping-particle":"","parse-names":false,"suffix":""},{"dropping-particle":"","family":"DeSouza","given":"Paul","non-dropping-particle":"","parse-names":false,"suffix":""},{"dropping-particle":"","family":"Robinson","given":"Bridget","non-dropping-particle":"","parse-names":false,"suffix":""},{"dropping-particle":"","family":"Crittenden","given":"Marka","non-dropping-particle":"","parse-names":false,"suffix":""},{"dropping-particle":"","family":"Shih","given":"Kent","non-dropping-particle":"","parse-names":false,"suffix":""},{"dropping-particle":"","family":"Flowers","given":"Alexandra","non-dropping-particle":"","parse-names":false,"suffix":""},{"dropping-particle":"","family":"Ong","given":"Shirley","non-dropping-particle":"","parse-names":false,"suffix":""},{"dropping-particle":"","family":"Connelly","given":"Jennifer","non-dropping-particle":"","parse-names":false,"suffix":""},{"dropping-particle":"","family":"Hadjipanayis","given":"Costas","non-dropping-particle":"","parse-names":false,"suffix":""},{"dropping-particle":"","family":"Giglio","given":"Pierre","non-dropping-particle":"","parse-names":false,"suffix":""},{"dropping-particle":"","family":"Mott","given":"Frank","non-dropping-particle":"","parse-names":false,"suffix":""},{"dropping-particle":"","family":"Mathieu","given":"David","non-dropping-particle":"","parse-names":false,"suffix":""},{"dropping-particle":"","family":"Lessard","given":"Nathalie","non-dropping-particle":"","parse-names":false,"suffix":""},{"dropping-particle":"","family":"Sepulveda","given":"Sanchez Juan","non-dropping-particle":"","parse-names":false,"suffix":""},{"dropping-particle":"","family":"Lövey","given":"József","non-dropping-particle":"","parse-names":false,"suffix":""},{"dropping-particle":"","family":"Wheeler","given":"Helen","non-dropping-particle":"","parse-names":false,"suffix":""},{"dropping-particle":"","family":"Inglis","given":"Po Ling","non-dropping-particle":"","parse-names":false,"suffix":""},{"dropping-particle":"","family":"Hardie","given":"Claire","non-dropping-particle":"","parse-names":false,"suffix":""},{"dropping-particle":"","family":"Bota","given":"Daniela","non-dropping-particle":"","parse-names":false,"suffix":""},{"dropping-particle":"","family":"Lesniak","given":"Maciej","non-dropping-particle":"","parse-names":false,"suffix":""},{"dropping-particle":"","family":"Portnow","given":"Jana","non-dropping-particle":"","parse-names":false,"suffix":""},{"dropping-particle":"","family":"Frankel","given":"Bruce","non-dropping-particle":"","parse-names":false,"suffix":""},{"dropping-particle":"","family":"Junck","given":"Larry","non-dropping-particle":"","parse-names":false,"suffix":""},{"dropping-particle":"","family":"Thompson","given":"Reid","non-dropping-particle":"","parse-names":false,"suffix":""},{"dropping-particle":"","family":"Berk","given":"Lawrence","non-dropping-particle":"","parse-names":false,"suffix":""},{"dropping-particle":"","family":"McGhie","given":"John","non-dropping-particle":"","parse-names":false,"suffix":""},{"dropping-particle":"","family":"Macdonald","given":"David","non-dropping-particle":"","parse-names":false,"suffix":""},{"dropping-particle":"","family":"Saran","given":"Frank","non-dropping-particle":"","parse-names":false,"suffix":""},{"dropping-particle":"","family":"Soffietti","given":"Riccardo","non-dropping-particle":"","parse-names":false,"suffix":""},{"dropping-particle":"","family":"Blumenthal","given":"Deborah","non-dropping-particle":"","parse-names":false,"suffix":""},{"dropping-particle":"","family":"André de","given":"Sá Barreto Costa Marcos","non-dropping-particle":"","parse-names":false,"suffix":""},{"dropping-particle":"","family":"Nowak","given":"Anna","non-dropping-particle":"","parse-names":false,"suffix":""},{"dropping-particle":"","family":"Singhal","given":"Nimit","non-dropping-particle":"","parse-names":false,"suffix":""},{"dropping-particle":"","family":"Hottinger","given":"Andreas","non-dropping-particle":"","parse-names":false,"suffix":""},{"dropping-particle":"","family":"Schmid","given":"Andrea","non-dropping-particle":"","parse-names":false,"suffix":""},{"dropping-particle":"","family":"Srkalovic","given":"Gordan","non-dropping-particle":"","parse-names":false,"suffix":""},{"dropping-particle":"","family":"Baskin","given":"David","non-dropping-particle":"","parse-names":false,"suffix":""},{"dropping-particle":"","family":"Fadul","given":"Camilo","non-dropping-particle":"","parse-names":false,"suffix":""},{"dropping-particle":"","family":"Nabors","given":"Louis","non-dropping-particle":"","parse-names":false,"suffix":""},{"dropping-particle":"","family":"LaRocca","given":"Renato","non-dropping-particle":"","parse-names":false,"suffix":""},{"dropping-particle":"","family":"Villano","given":"John","non-dropping-particle":"","parse-names":false,"suffix":""},{"dropping-particle":"","family":"Paleologos","given":"Nina","non-dropping-particle":"","parse-names":false,"suffix":""},{"dropping-particle":"","family":"Kavan","given":"Petr","non-dropping-particle":"","parse-names":false,"suffix":""},{"dropping-particle":"","family":"Pitz","given":"Marshall","non-dropping-particle":"","parse-names":false,"suffix":""},{"dropping-particle":"","family":"Thiessen","given":"Brian","non-dropping-particle":"","parse-names":false,"suffix":""},{"dropping-particle":"","family":"Idbaih","given":"Ahmed","non-dropping-particle":"","parse-names":false,"suffix":""},{"dropping-particle":"","family":"Frenel","given":"Jean Sébastien","non-dropping-particle":"","parse-names":false,"suffix":""},{"dropping-particle":"","family":"Domont","given":"Julien","non-dropping-particle":"","parse-names":false,"suffix":""},{"dropping-particle":"","family":"Grauer","given":"Oliver","non-dropping-particle":"","parse-names":false,"suffix":""},{"dropping-particle":"","family":"Hau","given":"Peter","non-dropping-particle":"","parse-names":false,"suffix":""},{"dropping-particle":"","family":"Marosi","given":"Christine","non-dropping-particle":"","parse-names":false,"suffix":""},{"dropping-particle":"","family":"Sroubek","given":"Jan","non-dropping-particle":"","parse-names":false,"suffix":""},{"dropping-particle":"","family":"Hovey","given":"Elizabeth","non-dropping-particle":"","parse-names":false,"suffix":""},{"dropping-particle":"","family":"Sridhar","given":"P. S.","non-dropping-particle":"","parse-names":false,"suffix":""},{"dropping-particle":"","family":"Cher","given":"Lawrence","non-dropping-particle":"","parse-names":false,"suffix":""},{"dropping-particle":"","family":"Dunbar","given":"Erin","non-dropping-particle":"","parse-names":false,"suffix":""},{"dropping-particle":"","family":"Coyle","given":"Thomas","non-dropping-particle":"","parse-names":false,"suffix":""},{"dropping-particle":"","family":"Raymond","given":"Jane","non-dropping-particle":"","parse-names":false,"suffix":""},{"dropping-particle":"","family":"Barton","given":"Kevin","non-dropping-particle":"","parse-names":false,"suffix":""},{"dropping-particle":"","family":"Guarino","given":"Michael","non-dropping-particle":"","parse-names":false,"suffix":""},{"dropping-particle":"","family":"Raval","given":"Sumul","non-dropping-particle":"","parse-names":false,"suffix":""},{"dropping-particle":"","family":"Stea","given":"Baldassarre","non-dropping-particle":"","parse-names":false,"suffix":""},{"dropping-particle":"","family":"Dietrich","given":"Jorge","non-dropping-particle":"","parse-names":false,"suffix":""},{"dropping-particle":"","family":"Hopkins","given":"Kirsten","non-dropping-particle":"","parse-names":false,"suffix":""},{"dropping-particle":"","family":"Erridge","given":"Sara","non-dropping-particle":"","parse-names":false,"suffix":""},{"dropping-particle":"","family":"Steinbach","given":"Joachim Peter","non-dropping-particle":"","parse-names":false,"suffix":""},{"dropping-particle":"","family":"Pineda","given":"Losada Estela","non-dropping-particle":"","parse-names":false,"suffix":""},{"dropping-particle":"","family":"Balana","given":"Quintero Carmen","non-dropping-particle":"","parse-names":false,"suffix":""},{"dropping-particle":"","family":"Sonia del","given":"Barco Berron","non-dropping-particle":"","parse-names":false,"suffix":""},{"dropping-particle":"","family":"Wenczl","given":"Miklós","non-dropping-particle":"","parse-names":false,"suffix":""},{"dropping-particle":"","family":"Molnár","given":"Katalin","non-dropping-particle":"","parse-names":false,"suffix":""},{"dropping-particle":"","family":"Hideghéty","given":"Katalin","non-dropping-particle":"","parse-names":false,"suffix":""},{"dropping-particle":"","family":"Lossos","given":"Alexander","non-dropping-particle":"","parse-names":false,"suffix":""},{"dropping-particle":"","family":"Myra van","given":"Linde","non-dropping-particle":"","parse-names":false,"suffix":""},{"dropping-particle":"","family":"Levy","given":"Ana","non-dropping-particle":"","parse-names":false,"suffix":""},{"dropping-particle":"","family":"Harrup","given":"Rosemary","non-dropping-particle":"","parse-names":false,"suffix":""},{"dropping-particle":"","family":"Patterson","given":"William","non-dropping-particle":"","parse-names":false,"suffix":""},{"dropping-particle":"","family":"Lwin","given":"Zarnie","non-dropping-particle":"","parse-names":false,"suffix":""},{"dropping-particle":"","family":"Sathornsumetee","given":"Sith","non-dropping-particle":"","parse-names":false,"suffix":""},{"dropping-particle":"","family":"Lee","given":"E. Jian","non-dropping-particle":"","parse-names":false,"suffix":""},{"dropping-particle":"","family":"Ho","given":"Jih Tsun","non-dropping-particle":"","parse-names":false,"suffix":""},{"dropping-particle":"","family":"Emmons","given":"Steven","non-dropping-particle":"","parse-names":false,"suffix":""},{"dropping-particle":"","family":"Duic","given":"J. Paul","non-dropping-particle":"","parse-names":false,"suffix":""},{"dropping-particle":"","family":"Shao","given":"Spencer","non-dropping-particle":"","parse-names":false,"suffix":""},{"dropping-particle":"","family":"Ashamalla","given":"Hani","non-dropping-particle":"","parse-names":false,"suffix":""},{"dropping-particle":"","family":"Weaver","given":"Michael","non-dropping-particle":"","parse-names":false,"suffix":""},{"dropping-particle":"","family":"Lutzky","given":"Jose","non-dropping-particle":"","parse-names":false,"suffix":""},{"dropping-particle":"","family":"Avgeropoulos","given":"Nicholas","non-dropping-particle":"","parse-names":false,"suffix":""},{"dropping-particle":"","family":"Hanna","given":"Wahid","non-dropping-particle":"","parse-names":false,"suffix":""},{"dropping-particle":"","family":"Nadipuram","given":"Mukund","non-dropping-particle":"","parse-names":false,"suffix":""},{"dropping-particle":"","family":"Cecchi","given":"Gary","non-dropping-particle":"","parse-names":false,"suffix":""},{"dropping-particle":"","family":"O'Donnell","given":"Robert","non-dropping-particle":"","parse-names":false,"suffix":""},{"dropping-particle":"","family":"Pannullo","given":"Susan","non-dropping-particle":"","parse-names":false,"suffix":""},{"dropping-particle":"","family":"Carney","given":"Jennifer","non-dropping-particle":"","parse-names":false,"suffix":""},{"dropping-particle":"","family":"Hamilton","given":"Mark","non-dropping-particle":"","parse-names":false,"suffix":""},{"dropping-particle":"","family":"MacNeil","given":"Mary","non-dropping-particle":"","parse-names":false,"suffix":""},{"dropping-particle":"","family":"Beaney","given":"Ronald","non-dropping-particle":"","parse-names":false,"suffix":""},{"dropping-particle":"","family":"Fabbro","given":"Michel","non-dropping-particle":"","parse-names":false,"suffix":""},{"dropping-particle":"","family":"Schnell","given":"Oliver","non-dropping-particle":"","parse-names":false,"suffix":""},{"dropping-particle":"","family":"Fietkau","given":"Rainer","non-dropping-particle":"","parse-names":false,"suffix":""},{"dropping-particle":"","family":"Stockhammer","given":"Guenther","non-dropping-particle":"","parse-names":false,"suffix":""},{"dropping-particle":"","family":"Malinova","given":"Bela","non-dropping-particle":"","parse-names":false,"suffix":""},{"dropping-particle":"","family":"Odrazka","given":"Karel","non-dropping-particle":"","parse-names":false,"suffix":""},{"dropping-particle":"","family":"Sames","given":"Martin","non-dropping-particle":"","parse-names":false,"suffix":""},{"dropping-particle":"","family":"Miguel Gil","given":"Gil","non-dropping-particle":"","parse-names":false,"suffix":""},{"dropping-particle":"","family":"Razis","given":"Evangelia","non-dropping-particle":"","parse-names":false,"suffix":""},{"dropping-particle":"","family":"Lavrenkov","given":"Konstantin","non-dropping-particle":"","parse-names":false,"suffix":""},{"dropping-particle":"","family":"Castro","given":"Guillermo","non-dropping-particle":"","parse-names":false,"suffix":""},{"dropping-particle":"","family":"Ramirez","given":"Francisco","non-dropping-particle":"","parse-names":false,"suffix":""},{"dropping-particle":"","family":"Baldotto","given":"Clarissa","non-dropping-particle":"","parse-names":false,"suffix":""},{"dropping-particle":"","family":"Viola","given":"Fabiana","non-dropping-particle":"","parse-names":false,"suffix":""},{"dropping-particle":"","family":"Malheiros","given":"Suzana","non-dropping-particle":"","parse-names":false,"suffix":""},{"dropping-particle":"","family":"Lickliter","given":"Jason","non-dropping-particle":"","parse-names":false,"suffix":""},{"dropping-particle":"","family":"Gauden","given":"Stanislaw","non-dropping-particle":"","parse-names":false,"suffix":""},{"dropping-particle":"","family":"Dechaphunkul","given":"Arunee","non-dropping-particle":"","parse-names":false,"suffix":""},{"dropping-particle":"","family":"Thaipisuttikul","given":"Iyavut","non-dropping-particle":"","parse-names":false,"suffix":""},{"dropping-particle":"","family":"Thotathil","given":"Ziad","non-dropping-particle":"","parse-names":false,"suffix":""},{"dropping-particle":"","family":"Ma","given":"Hsin I.","non-dropping-particle":"","parse-names":false,"suffix":""},{"dropping-particle":"","family":"Cheng","given":"Wen Yu","non-dropping-particle":"","parse-names":false,"suffix":""},{"dropping-particle":"","family":"Chang","given":"Chin Hong","non-dropping-particle":"","parse-names":false,"suffix":""},{"dropping-particle":"","family":"Salas","given":"Fernando","non-dropping-particle":"","parse-names":false,"suffix":""},{"dropping-particle":"","family":"Dietrich","given":"Pierre Yves","non-dropping-particle":"","parse-names":false,"suffix":""},{"dropping-particle":"","family":"Mamot","given":"Christoph","non-dropping-particle":"","parse-names":false,"suffix":""},{"dropping-particle":"","family":"Nayak","given":"Lakshmi","non-dropping-particle":"","parse-names":false,"suffix":""},{"dropping-particle":"","family":"Nag","given":"Shona","non-dropping-particle":"","parse-names":false,"suffix":""}],"container-title":"The Lancet Oncology","id":"ITEM-1","issue":"10","issued":{"date-parts":[["2017"]]},"page":"1373-1385","title":"Rindopepimut with temozolomide for patients with newly diagnosed, EGFRvIII-expressing glioblastoma (ACT IV): a randomised, double-blind, international phase 3 trial","type":"article-journal","volume":"18"},"uris":["http://www.mendeley.com/documents/?uuid=6ba3e021-63fa-4290-ae5b-82611c00e529"]}],"mendeley":{"formattedCitation":"[27]","plainTextFormattedCitation":"[27]","previouslyFormattedCitation":"[23]"},"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[27]</w:t>
            </w:r>
            <w:r>
              <w:rPr>
                <w:rFonts w:ascii="Arial" w:eastAsia="微软雅黑" w:hAnsi="Arial"/>
                <w:kern w:val="0"/>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bookmarkStart w:id="5" w:name="OLE_LINK1"/>
            <w:bookmarkStart w:id="6" w:name="OLE_LINK2"/>
            <w:r w:rsidRPr="00307965">
              <w:rPr>
                <w:rFonts w:ascii="Arial" w:eastAsia="微软雅黑" w:hAnsi="Arial"/>
                <w:kern w:val="0"/>
                <w:sz w:val="18"/>
                <w:szCs w:val="18"/>
              </w:rPr>
              <w:t>Randomized</w:t>
            </w:r>
            <w:bookmarkEnd w:id="5"/>
            <w:bookmarkEnd w:id="6"/>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NCT01480479</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III</w:t>
            </w:r>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Rindopepimu</w:t>
            </w:r>
            <w:r>
              <w:rPr>
                <w:rFonts w:ascii="Arial" w:eastAsia="微软雅黑" w:hAnsi="Arial"/>
                <w:kern w:val="0"/>
                <w:sz w:val="18"/>
                <w:szCs w:val="18"/>
              </w:rPr>
              <w:t>t</w:t>
            </w:r>
          </w:p>
        </w:tc>
        <w:tc>
          <w:tcPr>
            <w:tcW w:w="1444"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371/374</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sz w:val="18"/>
                <w:szCs w:val="18"/>
              </w:rPr>
            </w:pPr>
            <w:r>
              <w:rPr>
                <w:rFonts w:ascii="Arial" w:eastAsia="微软雅黑" w:hAnsi="Arial"/>
                <w:sz w:val="18"/>
                <w:szCs w:val="18"/>
              </w:rPr>
              <w:t>Wheeler 2016</w:t>
            </w:r>
            <w:r>
              <w:rPr>
                <w:rFonts w:ascii="Arial" w:eastAsia="微软雅黑" w:hAnsi="Arial"/>
                <w:sz w:val="18"/>
                <w:szCs w:val="18"/>
              </w:rPr>
              <w:fldChar w:fldCharType="begin" w:fldLock="1"/>
            </w:r>
            <w:r>
              <w:rPr>
                <w:rFonts w:ascii="Arial" w:eastAsia="微软雅黑" w:hAnsi="Arial"/>
                <w:sz w:val="18"/>
                <w:szCs w:val="18"/>
              </w:rPr>
              <w:instrText>ADDIN CSL_CITATION {"citationItems":[{"id":"ITEM-1","itemData":{"DOI":"10.1093/neuonc/now002","ISBN":"1523-5866 (Electronic)\r1522-8517 (Linking)","ISSN":"15235866","PMID":"26843484","abstract":"BACKGROUND: Despite aggressive standard of care (SOC) treatment, survival of malignant gliomas remains very poor. This phase 2, prospective, matched controlled, multicenter trial was conducted to assess the safety and efficacy of aglatimagene besadenovec (AdV-tk) plus valacyclovir (gene-mediated cytotoxic immunotherapy [GMCI]) in combination with SOC for newly diagnosed malignant glioma patients.\\n\\nMETHODS: Treatment cohort patients received SOC + GMCI and were enrolled at 4 institutions from 2006 to 2010. The preplanned, matched-control cohort included all concurrent patients meeting protocol criteria and SOC at a fifth institution. AdV-tk was administered at surgery followed by SOC radiation and temozolomide. Subset analyses were preplanned, based on prognostic factors: pathological diagnosis (glioblastoma vs others) and extent of resection.\\n\\nRESULTS: Forty-eight patients completed SOC + GMCI, and 134 met control cohort criteria. Median overall survival (OS) was 17.1 months for GMCI + SOC versus 13.5 months for SOC alone (P = .0417). Survival at 1, 2, and 3 years was 67%, 35%, and 19% versus 57%, 22%, and 8%, respectively. The greatest benefit was observed in gross total resection patients: median OS of 25 versus 16.9 months (P = .0492); 1, 2, and 3-year survival of 90%, 53%, and 32% versus 64%, 28% and 6%, respectively. There were no dose-limiting toxicities; fever, fatigue, and headache were the most common GMCI-related symptoms.\\n\\nCONCLUSIONS: GMCI can be safely combined with SOC in newly diagnosed malignant gliomas. Survival outcomes were most notably improved in patients with minimal residual disease after gross total resection. These data should help guide future immunotherapy studies and strongly support further evaluation of GMCI for malignant gliomas.\\n\\nCLINICAL TRIAL REGISTRY: ClinicalTrials.gov NCT00589875.","author":[{"dropping-particle":"","family":"Wheeler","given":"Lee A.","non-dropping-particle":"","parse-names":false,"suffix":""},{"dropping-particle":"","family":"Manzanera","given":"Andrea G.","non-dropping-particle":"","parse-names":false,"suffix":""},{"dropping-particle":"","family":"Bell","given":"Susan D.","non-dropping-particle":"","parse-names":false,"suffix":""},{"dropping-particle":"","family":"Cavaliere","given":"Robert","non-dropping-particle":"","parse-names":false,"suffix":""},{"dropping-particle":"","family":"McGregor","given":"John M.","non-dropping-particle":"","parse-names":false,"suffix":""},{"dropping-particle":"","family":"Grecula","given":"John C.","non-dropping-particle":"","parse-names":false,"suffix":""},{"dropping-particle":"","family":"Newton","given":"Herbert B.","non-dropping-particle":"","parse-names":false,"suffix":""},{"dropping-particle":"","family":"Lo","given":"Simon S.","non-dropping-particle":"","parse-names":false,"suffix":""},{"dropping-particle":"","family":"Badie","given":"Behnam","non-dropping-particle":"","parse-names":false,"suffix":""},{"dropping-particle":"","family":"Portnow","given":"Jana","non-dropping-particle":"","parse-names":false,"suffix":""},{"dropping-particle":"","family":"Teh","given":"Bin S.","non-dropping-particle":"","parse-names":false,"suffix":""},{"dropping-particle":"","family":"Trask","given":"Todd W.","non-dropping-particle":"","parse-names":false,"suffix":""},{"dropping-particle":"","family":"Baskin","given":"David S.","non-dropping-particle":"","parse-names":false,"suffix":""},{"dropping-particle":"","family":"New","given":"Pamela Z.","non-dropping-particle":"","parse-names":false,"suffix":""},{"dropping-particle":"","family":"Aguilar","given":"Laura K.","non-dropping-particle":"","parse-names":false,"suffix":""},{"dropping-particle":"","family":"Aguilar-Cordova","given":"Estuardo","non-dropping-particle":"","parse-names":false,"suffix":""},{"dropping-particle":"","family":"Chiocca","given":"E. Antonio","non-dropping-particle":"","parse-names":false,"suffix":""}],"container-title":"Neuro-Oncology","id":"ITEM-1","issue":"8","issued":{"date-parts":[["2016"]]},"page":"1137-1145","title":"Phase II multicenter study of gene-mediated cytotoxic immunotherapy as adjuvant to surgical resection for newly diagnosed malignant glioma","type":"article-journal","volume":"18"},"uris":["http://www.mendeley.com/documents/?uuid=24dc239d-4531-4024-916d-72b569ecef1a"]}],"mendeley":{"formattedCitation":"[28]","plainTextFormattedCitation":"[28]","previouslyFormattedCitation":"[24]"},"properties":{"noteIndex":0},"schema":"https://github.com/citation-style-language/schema/raw/master/csl-citation.json"}</w:instrText>
            </w:r>
            <w:r>
              <w:rPr>
                <w:rFonts w:ascii="Arial" w:eastAsia="微软雅黑" w:hAnsi="Arial"/>
                <w:sz w:val="18"/>
                <w:szCs w:val="18"/>
              </w:rPr>
              <w:fldChar w:fldCharType="separate"/>
            </w:r>
            <w:r w:rsidRPr="00B261A6">
              <w:rPr>
                <w:rFonts w:ascii="Arial" w:eastAsia="微软雅黑" w:hAnsi="Arial"/>
                <w:noProof/>
                <w:sz w:val="18"/>
                <w:szCs w:val="18"/>
              </w:rPr>
              <w:t>[28]</w:t>
            </w:r>
            <w:r>
              <w:rPr>
                <w:rFonts w:ascii="Arial" w:eastAsia="微软雅黑" w:hAnsi="Arial"/>
                <w:sz w:val="18"/>
                <w:szCs w:val="18"/>
              </w:rPr>
              <w:fldChar w:fldCharType="end"/>
            </w:r>
          </w:p>
        </w:tc>
        <w:tc>
          <w:tcPr>
            <w:tcW w:w="1258"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Historical</w:t>
            </w:r>
          </w:p>
        </w:tc>
        <w:tc>
          <w:tcPr>
            <w:tcW w:w="1416"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NCT00589875</w:t>
            </w:r>
          </w:p>
        </w:tc>
        <w:tc>
          <w:tcPr>
            <w:tcW w:w="767"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bookmarkStart w:id="7" w:name="OLE_LINK3"/>
            <w:bookmarkStart w:id="8" w:name="OLE_LINK4"/>
            <w:r w:rsidRPr="00307965">
              <w:rPr>
                <w:rFonts w:ascii="Arial" w:eastAsia="微软雅黑" w:hAnsi="Arial"/>
                <w:kern w:val="0"/>
                <w:sz w:val="18"/>
                <w:szCs w:val="18"/>
              </w:rPr>
              <w:t>II</w:t>
            </w:r>
            <w:bookmarkEnd w:id="7"/>
            <w:bookmarkEnd w:id="8"/>
          </w:p>
        </w:tc>
        <w:tc>
          <w:tcPr>
            <w:tcW w:w="1750" w:type="dxa"/>
            <w:shd w:val="clear" w:color="auto" w:fill="auto"/>
            <w:vAlign w:val="bottom"/>
            <w:hideMark/>
          </w:tcPr>
          <w:p w:rsidR="001E4849" w:rsidRPr="00307965" w:rsidRDefault="001E4849" w:rsidP="00447B79">
            <w:pPr>
              <w:widowControl/>
              <w:jc w:val="left"/>
              <w:rPr>
                <w:rFonts w:ascii="Arial" w:eastAsia="微软雅黑" w:hAnsi="Arial"/>
                <w:kern w:val="0"/>
                <w:sz w:val="18"/>
                <w:szCs w:val="18"/>
              </w:rPr>
            </w:pPr>
            <w:bookmarkStart w:id="9" w:name="OLE_LINK10"/>
            <w:bookmarkStart w:id="10" w:name="OLE_LINK11"/>
            <w:r w:rsidRPr="00307965">
              <w:rPr>
                <w:rFonts w:ascii="Arial" w:eastAsia="微软雅黑" w:hAnsi="Arial"/>
                <w:kern w:val="0"/>
                <w:sz w:val="18"/>
                <w:szCs w:val="18"/>
              </w:rPr>
              <w:t>AdV-tk</w:t>
            </w:r>
            <w:bookmarkEnd w:id="9"/>
            <w:bookmarkEnd w:id="10"/>
          </w:p>
        </w:tc>
        <w:tc>
          <w:tcPr>
            <w:tcW w:w="1444" w:type="dxa"/>
            <w:shd w:val="clear" w:color="auto" w:fill="auto"/>
            <w:vAlign w:val="bottom"/>
            <w:hideMark/>
          </w:tcPr>
          <w:p w:rsidR="001E4849" w:rsidRPr="00695B08" w:rsidRDefault="001E4849" w:rsidP="00447B79">
            <w:pPr>
              <w:widowControl/>
              <w:jc w:val="left"/>
              <w:rPr>
                <w:rFonts w:ascii="Arial" w:eastAsia="微软雅黑" w:hAnsi="Arial"/>
                <w:sz w:val="18"/>
                <w:szCs w:val="18"/>
              </w:rPr>
            </w:pPr>
            <w:r w:rsidRPr="00307965">
              <w:rPr>
                <w:rFonts w:ascii="Arial" w:eastAsia="微软雅黑" w:hAnsi="Arial"/>
                <w:sz w:val="18"/>
                <w:szCs w:val="18"/>
              </w:rPr>
              <w:t>48/134</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Yao 2018</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{"citationItems":[{"id":"ITEM-1","itemData":{"DOI":"10.1007/s00262-018-2232-y","ISBN":"0123456789","ISSN":"14320851","PMID":"30159779","abstract":"Dendritic cell (DC)-based vaccination is a promising approach for active-specific immunotherapy, but is currently of limited efficacy. The safety and effectiveness of a DC vaccine (DCV) loaded with glioblastoma stem cell-like (GSC) antigens was assessed in glioblastoma multiforme (GBM) patients. In this double-blind, placebo-controlled phase II clinical trial, 43 GBM patients were randomized after surgery at a 1:1 ratio to receive either DCV (n = 22) or normal saline placebo (n = 21). Overall survival (OS) and progression-free survival (PFS) were analysed. Participants were stratified into different molecular subgroups based on the mutation (MT) status of isocitrate dehydrogenase (IDH1/2) and telomerase reverse transcriptase (TERT). Plasma cytokine levels, tumor-infiltrating lymphocyte numbers and immune co-inhibitory molecules PD-L1 and B7-H4 were also assessed. Multivariate Cox regression analysis revealed that DCV treatment significantly prolonged OS (p = 0.02) after adjusting for IDH1 and TERT promoter MT and B7-H4 expression, primary vs recurrent GBM. Among IDH1wild type (WT) TERTMT patients, DCV treatment significantly prolonged OS (p &lt; 0.01) and PFS (p = 0.03) and increased plasma levels of cytokines CCL22 and IFN-γ compared with placebo. Patients with low B7-H4 expression showed significantly prolonged OS (p = 0.02) after DCV treatment. Therefore, IDH1WTTERTMT and low B7-H4 expression identified subgroups of GBM patients more responsive to GSC DCV-based specific active-immunotherapy.","author":[{"dropping-particle":"","family":"Yao","given":"Yu","non-dropping-particle":"","parse-names":false,"suffix":""},{"dropping-particle":"","family":"Luo","given":"Feifei","non-dropping-particle":"","parse-names":false,"suffix":""},{"dropping-particle":"","family":"Tang","given":"Chao","non-dropping-particle":"","parse-names":false,"suffix":""},{"dropping-particle":"","family":"Chen","given":"Dikang","non-dropping-particle":"","parse-names":false,"suffix":""},{"dropping-particle":"","family":"Qin","given":"Zhiyong","non-dropping-particle":"","parse-names":false,"suffix":""},{"dropping-particle":"","family":"Hua","given":"Wei","non-dropping-particle":"","parse-names":false,"suffix":""},{"dropping-particle":"","family":"Xu","given":"Ming","non-dropping-particle":"","parse-names":false,"suffix":""},{"dropping-particle":"","family":"Zhong","given":"Ping","non-dropping-particle":"","parse-names":false,"suffix":""},{"dropping-particle":"","family":"Yu","given":"Shuangquan","non-dropping-particle":"","parse-names":false,"suffix":""},{"dropping-particle":"","family":"Chen","given":"Di","non-dropping-particle":"","parse-names":false,"suffix":""},{"dropping-particle":"","family":"Ding","given":"Xiaojie","non-dropping-particle":"","parse-names":false,"suffix":""},{"dropping-particle":"","family":"Zhang","given":"Yi","non-dropping-particle":"","parse-names":false,"suffix":""},{"dropping-particle":"","family":"Zheng","given":"Xiujuan","non-dropping-particle":"","parse-names":false,"suffix":""},{"dropping-particle":"","family":"Yang","given":"Jiao","non-dropping-particle":"","parse-names":false,"suffix":""},{"dropping-particle":"","family":"Qian","given":"Jiawen","non-dropping-particle":"","parse-names":false,"suffix":""},{"dropping-particle":"","family":"Deng","given":"Yuting","non-dropping-particle":"","parse-names":false,"suffix":""},{"dropping-particle":"","family":"Hoon","given":"Dave S.B.","non-dropping-particle":"","parse-names":false,"suffix":""},{"dropping-particle":"","family":"Hu","given":"Jian","non-dropping-particle":"","parse-names":false,"suffix":""},{"dropping-particle":"","family":"Chu","given":"Yiwei","non-dropping-particle":"","parse-names":false,"suffix":""},{"dropping-particle":"","family":"Zhou","given":"Liangfu","non-dropping-particle":"","parse-names":false,"suffix":""}],"container-title":"Cancer Immunology, Immunotherapy","id":"ITEM-1","issue":"11","issued":{"date-parts":[["2018"]]},"page":"1777-1788","publisher":"Springer Berlin Heidelberg","title":"Molecular subgroups and B7-H4 expression levels predict responses to dendritic cell vaccines in glioblastoma: an exploratory randomized phase II clinical trial","type":"article-journal","volume":"67"},"uris":["http://www.mendeley.com/documents/?uuid=42b8d716-6738-4101-af2a-c1a08f66e1b3"]}],"mendeley":{"formattedCitation":"[17]","plainTextFormattedCitation":"[17]","previouslyFormattedCitation":"[13]"},"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[17]</w:t>
            </w:r>
            <w:r>
              <w:rPr>
                <w:rFonts w:ascii="Arial" w:eastAsia="微软雅黑" w:hAnsi="Arial" w:cs="Times New Roman"/>
                <w:kern w:val="0"/>
                <w:sz w:val="18"/>
                <w:szCs w:val="18"/>
              </w:rPr>
              <w:fldChar w:fldCharType="end"/>
            </w:r>
          </w:p>
        </w:tc>
        <w:tc>
          <w:tcPr>
            <w:tcW w:w="1258"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NCT</w:t>
            </w:r>
            <w:r w:rsidRPr="00695B08">
              <w:rPr>
                <w:rFonts w:ascii="Arial" w:eastAsia="微软雅黑" w:hAnsi="Arial"/>
                <w:kern w:val="0"/>
                <w:sz w:val="18"/>
                <w:szCs w:val="18"/>
              </w:rPr>
              <w:t>01567202</w:t>
            </w:r>
          </w:p>
        </w:tc>
        <w:tc>
          <w:tcPr>
            <w:tcW w:w="767"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II</w:t>
            </w:r>
          </w:p>
        </w:tc>
        <w:tc>
          <w:tcPr>
            <w:tcW w:w="1750" w:type="dxa"/>
            <w:shd w:val="clear" w:color="auto" w:fill="auto"/>
            <w:vAlign w:val="bottom"/>
          </w:tcPr>
          <w:p w:rsidR="001E4849" w:rsidRPr="00307965" w:rsidRDefault="000609B0" w:rsidP="00447B79">
            <w:pPr>
              <w:widowControl/>
              <w:jc w:val="left"/>
              <w:rPr>
                <w:rFonts w:ascii="Arial" w:eastAsia="微软雅黑" w:hAnsi="Arial"/>
                <w:kern w:val="0"/>
                <w:sz w:val="18"/>
                <w:szCs w:val="18"/>
              </w:rPr>
            </w:pPr>
            <w:r>
              <w:rPr>
                <w:rFonts w:ascii="Arial" w:eastAsia="微软雅黑" w:hAnsi="Arial"/>
                <w:kern w:val="0"/>
                <w:sz w:val="18"/>
                <w:szCs w:val="18"/>
              </w:rPr>
              <w:t>DCV</w:t>
            </w:r>
            <w:r w:rsidRPr="000609B0">
              <w:rPr>
                <w:rFonts w:ascii="Arial" w:eastAsia="微软雅黑" w:hAnsi="Arial"/>
                <w:kern w:val="0"/>
                <w:sz w:val="18"/>
                <w:szCs w:val="18"/>
                <w:vertAlign w:val="superscript"/>
              </w:rPr>
              <w:t>b</w:t>
            </w:r>
          </w:p>
        </w:tc>
        <w:tc>
          <w:tcPr>
            <w:tcW w:w="1444" w:type="dxa"/>
            <w:shd w:val="clear" w:color="auto" w:fill="auto"/>
            <w:vAlign w:val="bottom"/>
          </w:tcPr>
          <w:p w:rsidR="001E4849" w:rsidRPr="00307965" w:rsidRDefault="001E4849" w:rsidP="00447B79">
            <w:pPr>
              <w:widowControl/>
              <w:jc w:val="left"/>
              <w:rPr>
                <w:rFonts w:ascii="Arial" w:eastAsia="微软雅黑" w:hAnsi="Arial" w:cs="Times New Roman"/>
                <w:kern w:val="0"/>
                <w:sz w:val="18"/>
                <w:szCs w:val="18"/>
              </w:rPr>
            </w:pPr>
            <w:r>
              <w:rPr>
                <w:rFonts w:ascii="Arial" w:eastAsia="微软雅黑" w:hAnsi="Arial" w:cs="Times New Roman" w:hint="eastAsia"/>
                <w:kern w:val="0"/>
                <w:sz w:val="18"/>
                <w:szCs w:val="18"/>
              </w:rPr>
              <w:t>2</w:t>
            </w:r>
            <w:r>
              <w:rPr>
                <w:rFonts w:ascii="Arial" w:eastAsia="微软雅黑" w:hAnsi="Arial" w:cs="Times New Roman"/>
                <w:kern w:val="0"/>
                <w:sz w:val="18"/>
                <w:szCs w:val="18"/>
              </w:rPr>
              <w:t>2/21</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Annick 2018</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{"citationItems":[{"id":"ITEM-1","itemData":{"DOI":"10.1093/neuros/nyy400","ISBN":"1533-4406 (Electronic) 0028-4793 (Linking)","ISSN":"15244040","PMID":"29943666","abstract":"BACKGROUND The prognosis of patients with recurrent World Health Organization (WHO) grade IV malignant glioma is dismal, and there is currently no effective therapy. We conducted a dose-finding and toxicity study in this population of patients, evaluating convection- enhanced, intratumoral delivery of the recombinant nonpathogenic polio–rhinovi- rus chimera (PVSRIPO). PVSRIPO recognizes the poliovirus receptor CD155, which is widely expressed in neoplastic cells of solid tumors and in major components of the tumor microenvironment. METHODS We enrolled consecutive a</w:instrText>
            </w:r>
            <w:r>
              <w:rPr>
                <w:rFonts w:ascii="Arial" w:eastAsia="微软雅黑" w:hAnsi="Arial" w:cs="Times New Roman" w:hint="eastAsia"/>
                <w:kern w:val="0"/>
                <w:sz w:val="18"/>
                <w:szCs w:val="18"/>
              </w:rPr>
              <w:instrText xml:space="preserve">dult patients who had recurrent supratentorial WHO grade IV malignant glioma, confirmed on histopathological testing, with measurable dis- ease (contrast-enhancing tumor of </w:instrText>
            </w:r>
            <w:r>
              <w:rPr>
                <w:rFonts w:ascii="Arial" w:eastAsia="微软雅黑" w:hAnsi="Arial" w:cs="Times New Roman" w:hint="eastAsia"/>
                <w:kern w:val="0"/>
                <w:sz w:val="18"/>
                <w:szCs w:val="18"/>
              </w:rPr>
              <w:instrText>≥</w:instrText>
            </w:r>
            <w:r>
              <w:rPr>
                <w:rFonts w:ascii="Arial" w:eastAsia="微软雅黑" w:hAnsi="Arial" w:cs="Times New Roman" w:hint="eastAsia"/>
                <w:kern w:val="0"/>
                <w:sz w:val="18"/>
                <w:szCs w:val="18"/>
              </w:rPr>
              <w:instrText xml:space="preserve">1 cm and </w:instrText>
            </w:r>
            <w:r>
              <w:rPr>
                <w:rFonts w:ascii="Arial" w:eastAsia="微软雅黑" w:hAnsi="Arial" w:cs="Times New Roman" w:hint="eastAsia"/>
                <w:kern w:val="0"/>
                <w:sz w:val="18"/>
                <w:szCs w:val="18"/>
              </w:rPr>
              <w:instrText>≤</w:instrText>
            </w:r>
            <w:r>
              <w:rPr>
                <w:rFonts w:ascii="Arial" w:eastAsia="微软雅黑" w:hAnsi="Arial" w:cs="Times New Roman" w:hint="eastAsia"/>
                <w:kern w:val="0"/>
                <w:sz w:val="18"/>
                <w:szCs w:val="18"/>
              </w:rPr>
              <w:instrText>5.5 cm in the greatest dimension). The study evaluated seven doses, ran</w:instrText>
            </w:r>
            <w:r>
              <w:rPr>
                <w:rFonts w:ascii="Arial" w:eastAsia="微软雅黑" w:hAnsi="Arial" w:cs="Times New Roman"/>
                <w:kern w:val="0"/>
                <w:sz w:val="18"/>
                <w:szCs w:val="18"/>
              </w:rPr>
              <w:instrText>ging between 107 and 1010 50% tissue-culture infectious doses (TCID50 ), first in a dose-escalation phase and then in a dose-expan- sion phase. RESULTS From May 2012 through May 2017, a total of 61 patients were enrolled and re- ceived a dose of PVSRIPO. Dose level −1 (5.0×107 TCID50 ) was identified as the phase 2 dose. One dose-limiting toxic effect was observed; a patient in whom dose level 5 (1010 TCID50 ) was administered had a grade 4 intracranial hemorrhage immediately after the catheter was removed. To mitigate locoregional inflamma- tion of the infused tumor with prolonged glucocorticoid use, dose level 5 was de escalated to reach the phase 2 dose. In the dose-expansion phase, 19% of the patients had a PVSRIPO-related adverse event of grade 3 or higher. Overall survival among the patients who received PVSRIPO reached a plateau of 21% (95% confi- dence interval, 11 to 33) at 24 months that was sustained at 36 months. CONCLUSIONS Intratumoral infusion of PVSRIPO in patients with recurrent WHO grade IV malignant glioma confirmed the absence of neurovirulent potential. The survival rate among patients who received PVSRIPO immunotherapy was higher at 24 and 36 months than the rate among historical controls. (Funded by the Brain Tumor Research Char- ity","author":[{"dropping-particle":"","family":"Schneider","given":"Julia R.","non-dropping-particle":"","parse-names":false,"suffix":""},{"dropping-particle":"V.","family":"Patel","given":"Nitesh","non-dropping-particle":"","parse-names":false,"suffix":""},{"dropping-particle":"","family":"Kwan","given":"Kevin","non-dropping-particle":"","parse-names":false,"suffix":""},{"dropping-particle":"","family":"Boockvar","given":"John A.","non-dropping-particle":"","parse-names":false,"suffix":""}],"container-title":"Neurosurgery","id":"ITEM-1","issue":"5","issued":{"date-parts":[["2018"]]},"page":"E200","title":"Recurrent Glioblastoma Treated With Recombinant Poliovirus","type":"article-journal","volume":"83"},"uris":["http://www.mendeley.com/documents/?uuid=1782d5ad-b115-49f0-842e-5b779998d110"]}],"mendeley":{"formattedCitation":"[18]","plainTextFormattedCitation":"[18]","previouslyFormattedCitation":"[9]"},"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[18]</w:t>
            </w:r>
            <w:r>
              <w:rPr>
                <w:rFonts w:ascii="Arial" w:eastAsia="微软雅黑" w:hAnsi="Arial" w:cs="Times New Roman"/>
                <w:kern w:val="0"/>
                <w:sz w:val="18"/>
                <w:szCs w:val="18"/>
              </w:rPr>
              <w:fldChar w:fldCharType="end"/>
            </w:r>
          </w:p>
        </w:tc>
        <w:tc>
          <w:tcPr>
            <w:tcW w:w="1258"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Historical</w:t>
            </w:r>
          </w:p>
        </w:tc>
        <w:tc>
          <w:tcPr>
            <w:tcW w:w="1416"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517E83">
              <w:rPr>
                <w:rFonts w:ascii="Arial" w:eastAsia="微软雅黑" w:hAnsi="Arial"/>
                <w:kern w:val="0"/>
                <w:sz w:val="18"/>
                <w:szCs w:val="18"/>
              </w:rPr>
              <w:t>NCT01491893</w:t>
            </w:r>
          </w:p>
        </w:tc>
        <w:tc>
          <w:tcPr>
            <w:tcW w:w="767"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Pr>
                <w:rFonts w:ascii="Arial" w:eastAsia="微软雅黑" w:hAnsi="Arial"/>
                <w:kern w:val="0"/>
                <w:sz w:val="18"/>
                <w:szCs w:val="18"/>
              </w:rPr>
              <w:fldChar w:fldCharType="begin"/>
            </w:r>
            <w:r w:rsidRPr="00901202">
              <w:rPr>
                <w:rFonts w:ascii="Arial" w:eastAsia="微软雅黑" w:hAnsi="Arial"/>
                <w:kern w:val="0"/>
                <w:sz w:val="18"/>
                <w:szCs w:val="18"/>
              </w:rPr>
              <w:instrText xml:space="preserve"> </w:instrText>
            </w:r>
            <w:r w:rsidRPr="00901202">
              <w:rPr>
                <w:rFonts w:ascii="Arial" w:eastAsia="微软雅黑" w:hAnsi="Arial" w:hint="eastAsia"/>
                <w:kern w:val="0"/>
                <w:sz w:val="18"/>
                <w:szCs w:val="18"/>
              </w:rPr>
              <w:instrText>= 4 \* ROMAN</w:instrText>
            </w:r>
            <w:r w:rsidRPr="00901202">
              <w:rPr>
                <w:rFonts w:ascii="Arial" w:eastAsia="微软雅黑" w:hAnsi="Arial"/>
                <w:kern w:val="0"/>
                <w:sz w:val="18"/>
                <w:szCs w:val="18"/>
              </w:rPr>
              <w:instrText xml:space="preserve"> </w:instrText>
            </w:r>
            <w:r>
              <w:rPr>
                <w:rFonts w:ascii="Arial" w:eastAsia="微软雅黑" w:hAnsi="Arial"/>
                <w:kern w:val="0"/>
                <w:sz w:val="18"/>
                <w:szCs w:val="18"/>
              </w:rPr>
              <w:fldChar w:fldCharType="separate"/>
            </w:r>
            <w:r>
              <w:rPr>
                <w:rFonts w:ascii="Arial" w:eastAsia="微软雅黑" w:hAnsi="Arial"/>
                <w:noProof/>
                <w:kern w:val="0"/>
                <w:sz w:val="18"/>
                <w:szCs w:val="18"/>
              </w:rPr>
              <w:t>IV</w:t>
            </w:r>
            <w:r>
              <w:rPr>
                <w:rFonts w:ascii="Arial" w:eastAsia="微软雅黑" w:hAnsi="Arial"/>
                <w:kern w:val="0"/>
                <w:sz w:val="18"/>
                <w:szCs w:val="18"/>
              </w:rPr>
              <w:fldChar w:fldCharType="end"/>
            </w:r>
          </w:p>
        </w:tc>
        <w:tc>
          <w:tcPr>
            <w:tcW w:w="1750"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5E68AE">
              <w:rPr>
                <w:rFonts w:ascii="Arial" w:hAnsi="Arial"/>
                <w:sz w:val="18"/>
                <w:szCs w:val="18"/>
              </w:rPr>
              <w:t>PVSRIPO</w:t>
            </w:r>
            <w:r w:rsidR="000609B0">
              <w:rPr>
                <w:rFonts w:ascii="Arial" w:hAnsi="Arial"/>
                <w:sz w:val="18"/>
                <w:szCs w:val="18"/>
                <w:vertAlign w:val="superscript"/>
              </w:rPr>
              <w:t>C</w:t>
            </w:r>
          </w:p>
        </w:tc>
        <w:tc>
          <w:tcPr>
            <w:tcW w:w="1444" w:type="dxa"/>
            <w:shd w:val="clear" w:color="auto" w:fill="auto"/>
            <w:vAlign w:val="bottom"/>
          </w:tcPr>
          <w:p w:rsidR="001E4849" w:rsidRPr="00307965" w:rsidRDefault="001E4849" w:rsidP="00447B79">
            <w:pPr>
              <w:widowControl/>
              <w:jc w:val="left"/>
              <w:rPr>
                <w:rFonts w:ascii="Arial" w:eastAsia="微软雅黑" w:hAnsi="Arial" w:cs="Times New Roman"/>
                <w:kern w:val="0"/>
                <w:sz w:val="18"/>
                <w:szCs w:val="18"/>
              </w:rPr>
            </w:pPr>
            <w:r>
              <w:rPr>
                <w:rFonts w:ascii="Arial" w:eastAsia="微软雅黑" w:hAnsi="Arial" w:cs="Times New Roman" w:hint="eastAsia"/>
                <w:kern w:val="0"/>
                <w:sz w:val="18"/>
                <w:szCs w:val="18"/>
              </w:rPr>
              <w:t>6</w:t>
            </w:r>
            <w:r>
              <w:rPr>
                <w:rFonts w:ascii="Arial" w:eastAsia="微软雅黑" w:hAnsi="Arial" w:cs="Times New Roman"/>
                <w:kern w:val="0"/>
                <w:sz w:val="18"/>
                <w:szCs w:val="18"/>
              </w:rPr>
              <w:t>1/104</w:t>
            </w:r>
          </w:p>
        </w:tc>
      </w:tr>
      <w:tr w:rsidR="001E4849" w:rsidRPr="00307965" w:rsidTr="00447B79">
        <w:trPr>
          <w:trHeight w:val="423"/>
          <w:jc w:val="center"/>
        </w:trPr>
        <w:tc>
          <w:tcPr>
            <w:tcW w:w="1837" w:type="dxa"/>
            <w:shd w:val="clear" w:color="auto" w:fill="auto"/>
            <w:vAlign w:val="bottom"/>
          </w:tcPr>
          <w:p w:rsidR="001E4849" w:rsidRDefault="001E484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Rainov2000</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{"citationItems":[{"id":"ITEM-1","itemData":{"DOI":"10.1089/104303400750038499","ISBN":"1043-0342 (Print)\\r1043-0342 (Linking)","ISSN":"1043-0342","PMID":"11096443","abstract":"Previous uncontrolled clinical trials have shown the in vivo retrovirus (RV)-mediated transduction of glioblastoma cells with the herpes simplex virus thymidine kinase (HSV-tk) gene and subsequent systemic treatment with ganciclovir to be feasible and well tolerated. However, because of continued tumor progression in most patients, the antitumor effect could not be determined using historical controls. Here, we describe a phase III, multicenter, randomized, open-label, parallel-group, controlled trial of the technique in the treatment of 248 patients with newly diagnosed, previously untreated glioblastoma multiforme (GBM). Patients received, in equal numbers, either standard therapy (surgical resection and radiotherapy) or standard therapy plus adjuvant gene therapy during surgery. Progression-free median survival in the gene therapy group was 180 days compared with 183 days in control subjects. Median survival was 365 versus 354 days, and 12-month survival rates were 50 versus 55% in the gene therapy and...","author":[{"dropping-particle":"","family":"Rainov","given":"N. G.","non-dropping-particle":"","parse-names":false,"suffix":""}],"container-title":"Human Gene Therapy","id":"ITEM-1","issue":"17","issued":{"date-parts":[["2000"]]},"page":"2389-2401","title":"A Phase III Clinical Evaluation of Herpes Simplex Virus Type 1 Thymidine Kinase and Ganciclovir Gene Therapy as an Adjuvant to Surgical Resection and Radiation in Adults with Previously Untreated Glioblastoma Multiforme","type":"article-journal","volume":"11"},"uris":["http://www.mendeley.com/documents/?uuid=468a6652-79a7-4b2a-bd68-202977c3c557"]}],"mendeley":{"formattedCitation":"[29]","plainTextFormattedCitation":"[29]","previouslyFormattedCitation":"[25]"},"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[29]</w:t>
            </w:r>
            <w:r>
              <w:rPr>
                <w:rFonts w:ascii="Arial" w:eastAsia="微软雅黑" w:hAnsi="Arial" w:cs="Times New Roman"/>
                <w:kern w:val="0"/>
                <w:sz w:val="18"/>
                <w:szCs w:val="18"/>
              </w:rPr>
              <w:fldChar w:fldCharType="end"/>
            </w:r>
          </w:p>
        </w:tc>
        <w:tc>
          <w:tcPr>
            <w:tcW w:w="1258" w:type="dxa"/>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shd w:val="clear" w:color="auto" w:fill="auto"/>
            <w:vAlign w:val="bottom"/>
          </w:tcPr>
          <w:p w:rsidR="001E4849" w:rsidRPr="00517E83" w:rsidRDefault="001E4849" w:rsidP="00447B79">
            <w:pPr>
              <w:widowControl/>
              <w:jc w:val="left"/>
              <w:rPr>
                <w:rFonts w:ascii="Arial" w:eastAsia="微软雅黑" w:hAnsi="Arial"/>
                <w:kern w:val="0"/>
                <w:sz w:val="18"/>
                <w:szCs w:val="18"/>
              </w:rPr>
            </w:pPr>
            <w:r>
              <w:rPr>
                <w:rFonts w:ascii="Arial" w:eastAsia="微软雅黑" w:hAnsi="Arial" w:hint="eastAsia"/>
                <w:kern w:val="0"/>
                <w:sz w:val="18"/>
                <w:szCs w:val="18"/>
              </w:rPr>
              <w:t>N</w:t>
            </w:r>
            <w:r>
              <w:rPr>
                <w:rFonts w:ascii="Arial" w:eastAsia="微软雅黑" w:hAnsi="Arial"/>
                <w:kern w:val="0"/>
                <w:sz w:val="18"/>
                <w:szCs w:val="18"/>
              </w:rPr>
              <w:t>/A</w:t>
            </w:r>
          </w:p>
        </w:tc>
        <w:tc>
          <w:tcPr>
            <w:tcW w:w="767"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fldChar w:fldCharType="begin"/>
            </w:r>
            <w:r>
              <w:rPr>
                <w:rFonts w:ascii="Arial" w:eastAsia="微软雅黑" w:hAnsi="Arial"/>
                <w:kern w:val="0"/>
                <w:sz w:val="18"/>
                <w:szCs w:val="18"/>
              </w:rPr>
              <w:instrText xml:space="preserve"> </w:instrText>
            </w:r>
            <w:r>
              <w:rPr>
                <w:rFonts w:ascii="Arial" w:eastAsia="微软雅黑" w:hAnsi="Arial" w:hint="eastAsia"/>
                <w:kern w:val="0"/>
                <w:sz w:val="18"/>
                <w:szCs w:val="18"/>
              </w:rPr>
              <w:instrText>= 3 \* ROMAN</w:instrText>
            </w:r>
            <w:r>
              <w:rPr>
                <w:rFonts w:ascii="Arial" w:eastAsia="微软雅黑" w:hAnsi="Arial"/>
                <w:kern w:val="0"/>
                <w:sz w:val="18"/>
                <w:szCs w:val="18"/>
              </w:rPr>
              <w:instrText xml:space="preserve"> </w:instrText>
            </w:r>
            <w:r>
              <w:rPr>
                <w:rFonts w:ascii="Arial" w:eastAsia="微软雅黑" w:hAnsi="Arial"/>
                <w:kern w:val="0"/>
                <w:sz w:val="18"/>
                <w:szCs w:val="18"/>
              </w:rPr>
              <w:fldChar w:fldCharType="separate"/>
            </w:r>
            <w:r>
              <w:rPr>
                <w:rFonts w:ascii="Arial" w:eastAsia="微软雅黑" w:hAnsi="Arial"/>
                <w:noProof/>
                <w:kern w:val="0"/>
                <w:sz w:val="18"/>
                <w:szCs w:val="18"/>
              </w:rPr>
              <w:t>III</w:t>
            </w:r>
            <w:r>
              <w:rPr>
                <w:rFonts w:ascii="Arial" w:eastAsia="微软雅黑" w:hAnsi="Arial"/>
                <w:kern w:val="0"/>
                <w:sz w:val="18"/>
                <w:szCs w:val="18"/>
              </w:rPr>
              <w:fldChar w:fldCharType="end"/>
            </w:r>
          </w:p>
        </w:tc>
        <w:tc>
          <w:tcPr>
            <w:tcW w:w="1750" w:type="dxa"/>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hint="eastAsia"/>
                <w:kern w:val="0"/>
                <w:sz w:val="18"/>
                <w:szCs w:val="18"/>
              </w:rPr>
              <w:t>HSV</w:t>
            </w:r>
            <w:r w:rsidRPr="00307965">
              <w:rPr>
                <w:rFonts w:ascii="Arial" w:eastAsia="微软雅黑" w:hAnsi="Arial"/>
                <w:kern w:val="0"/>
                <w:sz w:val="18"/>
                <w:szCs w:val="18"/>
              </w:rPr>
              <w:t>-tk</w:t>
            </w:r>
          </w:p>
        </w:tc>
        <w:tc>
          <w:tcPr>
            <w:tcW w:w="1444" w:type="dxa"/>
            <w:shd w:val="clear" w:color="auto" w:fill="auto"/>
            <w:vAlign w:val="bottom"/>
          </w:tcPr>
          <w:p w:rsidR="001E4849" w:rsidRDefault="001E4849" w:rsidP="00447B79">
            <w:pPr>
              <w:widowControl/>
              <w:jc w:val="left"/>
              <w:rPr>
                <w:rFonts w:ascii="Arial" w:eastAsia="微软雅黑" w:hAnsi="Arial" w:cs="Times New Roman"/>
                <w:kern w:val="0"/>
                <w:sz w:val="18"/>
                <w:szCs w:val="18"/>
              </w:rPr>
            </w:pPr>
            <w:r>
              <w:rPr>
                <w:rFonts w:ascii="Arial" w:eastAsia="微软雅黑" w:hAnsi="Arial" w:cs="Times New Roman" w:hint="eastAsia"/>
                <w:kern w:val="0"/>
                <w:sz w:val="18"/>
                <w:szCs w:val="18"/>
              </w:rPr>
              <w:t>1</w:t>
            </w:r>
            <w:r>
              <w:rPr>
                <w:rFonts w:ascii="Arial" w:eastAsia="微软雅黑" w:hAnsi="Arial" w:cs="Times New Roman"/>
                <w:kern w:val="0"/>
                <w:sz w:val="18"/>
                <w:szCs w:val="18"/>
              </w:rPr>
              <w:t>24/124</w:t>
            </w:r>
          </w:p>
        </w:tc>
      </w:tr>
      <w:tr w:rsidR="001E4849" w:rsidTr="00447B79">
        <w:trPr>
          <w:trHeight w:val="423"/>
          <w:jc w:val="center"/>
        </w:trPr>
        <w:tc>
          <w:tcPr>
            <w:tcW w:w="1837" w:type="dxa"/>
            <w:tcBorders>
              <w:bottom w:val="single" w:sz="4" w:space="0" w:color="auto"/>
            </w:tcBorders>
            <w:shd w:val="clear" w:color="auto" w:fill="auto"/>
            <w:vAlign w:val="bottom"/>
          </w:tcPr>
          <w:p w:rsidR="001E4849" w:rsidRDefault="001E484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Wick 2017</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{"citationItems":[{"id":"ITEM-1","itemData":{"DOI":"10.1056/NEJMoa1707358","ISBN":"2010023218","ISSN":"0028-4793","PMID":"29141164","abstract":"BACKGROUND Bevacizumab is approved for the treatment of patients with progressive glioblastoma on the basis of uncontrolled data. Data from a phase 2 trial suggested that the addition of bevacizumab to lomustine might improve overall survival as compared with monotherapies. We sought to determine whether the combination would result in longer overall survival than lomustine alone among patients at first progression of glioblastoma. METHODS We randomly assigned patients with progression after chemoradiation in a 2:1 ratio to receive lomustine plus bevacizumab (combination group, 288 patients) or lomustine alone (monotherapy group, 149 patients). The methylation status of the promoter of O6-methylguanine-DNA methyltransferase (MGMT) was assessed. Health-related quality of life and neurocognitive function were evaluated at baseline and every 12 weeks. The primary end point of the trial was overall survival. RESULTS A total of 437 patients underwent randomization. The median number of 6-week treatment cycles was three in the combination group and one in the monotherapy group. With 329 overall survival events (75.3%), the combination therapy did not provide a survival advantage; the median overall survival was 9.1 months (95% confidence interval [CI], 8.1 to 10.1) in the combination group and 8.6 months (95% CI, 7.6 to 10.4) in the monotherapy group (hazard ratio for death, 0.95; 95% CI, 0.74 to 1.21; P=0.65). Locally assessed progression-free survival was 2.7 months longer in the combination group than in the monotherapy group: 4.2 months versus 1.5 months (hazard ratio for disease progression or death, 0.49; 95% CI, 0.39 to 0.61; P&lt;0.001). Grade 3 to 5 adverse events occurred in 63.6% of the patients in the combination group and 38.1% of the patients in the monotherapy group. The addition of bevacizumab to lomustine affected neither health-related quality of life nor neurocognitive function. The MGMT status was prognostic. CONCLUSIONS Despite somewhat prolonged progression-free survival, treatment with lomustine plus bevacizumab did not confer a survival advantage over treatment with lomustine alone in patients with progressive glioblastoma. (Funded by an unrestricted educational grant from F. Hoffmann-La Roche and by the EORTC Cancer Research Fund; EORTC 26101 ClinicalTrials.gov number, NCT01290939 ; Eudra-CT number, 2010-023218-30 .).","author":[{"dropping-particle":"","family":"Wick","given":"Wolfgang","non-dropping-particle":"","parse-names":false,"suffix":""},{"dropping-particle":"","family":"Gorlia","given":"Thierry","non-dropping-particle":"","parse-names":false,"suffix":""},{"dropping-particle":"","family":"Bendszus","given":"Martin","non-dropping-particle":"","parse-names":false,"suffix":""},{"dropping-particle":"","family":"Taphoorn","given":"Martin","non-dropping-particle":"","parse-names":false,"suffix":""},{"dropping-particle":"","family":"Sahm","given":"Felix","non-dropping-particle":"","parse-names":false,"suffix":""},{"dropping-particle":"","family":"Harting","given":"Inga","non-dropping-particle":"","parse-names":false,"suffix":""},{"dropping-particle":"","family":"Brandes","given":"Alba A.","non-dropping-particle":"","parse-names":false,"suffix":""},{"dropping-particle":"","family":"Taal","given":"Walter","non-dropping-particle":"","parse-names":false,"suffix":""},{"dropping-particle":"","family":"Domont","given":"Julien","non-dropping-particle":"","parse-names":false,"suffix":""},{"dropping-particle":"","family":"Idbaih","given":"Ahmed","non-dropping-particle":"","parse-names":false,"suffix":""},{"dropping-particle":"","family":"Campone","given":"Mario","non-dropping-particle":"","parse-names":false,"suffix":""},{"dropping-particle":"","family":"Clement","given":"Paul M.","non-dropping-particle":"","parse-names":false,"suffix":""},{"dropping-particle":"","family":"Stupp","given":"Roger","non-dropping-particle":"","parse-names":false,"suffix":""},{"dropping-particle":"","family":"Fabbro","given":"Michel","non-dropping-particle":"","parse-names":false,"suffix":""},{"dropping-particle":"","family":"Rhun","given":"Emilie","non-dropping-particle":"Le","parse-names":false,"suffix":""},{"dropping-particle":"","family":"Dubois","given":"Francois","non-dropping-particle":"","parse-names":false,"suffix":""},{"dropping-particle":"","family":"Weller","given":"Michael","non-dropping-particle":"","parse-names":false,"suffix":""},{"dropping-particle":"","family":"Deimling","given":"Andreas","non-dropping-particle":"von","parse-names":false,"suffix":""},{"dropping-particle":"","family":"Golfinopoulos","given":"Vassilis","non-dropping-particle":"","parse-names":false,"suffix":""},{"dropping-particle":"","family":"Bromberg","given":"Jacoline C.","non-dropping-particle":"","parse-names":false,"suffix":""},{"dropping-particle":"","family":"Platten","given":"Michael","non-dropping-particle":"","parse-names":false,"suffix":""},{"dropping-particle":"","family":"Klein","given":"Martin","non-dropping-particle":"","parse-names":false,"suffix":""},{"dropping-particle":"","family":"Bent","given":"Martin J.","non-dropping-particle":"van den","parse-names":false,"suffix":""}],"container-title":"New England Journal of Medicine","id":"ITEM-1","issue":"20","issued":{"date-parts":[["2017"]]},"page":"1954-1963","title":"Lomustine and Bevacizumab in Progressive Glioblastoma","type":"article-journal","volume":"377"},"uris":["http://www.mendeley.com/documents/?uuid=fa18fc72-8a7c-41bc-a951-dcd75dbae9cf"]}],"mendeley":{"formattedCitation":"[19]","plainTextFormattedCitation":"[19]","previouslyFormattedCitation":"[14]"},"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[19]</w:t>
            </w:r>
            <w:r>
              <w:rPr>
                <w:rFonts w:ascii="Arial" w:eastAsia="微软雅黑" w:hAnsi="Arial" w:cs="Times New Roman"/>
                <w:kern w:val="0"/>
                <w:sz w:val="18"/>
                <w:szCs w:val="18"/>
              </w:rPr>
              <w:fldChar w:fldCharType="end"/>
            </w:r>
          </w:p>
        </w:tc>
        <w:tc>
          <w:tcPr>
            <w:tcW w:w="1258" w:type="dxa"/>
            <w:tcBorders>
              <w:bottom w:val="single" w:sz="4" w:space="0" w:color="auto"/>
            </w:tcBorders>
            <w:shd w:val="clear" w:color="auto" w:fill="auto"/>
            <w:vAlign w:val="bottom"/>
          </w:tcPr>
          <w:p w:rsidR="001E4849" w:rsidRPr="00307965" w:rsidRDefault="001E4849" w:rsidP="00447B79">
            <w:pPr>
              <w:widowControl/>
              <w:jc w:val="left"/>
              <w:rPr>
                <w:rFonts w:ascii="Arial" w:eastAsia="微软雅黑" w:hAnsi="Arial"/>
                <w:kern w:val="0"/>
                <w:sz w:val="18"/>
                <w:szCs w:val="18"/>
              </w:rPr>
            </w:pPr>
            <w:r w:rsidRPr="00307965">
              <w:rPr>
                <w:rFonts w:ascii="Arial" w:eastAsia="微软雅黑" w:hAnsi="Arial"/>
                <w:kern w:val="0"/>
                <w:sz w:val="18"/>
                <w:szCs w:val="18"/>
              </w:rPr>
              <w:t>Randomized</w:t>
            </w:r>
          </w:p>
        </w:tc>
        <w:tc>
          <w:tcPr>
            <w:tcW w:w="1416" w:type="dxa"/>
            <w:tcBorders>
              <w:bottom w:val="single" w:sz="4" w:space="0" w:color="auto"/>
            </w:tcBorders>
            <w:shd w:val="clear" w:color="auto" w:fill="auto"/>
            <w:vAlign w:val="bottom"/>
          </w:tcPr>
          <w:p w:rsidR="001E4849" w:rsidRPr="00517E83" w:rsidRDefault="001E4849" w:rsidP="00447B79">
            <w:pPr>
              <w:widowControl/>
              <w:jc w:val="left"/>
              <w:rPr>
                <w:rFonts w:ascii="Arial" w:eastAsia="微软雅黑" w:hAnsi="Arial"/>
                <w:kern w:val="0"/>
                <w:sz w:val="18"/>
                <w:szCs w:val="18"/>
              </w:rPr>
            </w:pPr>
            <w:r w:rsidRPr="00517E83">
              <w:rPr>
                <w:rFonts w:ascii="Arial" w:eastAsia="微软雅黑" w:hAnsi="Arial"/>
                <w:kern w:val="0"/>
                <w:sz w:val="18"/>
                <w:szCs w:val="18"/>
              </w:rPr>
              <w:t>NCT01290939</w:t>
            </w:r>
          </w:p>
        </w:tc>
        <w:tc>
          <w:tcPr>
            <w:tcW w:w="767" w:type="dxa"/>
            <w:tcBorders>
              <w:bottom w:val="single" w:sz="4" w:space="0" w:color="auto"/>
            </w:tcBorders>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II,</w:t>
            </w:r>
            <w:r>
              <w:rPr>
                <w:rFonts w:ascii="Arial" w:eastAsia="微软雅黑" w:hAnsi="Arial"/>
                <w:noProof/>
                <w:kern w:val="0"/>
                <w:sz w:val="18"/>
                <w:szCs w:val="18"/>
              </w:rPr>
              <w:t>III</w:t>
            </w:r>
          </w:p>
        </w:tc>
        <w:tc>
          <w:tcPr>
            <w:tcW w:w="1750" w:type="dxa"/>
            <w:tcBorders>
              <w:bottom w:val="single" w:sz="4" w:space="0" w:color="auto"/>
            </w:tcBorders>
            <w:shd w:val="clear" w:color="auto" w:fill="auto"/>
            <w:vAlign w:val="bottom"/>
          </w:tcPr>
          <w:p w:rsidR="001E4849" w:rsidRDefault="001E4849" w:rsidP="00447B79">
            <w:pPr>
              <w:widowControl/>
              <w:jc w:val="left"/>
              <w:rPr>
                <w:rFonts w:ascii="Arial" w:eastAsia="微软雅黑" w:hAnsi="Arial"/>
                <w:kern w:val="0"/>
                <w:sz w:val="18"/>
                <w:szCs w:val="18"/>
              </w:rPr>
            </w:pPr>
            <w:r>
              <w:rPr>
                <w:rFonts w:ascii="Arial" w:eastAsia="微软雅黑" w:hAnsi="Arial"/>
                <w:kern w:val="0"/>
                <w:sz w:val="18"/>
                <w:szCs w:val="18"/>
              </w:rPr>
              <w:t>Bevacizumab</w:t>
            </w:r>
          </w:p>
        </w:tc>
        <w:tc>
          <w:tcPr>
            <w:tcW w:w="1444" w:type="dxa"/>
            <w:tcBorders>
              <w:bottom w:val="single" w:sz="4" w:space="0" w:color="auto"/>
            </w:tcBorders>
            <w:shd w:val="clear" w:color="auto" w:fill="auto"/>
            <w:vAlign w:val="bottom"/>
          </w:tcPr>
          <w:p w:rsidR="001E4849" w:rsidRDefault="001E484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288/149</w:t>
            </w:r>
          </w:p>
        </w:tc>
      </w:tr>
    </w:tbl>
    <w:tbl>
      <w:tblPr>
        <w:tblpPr w:leftFromText="180" w:rightFromText="180" w:vertAnchor="page" w:horzAnchor="margin" w:tblpY="2041"/>
        <w:tblW w:w="0" w:type="auto"/>
        <w:tblLook w:val="04A0" w:firstRow="1" w:lastRow="0" w:firstColumn="1" w:lastColumn="0" w:noHBand="0" w:noVBand="1"/>
      </w:tblPr>
      <w:tblGrid>
        <w:gridCol w:w="1477"/>
        <w:gridCol w:w="1026"/>
        <w:gridCol w:w="869"/>
        <w:gridCol w:w="894"/>
        <w:gridCol w:w="2258"/>
        <w:gridCol w:w="1782"/>
      </w:tblGrid>
      <w:tr w:rsidR="00F22633" w:rsidRPr="00307965" w:rsidTr="000609B0">
        <w:trPr>
          <w:trHeight w:val="282"/>
        </w:trPr>
        <w:tc>
          <w:tcPr>
            <w:tcW w:w="1477" w:type="dxa"/>
            <w:tcBorders>
              <w:top w:val="single" w:sz="4" w:space="0" w:color="auto"/>
              <w:bottom w:val="single" w:sz="4" w:space="0" w:color="auto"/>
            </w:tcBorders>
            <w:shd w:val="clear" w:color="auto" w:fill="BFBFBF"/>
            <w:hideMark/>
          </w:tcPr>
          <w:p w:rsidR="00F22633" w:rsidRPr="00307965" w:rsidRDefault="00F22633" w:rsidP="00447B79">
            <w:pPr>
              <w:rPr>
                <w:rFonts w:ascii="Arial" w:hAnsi="Arial"/>
                <w:b/>
                <w:bCs/>
                <w:sz w:val="18"/>
                <w:szCs w:val="18"/>
              </w:rPr>
            </w:pPr>
            <w:r w:rsidRPr="00307965">
              <w:rPr>
                <w:rFonts w:ascii="Arial" w:hAnsi="Arial"/>
                <w:b/>
                <w:bCs/>
                <w:sz w:val="18"/>
                <w:szCs w:val="18"/>
              </w:rPr>
              <w:lastRenderedPageBreak/>
              <w:t>First author(year)</w:t>
            </w:r>
          </w:p>
        </w:tc>
        <w:tc>
          <w:tcPr>
            <w:tcW w:w="1026" w:type="dxa"/>
            <w:tcBorders>
              <w:top w:val="single" w:sz="4" w:space="0" w:color="auto"/>
              <w:bottom w:val="single" w:sz="4" w:space="0" w:color="auto"/>
            </w:tcBorders>
            <w:shd w:val="clear" w:color="auto" w:fill="BFBFBF"/>
          </w:tcPr>
          <w:p w:rsidR="00F22633" w:rsidRPr="00307965" w:rsidRDefault="00F22633" w:rsidP="00447B79">
            <w:pPr>
              <w:rPr>
                <w:rFonts w:ascii="Arial" w:hAnsi="Arial"/>
                <w:b/>
                <w:bCs/>
                <w:sz w:val="18"/>
                <w:szCs w:val="18"/>
              </w:rPr>
            </w:pPr>
            <w:r>
              <w:rPr>
                <w:rFonts w:ascii="Arial" w:hAnsi="Arial"/>
                <w:b/>
                <w:bCs/>
                <w:sz w:val="18"/>
                <w:szCs w:val="18"/>
              </w:rPr>
              <w:t>B</w:t>
            </w:r>
            <w:r>
              <w:rPr>
                <w:rFonts w:ascii="Arial" w:hAnsi="Arial" w:hint="eastAsia"/>
                <w:b/>
                <w:bCs/>
                <w:sz w:val="18"/>
                <w:szCs w:val="18"/>
              </w:rPr>
              <w:t>lind</w:t>
            </w:r>
          </w:p>
        </w:tc>
        <w:tc>
          <w:tcPr>
            <w:tcW w:w="869" w:type="dxa"/>
            <w:tcBorders>
              <w:top w:val="single" w:sz="4" w:space="0" w:color="auto"/>
              <w:bottom w:val="single" w:sz="4" w:space="0" w:color="auto"/>
            </w:tcBorders>
            <w:shd w:val="clear" w:color="auto" w:fill="BFBFBF"/>
            <w:hideMark/>
          </w:tcPr>
          <w:p w:rsidR="00F22633" w:rsidRPr="00307965" w:rsidRDefault="00F22633" w:rsidP="00447B79">
            <w:pPr>
              <w:rPr>
                <w:rFonts w:ascii="Arial" w:hAnsi="Arial"/>
                <w:b/>
                <w:bCs/>
                <w:sz w:val="18"/>
                <w:szCs w:val="18"/>
              </w:rPr>
            </w:pPr>
            <w:r w:rsidRPr="00307965">
              <w:rPr>
                <w:rFonts w:ascii="Arial" w:hAnsi="Arial"/>
                <w:b/>
                <w:bCs/>
                <w:sz w:val="18"/>
                <w:szCs w:val="18"/>
              </w:rPr>
              <w:t>Median Age(E)</w:t>
            </w:r>
          </w:p>
        </w:tc>
        <w:tc>
          <w:tcPr>
            <w:tcW w:w="894" w:type="dxa"/>
            <w:tcBorders>
              <w:top w:val="single" w:sz="4" w:space="0" w:color="auto"/>
              <w:bottom w:val="single" w:sz="4" w:space="0" w:color="auto"/>
            </w:tcBorders>
            <w:shd w:val="clear" w:color="auto" w:fill="BFBFBF"/>
            <w:hideMark/>
          </w:tcPr>
          <w:p w:rsidR="00F22633" w:rsidRPr="00307965" w:rsidRDefault="00F22633" w:rsidP="00447B79">
            <w:pPr>
              <w:rPr>
                <w:rFonts w:ascii="Arial" w:hAnsi="Arial"/>
                <w:b/>
                <w:bCs/>
                <w:sz w:val="18"/>
                <w:szCs w:val="18"/>
              </w:rPr>
            </w:pPr>
            <w:r w:rsidRPr="00307965">
              <w:rPr>
                <w:rFonts w:ascii="Arial" w:hAnsi="Arial"/>
                <w:b/>
                <w:bCs/>
                <w:sz w:val="18"/>
                <w:szCs w:val="18"/>
              </w:rPr>
              <w:t>Median Age(C)</w:t>
            </w:r>
          </w:p>
        </w:tc>
        <w:tc>
          <w:tcPr>
            <w:tcW w:w="2258" w:type="dxa"/>
            <w:tcBorders>
              <w:top w:val="single" w:sz="4" w:space="0" w:color="auto"/>
              <w:bottom w:val="single" w:sz="4" w:space="0" w:color="auto"/>
            </w:tcBorders>
            <w:shd w:val="clear" w:color="auto" w:fill="BFBFBF"/>
            <w:hideMark/>
          </w:tcPr>
          <w:p w:rsidR="00F22633" w:rsidRPr="00307965" w:rsidRDefault="00F22633" w:rsidP="00447B79">
            <w:pPr>
              <w:rPr>
                <w:rFonts w:ascii="Arial" w:hAnsi="Arial"/>
                <w:b/>
                <w:bCs/>
                <w:sz w:val="18"/>
                <w:szCs w:val="18"/>
              </w:rPr>
            </w:pPr>
            <w:r w:rsidRPr="00307965">
              <w:rPr>
                <w:rFonts w:ascii="Arial" w:hAnsi="Arial"/>
                <w:b/>
                <w:bCs/>
                <w:sz w:val="18"/>
                <w:szCs w:val="18"/>
              </w:rPr>
              <w:t>Intervention</w:t>
            </w:r>
          </w:p>
        </w:tc>
        <w:tc>
          <w:tcPr>
            <w:tcW w:w="1782" w:type="dxa"/>
            <w:tcBorders>
              <w:top w:val="single" w:sz="4" w:space="0" w:color="auto"/>
              <w:bottom w:val="single" w:sz="4" w:space="0" w:color="auto"/>
            </w:tcBorders>
            <w:shd w:val="clear" w:color="auto" w:fill="BFBFBF"/>
            <w:hideMark/>
          </w:tcPr>
          <w:p w:rsidR="00F22633" w:rsidRPr="00307965" w:rsidRDefault="00F22633" w:rsidP="00447B79">
            <w:pPr>
              <w:rPr>
                <w:rFonts w:ascii="Arial" w:hAnsi="Arial"/>
                <w:b/>
                <w:bCs/>
                <w:sz w:val="18"/>
                <w:szCs w:val="18"/>
              </w:rPr>
            </w:pPr>
            <w:r w:rsidRPr="00307965">
              <w:rPr>
                <w:rFonts w:ascii="Arial" w:hAnsi="Arial"/>
                <w:b/>
                <w:bCs/>
                <w:sz w:val="18"/>
                <w:szCs w:val="18"/>
              </w:rPr>
              <w:t>Control</w:t>
            </w:r>
          </w:p>
        </w:tc>
      </w:tr>
      <w:tr w:rsidR="00F22633" w:rsidRPr="00307965" w:rsidTr="000609B0">
        <w:trPr>
          <w:trHeight w:val="439"/>
        </w:trPr>
        <w:tc>
          <w:tcPr>
            <w:tcW w:w="1477" w:type="dxa"/>
            <w:tcBorders>
              <w:top w:val="single" w:sz="4" w:space="0" w:color="auto"/>
            </w:tcBorders>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Ji 2015(1)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{"citationItems":[{"id":"ITEM-1","itemData":{"DOI":"10.18632/oncotarget.6737","ISBN":"1949-2553","ISSN":"1949-2553","PMID":"26716896","abstract":"//      Nan Ji 1,  6,  * , Danhui Weng 3,  * , Cang Liu 4 , Zheng Gu 5 , Shizhang Chen 2 , Ying Guo 2 , Zhong Fan 2 , Xiao Wang 2 , Jianfei Chen 2 , Yanyan Zhao 2 , Jianfeng Zhou 3 , Jisheng Wang 1,  6 , Ding Ma 3 , Ning Li 2     1 Department of Neurosurgery, Beijing Tiantan Hospital, Capital Medical University, Beijing, P.R. China    2 Beijing YouAn Hospital, Capital Medical University, Beijing, P.R. China    3 Tongji Hospital Affiliated with Tongji Medical College of Huazhong University of Science and Technology, Wuhan, P.R. China    4 Beijing Friendship Hospital, Capital Medical University, Beijing, P.R. China    5 Beijing Chao-Yang Hospital, Capital Medical University, Beijing, P.R. China    6 Beijing Key Laboratory of Brian Tumor, Beijing, P.R. China    * These authors have contributed equally to this work   Correspondence to:   Ding Ma, e-mail:  dma@tjh.tjmu.edu.cn    Ning Li, e-mail:  liningbjyah@vip.sina.com    Jisheng Wang, e-mail:  neurowang@sina.com     Keywords:  recurrent high-grade glioma, gene therapy, ADV-TK, glioblastoma    Received:  September 09, 2015&amp;nbsp;&amp;nbsp;&amp;nbsp;&amp;nbsp; Accepted:  November 26, 2015&amp;nbsp;&amp;nbsp;&amp;nbsp;&amp;nbsp; Published:  December 23, 2015     ABSTRACT    Background:  This randomized, open-label, multicenter, phase II clinical trial was conducted to assess the anti-tumor efficacy and safety of replication-deficient adenovirus mutant thymidine kinase (ADV-TK) in combination with ganciclovir administration in patients with recurrent high-grade glioma (HGG).    Patients and Methods:  53 patients with recurrent HGG were randomly allocated to receive intra-arterial cerebral infusion of ADV-TK or conventional treatments. The primary end point was 6-month progression-free survival (PFS-6). Secondary end points included progression-free survival (PFS), overall survival (OS), safety, and clinical benefit. This trial is registered with Clinicaltrials.gov, NCT00870181.    Results:  In ADV-TK group, PFS-6 was 54.5%, the median PFS was 29.6 weeks, the median OS was 45.4 weeks, and better survivals were achieved when compared with control group. The one-year PFS and OS were 22.7% and 44.6% in ADV-TK group respectively, and clinical benefit was 68.2%. There are 2 patients alive for more than 4 years without progression in ADV-TK group. In the subgroup of glioblastoma received ADV-TK, PFS-6 was 71.4%, median PFS was 34.9 weeks, median OS was 45.7 weeks respectively, much better than those in control group. The one-year PFS and OS wer…","author":[{"dropping-particle":"","family":"Ji","given":"Nan","non-dropping-particle":"","parse-names":false,"suffix":""},{"dropping-particle":"","family":"Weng","given":"Danhui","non-dropping-particle":"","parse-names":false,"suffix":""},{"dropping-particle":"","family":"Liu","given":"Cang","non-dropping-particle":"","parse-names":false,"suffix":""},{"dropping-particle":"","family":"Gu","given":"Zheng","non-dropping-particle":"","parse-names":false,"suffix":""},{"dropping-particle":"","family":"Chen","given":"Shizhang","non-dropping-particle":"","parse-names":false,"suffix":""},{"dropping-particle":"","family":"Guo","given":"Ying","non-dropping-particle":"","parse-names":false,"suffix":""},{"dropping-particle":"","family":"Fan","given":"Zhong","non-dropping-particle":"","parse-names":false,"suffix":""},{"dropping-particle":"","family":"Wang","given":"Xiao","non-dropping-particle":"","parse-names":false,"suffix":""},{"dropping-particle":"","family":"Chen","given":"Jianfei","non-dropping-particle":"","parse-names":false,"suffix":""},{"dropping-particle":"","family":"Zhao","given":"Yanyan","non-dropping-particle":"","parse-names":false,"suffix":""},{"dropping-particle":"","family":"Zhou","given":"Jianfeng","non-dropping-particle":"","parse-names":false,"suffix":""},{"dropping-particle":"","family":"Wang","given":"Jisheng","non-dropping-particle":"","parse-names":false,"suffix":""},{"dropping-particle":"","family":"Ma","given":"Ding","non-dropping-particle":"","parse-names":false,"suffix":""},{"dropping-particle":"","family":"Li","given":"Ning","non-dropping-particle":"","parse-names":false,"suffix":""}],"container-title":"Oncotarget","id":"ITEM-1","issue":"4","issued":{"date-parts":[["2016"]]},"title":"Adenovirus-mediated delivery of herpes simplex virus thymidine kinase administration improves outcome of recurrent high-grade glioma","type":"article-journal","volume":"7"},"uris":["http://www.mendeley.com/documents/?uuid=17bdbbff-d465-4ecd-a3ba-92c8e3e3930c"]}],"mendeley":{"formattedCitation":"[23]","plainTextFormattedCitation":"[23]","previouslyFormattedCitation":"[18]"},"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[23]</w:t>
            </w:r>
            <w:r>
              <w:rPr>
                <w:rFonts w:ascii="Arial" w:eastAsia="微软雅黑" w:hAnsi="Arial"/>
                <w:kern w:val="0"/>
                <w:sz w:val="18"/>
                <w:szCs w:val="18"/>
              </w:rPr>
              <w:fldChar w:fldCharType="end"/>
            </w:r>
          </w:p>
        </w:tc>
        <w:tc>
          <w:tcPr>
            <w:tcW w:w="1026" w:type="dxa"/>
            <w:tcBorders>
              <w:top w:val="single" w:sz="4" w:space="0" w:color="auto"/>
            </w:tcBorders>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tcBorders>
              <w:top w:val="single" w:sz="4" w:space="0" w:color="auto"/>
            </w:tcBorders>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49</w:t>
            </w:r>
          </w:p>
        </w:tc>
        <w:tc>
          <w:tcPr>
            <w:tcW w:w="894" w:type="dxa"/>
            <w:tcBorders>
              <w:top w:val="single" w:sz="4" w:space="0" w:color="auto"/>
            </w:tcBorders>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54</w:t>
            </w:r>
          </w:p>
        </w:tc>
        <w:tc>
          <w:tcPr>
            <w:tcW w:w="2258" w:type="dxa"/>
            <w:tcBorders>
              <w:top w:val="single" w:sz="4" w:space="0" w:color="auto"/>
            </w:tcBorders>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Adv</w:t>
            </w:r>
            <w:r>
              <w:rPr>
                <w:rFonts w:ascii="Arial" w:hAnsi="Arial"/>
                <w:sz w:val="18"/>
                <w:szCs w:val="18"/>
              </w:rPr>
              <w:t>HSV</w:t>
            </w:r>
            <w:r w:rsidRPr="00307965">
              <w:rPr>
                <w:rFonts w:ascii="Arial" w:hAnsi="Arial"/>
                <w:sz w:val="18"/>
                <w:szCs w:val="18"/>
              </w:rPr>
              <w:t>-tk+GCV</w:t>
            </w:r>
            <w:r>
              <w:rPr>
                <w:rFonts w:ascii="Arial" w:hAnsi="Arial"/>
                <w:sz w:val="18"/>
                <w:szCs w:val="18"/>
              </w:rPr>
              <w:t>+SOC</w:t>
            </w:r>
          </w:p>
        </w:tc>
        <w:tc>
          <w:tcPr>
            <w:tcW w:w="1782" w:type="dxa"/>
            <w:tcBorders>
              <w:top w:val="single" w:sz="4" w:space="0" w:color="auto"/>
            </w:tcBorders>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Ji 2015(2)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{"citationItems":[{"id":"ITEM-1","itemData":{"DOI":"10.18632/oncotarget.6737","ISBN":"1949-2553","ISSN":"1949-2553","PMID":"26716896","abstract":"//      Nan Ji 1,  6,  * , Danhui Weng 3,  * , Cang Liu 4 , Zheng Gu 5 , Shizhang Chen 2 , Ying Guo 2 , Zhong Fan 2 , Xiao Wang 2 , Jianfei Chen 2 , Yanyan Zhao 2 , Jianfeng Zhou 3 , Jisheng Wang 1,  6 , Ding Ma 3 , Ning Li 2     1 Department of Neurosurgery, Beijing Tiantan Hospital, Capital Medical University, Beijing, P.R. China    2 Beijing YouAn Hospital, Capital Medical University, Beijing, P.R. China    3 Tongji Hospital Affiliated with Tongji Medical College of Huazhong University of Science and Technology, Wuhan, P.R. China    4 Beijing Friendship Hospital, Capital Medical University, Beijing, P.R. China    5 Beijing Chao-Yang Hospital, Capital Medical University, Beijing, P.R. China    6 Beijing Key Laboratory of Brian Tumor, Beijing, P.R. China    * These authors have contributed equally to this work   Correspondence to:   Ding Ma, e-mail:  dma@tjh.tjmu.edu.cn    Ning Li, e-mail:  liningbjyah@vip.sina.com    Jisheng Wang, e-mail:  neurowang@sina.com     Keywords:  recurrent high-grade glioma, gene therapy, ADV-TK, glioblastoma    Received:  September 09, 2015&amp;nbsp;&amp;nbsp;&amp;nbsp;&amp;nbsp; Accepted:  November 26, 2015&amp;nbsp;&amp;nbsp;&amp;nbsp;&amp;nbsp; Published:  December 23, 2015     ABSTRACT    Background:  This randomized, open-label, multicenter, phase II clinical trial was conducted to assess the anti-tumor efficacy and safety of replication-deficient adenovirus mutant thymidine kinase (ADV-TK) in combination with ganciclovir administration in patients with recurrent high-grade glioma (HGG).    Patients and Methods:  53 patients with recurrent HGG were randomly allocated to receive intra-arterial cerebral infusion of ADV-TK or conventional treatments. The primary end point was 6-month progression-free survival (PFS-6). Secondary end points included progression-free survival (PFS), overall survival (OS), safety, and clinical benefit. This trial is registered with Clinicaltrials.gov, NCT00870181.    Results:  In ADV-TK group, PFS-6 was 54.5%, the median PFS was 29.6 weeks, the median OS was 45.4 weeks, and better survivals were achieved when compared with control group. The one-year PFS and OS were 22.7% and 44.6% in ADV-TK group respectively, and clinical benefit was 68.2%. There are 2 patients alive for more than 4 years without progression in ADV-TK group. In the subgroup of glioblastoma received ADV-TK, PFS-6 was 71.4%, median PFS was 34.9 weeks, median OS was 45.7 weeks respectively, much better than those in control group. The one-year PFS and OS wer…","author":[{"dropping-particle":"","family":"Ji","given":"Nan","non-dropping-particle":"","parse-names":false,"suffix":""},{"dropping-particle":"","family":"Weng","given":"Danhui","non-dropping-particle":"","parse-names":false,"suffix":""},{"dropping-particle":"","family":"Liu","given":"Cang","non-dropping-particle":"","parse-names":false,"suffix":""},{"dropping-particle":"","family":"Gu","given":"Zheng","non-dropping-particle":"","parse-names":false,"suffix":""},{"dropping-particle":"","family":"Chen","given":"Shizhang","non-dropping-particle":"","parse-names":false,"suffix":""},{"dropping-particle":"","family":"Guo","given":"Ying","non-dropping-particle":"","parse-names":false,"suffix":""},{"dropping-particle":"","family":"Fan","given":"Zhong","non-dropping-particle":"","parse-names":false,"suffix":""},{"dropping-particle":"","family":"Wang","given":"Xiao","non-dropping-particle":"","parse-names":false,"suffix":""},{"dropping-particle":"","family":"Chen","given":"Jianfei","non-dropping-particle":"","parse-names":false,"suffix":""},{"dropping-particle":"","family":"Zhao","given":"Yanyan","non-dropping-particle":"","parse-names":false,"suffix":""},{"dropping-particle":"","family":"Zhou","given":"Jianfeng","non-dropping-particle":"","parse-names":false,"suffix":""},{"dropping-particle":"","family":"Wang","given":"Jisheng","non-dropping-particle":"","parse-names":false,"suffix":""},{"dropping-particle":"","family":"Ma","given":"Ding","non-dropping-particle":"","parse-names":false,"suffix":""},{"dropping-particle":"","family":"Li","given":"Ning","non-dropping-particle":"","parse-names":false,"suffix":""}],"container-title":"Oncotarget","id":"ITEM-1","issue":"4","issued":{"date-parts":[["2016"]]},"title":"Adenovirus-mediated delivery of herpes simplex virus thymidine kinase administration improves outcome of recurrent high-grade glioma","type":"article-journal","volume":"7"},"uris":["http://www.mendeley.com/documents/?uuid=17bdbbff-d465-4ecd-a3ba-92c8e3e3930c"]}],"mendeley":{"formattedCitation":"[23]","plainTextFormattedCitation":"[23]","previouslyFormattedCitation":"[18]"},"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[23]</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49</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54</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Adv</w:t>
            </w:r>
            <w:r>
              <w:rPr>
                <w:rFonts w:ascii="Arial" w:hAnsi="Arial"/>
                <w:sz w:val="18"/>
                <w:szCs w:val="18"/>
              </w:rPr>
              <w:t>HSV</w:t>
            </w:r>
            <w:r w:rsidRPr="00307965">
              <w:rPr>
                <w:rFonts w:ascii="Arial" w:hAnsi="Arial"/>
                <w:sz w:val="18"/>
                <w:szCs w:val="18"/>
              </w:rPr>
              <w:t>-tk+GCV</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Immonen 2004(1)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51.9*</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56.5*</w:t>
            </w:r>
          </w:p>
        </w:tc>
        <w:tc>
          <w:tcPr>
            <w:tcW w:w="2258" w:type="dxa"/>
            <w:shd w:val="clear" w:color="auto" w:fill="auto"/>
            <w:vAlign w:val="center"/>
            <w:hideMark/>
          </w:tcPr>
          <w:p w:rsidR="00F22633" w:rsidRPr="00307965" w:rsidRDefault="00F22633" w:rsidP="00447B79">
            <w:pPr>
              <w:rPr>
                <w:rFonts w:ascii="Arial" w:hAnsi="Arial"/>
                <w:sz w:val="18"/>
                <w:szCs w:val="18"/>
              </w:rPr>
            </w:pPr>
            <w:bookmarkStart w:id="11" w:name="OLE_LINK13"/>
            <w:bookmarkStart w:id="12" w:name="OLE_LINK14"/>
            <w:r w:rsidRPr="00307965">
              <w:rPr>
                <w:rFonts w:ascii="Arial" w:hAnsi="Arial"/>
                <w:sz w:val="18"/>
                <w:szCs w:val="18"/>
              </w:rPr>
              <w:t>Adv</w:t>
            </w:r>
            <w:r>
              <w:rPr>
                <w:rFonts w:ascii="Arial" w:hAnsi="Arial"/>
                <w:sz w:val="18"/>
                <w:szCs w:val="18"/>
              </w:rPr>
              <w:t>HSV</w:t>
            </w:r>
            <w:r w:rsidRPr="00307965">
              <w:rPr>
                <w:rFonts w:ascii="Arial" w:hAnsi="Arial"/>
                <w:sz w:val="18"/>
                <w:szCs w:val="18"/>
              </w:rPr>
              <w:t>-tk+GCV</w:t>
            </w:r>
            <w:r>
              <w:rPr>
                <w:rFonts w:ascii="Arial" w:hAnsi="Arial"/>
                <w:sz w:val="18"/>
                <w:szCs w:val="18"/>
              </w:rPr>
              <w:t>+SOC</w:t>
            </w:r>
            <w:bookmarkEnd w:id="11"/>
            <w:bookmarkEnd w:id="12"/>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Immonen 2004(2)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51.9*</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56.5*</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Adv</w:t>
            </w:r>
            <w:r>
              <w:rPr>
                <w:rFonts w:ascii="Arial" w:hAnsi="Arial"/>
                <w:sz w:val="18"/>
                <w:szCs w:val="18"/>
              </w:rPr>
              <w:t>HSV</w:t>
            </w:r>
            <w:r w:rsidRPr="00307965">
              <w:rPr>
                <w:rFonts w:ascii="Arial" w:hAnsi="Arial"/>
                <w:sz w:val="18"/>
                <w:szCs w:val="18"/>
              </w:rPr>
              <w:t>-tk+GCV</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Immonen 2004(3)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51.9*</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56.5*</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Adv</w:t>
            </w:r>
            <w:r>
              <w:rPr>
                <w:rFonts w:ascii="Arial" w:hAnsi="Arial"/>
                <w:sz w:val="18"/>
                <w:szCs w:val="18"/>
              </w:rPr>
              <w:t>HSV</w:t>
            </w:r>
            <w:r w:rsidRPr="00307965">
              <w:rPr>
                <w:rFonts w:ascii="Arial" w:hAnsi="Arial"/>
                <w:sz w:val="18"/>
                <w:szCs w:val="18"/>
              </w:rPr>
              <w:t>-tk+GCV</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Immonen 2004(4)</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51.9*</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56.5*</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Adv</w:t>
            </w:r>
            <w:r>
              <w:rPr>
                <w:rFonts w:ascii="Arial" w:hAnsi="Arial"/>
                <w:sz w:val="18"/>
                <w:szCs w:val="18"/>
              </w:rPr>
              <w:t>HSV</w:t>
            </w:r>
            <w:r w:rsidRPr="00307965">
              <w:rPr>
                <w:rFonts w:ascii="Arial" w:hAnsi="Arial"/>
                <w:sz w:val="18"/>
                <w:szCs w:val="18"/>
              </w:rPr>
              <w:t>-tk+GCV</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Solomón 2013(1)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sidRPr="00E45868">
              <w:rPr>
                <w:rFonts w:ascii="Arial" w:hAnsi="Arial"/>
                <w:sz w:val="18"/>
                <w:szCs w:val="18"/>
              </w:rPr>
              <w:t>Double Blind</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44</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46.5</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Nimotuzumab+Irradiation</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Placebo+Irradiation</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Solomón 2013(2)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sidRPr="00E45868">
              <w:rPr>
                <w:rFonts w:ascii="Arial" w:hAnsi="Arial"/>
                <w:sz w:val="18"/>
                <w:szCs w:val="18"/>
              </w:rPr>
              <w:t>Double Blind</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44</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46.5</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Nimotuzumab+Irradiation</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Placebo+Irradiation</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Solomón 2013(3)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sidRPr="00E45868">
              <w:rPr>
                <w:rFonts w:ascii="Arial" w:hAnsi="Arial"/>
                <w:sz w:val="18"/>
                <w:szCs w:val="18"/>
              </w:rPr>
              <w:t>Double Blind</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44</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46.5</w:t>
            </w:r>
          </w:p>
        </w:tc>
        <w:tc>
          <w:tcPr>
            <w:tcW w:w="2258" w:type="dxa"/>
            <w:shd w:val="clear" w:color="auto" w:fill="auto"/>
            <w:vAlign w:val="center"/>
            <w:hideMark/>
          </w:tcPr>
          <w:p w:rsidR="00F22633" w:rsidRPr="00307965" w:rsidRDefault="00F22633" w:rsidP="00447B79">
            <w:pPr>
              <w:rPr>
                <w:rFonts w:ascii="Arial" w:hAnsi="Arial"/>
                <w:sz w:val="18"/>
                <w:szCs w:val="18"/>
              </w:rPr>
            </w:pPr>
            <w:bookmarkStart w:id="13" w:name="OLE_LINK15"/>
            <w:bookmarkStart w:id="14" w:name="OLE_LINK16"/>
            <w:r w:rsidRPr="00307965">
              <w:rPr>
                <w:rFonts w:ascii="Arial" w:hAnsi="Arial"/>
                <w:sz w:val="18"/>
                <w:szCs w:val="18"/>
              </w:rPr>
              <w:t>Nimotuzumab</w:t>
            </w:r>
            <w:bookmarkEnd w:id="13"/>
            <w:bookmarkEnd w:id="14"/>
            <w:r w:rsidRPr="00307965">
              <w:rPr>
                <w:rFonts w:ascii="Arial" w:hAnsi="Arial"/>
                <w:sz w:val="18"/>
                <w:szCs w:val="18"/>
              </w:rPr>
              <w:t>+Irradiation</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Placebo+Irradiation</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Ursu 2017</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{"citationItems":[{"id":"ITEM-1","itemData":{"DOI":"10.1016/j.ejca.2016.12.003","ISBN":"0959-8049","ISSN":"18790852","PMID":"28142059","abstract":"Background Immunostimulating oligodeoxynucleotides containing unmethylated cytosine-guanosine motifs (CpG-ODN) have shown a promising efficacy in several cancer models when injected locally. A previous phase II study of CpG-ODN in patients with recurrent glioblastoma (GBM) has suggested some activity and has shown a limited toxicity. This multicentre single-blinded randomised phase II trial was designed to study the efficacy of a local treatment by CpG-ODN in patients with de novo glioblastomas. Patients and methods Patients with a newly diagnosed glioblastoma underwent large surgical resection and CpG-ODN was randomly administrated locally around the surgical cavity. The patients were then treated according to standard of care (SOC) with radiotherapy and temozolomide. The primary objective was 2-year survival. Secondary outcomes were progression free survival (PFS), and tolerance. Results Eighty-one (81) patients were randomly assigned to receive CpG-ODN plus SOC (39 patients) or SOC (42 patients). The 2-year overall survival was 31% (19%; 49%) in the CpG-ODN arm and 26% (16%; 44%) in the SOC arm. The median PFS was 9 months in the CpG-ODN arm and 8.5 months in the SOC arm. The incidence of adverse events was similar in both arms; although fever and post-operative haematoma were more frequent in the CpG-ODN arm. Conclusions Local immunotherapy with CpG-ODN injected into the surgical cavity after tumour removal and followed by SOC, although well tolerated, does not improve survival of patients with newly diagnosed GBM.","author":[{"dropping-particle":"","family":"Carpentier","given":"Antoine F.","non-dropping-particle":"","parse-names":false,"suffix":""},{"dropping-particle":"","family":"Lambert","given":"Jérôme","non-dropping-particle":"","parse-names":false,"suffix":""}],"container-title":"European Journal of Cancer","id":"ITEM-1","issued":{"date-parts":[["2017"]]},"page":"30-37","title":"Intracerebral injection of CpG oligonucleotide for patients with de novo glioblastoma—A phase II multicentric, randomised study","type":"article-journal","volume":"73"},"uris":["http://www.mendeley.com/documents/?uuid=729d862d-306d-4245-a954-5b281245a52f"]}],"mendeley":{"formattedCitation":"[20]","plainTextFormattedCitation":"[20]","previouslyFormattedCitation":"[15]"},"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[20]</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sidRPr="00E45868">
              <w:rPr>
                <w:rFonts w:ascii="Arial" w:hAnsi="Arial"/>
                <w:sz w:val="18"/>
                <w:szCs w:val="18"/>
              </w:rPr>
              <w:t>Double Blind</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62</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59</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CpG-28+</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600"/>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Vik-mo 2013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{"citationItems":[{"id":"ITEM-1","itemData":{"DOI":"10.1007/s00262-013-1453-3","ISBN":"1432-0851 (Electronic) 0340-7004 (Linking)","ISSN":"03407004","PMID":"23817721","abstract":"BACKGROUND: The growth and recurrence of several cancers appear to be driven by a population of cancer stem cells (CSCs). Glioblastoma, the most common primary brain tumor, is invariably fatal, with a median survival of approximately 1 year. Although experimental data have suggested the importance of CSCs, few data exist regarding the potential relevance and importance of these cells in a clinical setting. METHODS: We here present the first seven patients treated with a dendritic cell (DC)-based vaccine targeting CSCs in a solid tumor. Brain tumor biopsies were dissociated into single-cell suspensions, and autologous CSCs were expanded in vitro as tumorspheres. From these, CSC-mRNA was amplified and transfected into monocyte-derived autologous DCs. The DCs were aliquoted to 9-18 vaccines containing 10(7) cells each. These vaccines were injected intradermally at specified intervals after the patients had received a standard 6-week course of post-operative radio-chemotherapy. The study was registered with the ClinicalTrials.gov identifier NCT00846456. RESULTS: Autologous CSC cultures were established from ten out of eleven tumors. High-quality RNA was isolated, and mRNA was amplified in all cases. Seven patients were able to be weaned from corticosteroids to receive DC immunotherapy. An immune response induced by vaccination was identified in all seven patients. No patients developed adverse autoimmune events or other side effects. Compared to matched controls, progression-free survival was 2.9 times longer in vaccinated patients (median 694 vs. 236 days, p = 0.0018, log-rank test). CONCLUSION: These findings suggest that vaccination against glioblastoma stem cells is safe, well-tolerated, and may prolong progression-free survival.","author":[{"dropping-particle":"","family":"Vik-Mo","given":"Einar Osland","non-dropping-particle":"","parse-names":false,"suffix":""},{"dropping-particle":"","family":"Nyakas","given":"Marta","non-dropping-particle":"","parse-names":false,"suffix":""},{"dropping-particle":"","family":"Mikkelsen","given":"Birthe Viftrup","non-dropping-particle":"","parse-names":false,"suffix":""},{"dropping-particle":"","family":"Moe","given":"Morten Carstens","non-dropping-particle":"","parse-names":false,"suffix":""},{"dropping-particle":"","family":"Due-Tønnesen","given":"Paulina","non-dropping-particle":"","parse-names":false,"suffix":""},{"dropping-particle":"","family":"Suso","given":"Else Marit Inderberg","non-dropping-particle":"","parse-names":false,"suffix":""},{"dropping-particle":"","family":"Sæbøe-Larssen","given":"Stein","non-dropping-particle":"","parse-names":false,"suffix":""},{"dropping-particle":"","family":"Sandberg","given":"Cecilie","non-dropping-particle":"","parse-names":false,"suffix":""},{"dropping-particle":"","family":"Brinchmann","given":"Jan E.","non-dropping-particle":"","parse-names":false,"suffix":""},{"dropping-particle":"","family":"Helseth","given":"Eirik","non-dropping-particle":"","parse-names":false,"suffix":""},{"dropping-particle":"","family":"Rasmussen","given":"Anne Marie","non-dropping-particle":"","parse-names":false,"suffix":""},{"dropping-particle":"","family":"Lote","given":"Knut","non-dropping-particle":"","parse-names":false,"suffix":""},{"dropping-particle":"","family":"Aamdal","given":"Steinar","non-dropping-particle":"","parse-names":false,"suffix":""},{"dropping-particle":"","family":"Gaudernack","given":"Gustav","non-dropping-particle":"","parse-names":false,"suffix":""},{"dropping-particle":"","family":"Kvalheim","given":"Gunnar","non-dropping-particle":"","parse-names":false,"suffix":""},{"dropping-particle":"","family":"Langmoen","given":"Iver A.","non-dropping-particle":"","parse-names":false,"suffix":""}],"container-title":"Cancer Immunology, Immunotherapy","id":"ITEM-1","issue":"9","issued":{"date-parts":[["2013"]]},"page":"1499-1509","title":"Therapeutic vaccination against autologous cancer stem cells with mRNA-transfected dendritic cells in patients with glioblastoma","type":"article-journal","volume":"62"},"uris":["http://www.mendeley.com/documents/?uuid=818a9df8-7be4-42d3-830f-a00da2a87f31"]}],"mendeley":{"formattedCitation":"[25]","plainTextFormattedCitation":"[25]","previouslyFormattedCitation":"[21]"},"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[25]</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57</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55.9*</w:t>
            </w:r>
          </w:p>
        </w:tc>
        <w:tc>
          <w:tcPr>
            <w:tcW w:w="2258" w:type="dxa"/>
            <w:shd w:val="clear" w:color="auto" w:fill="auto"/>
            <w:vAlign w:val="center"/>
            <w:hideMark/>
          </w:tcPr>
          <w:p w:rsidR="00F22633" w:rsidRPr="00307965" w:rsidRDefault="00F22633" w:rsidP="00447B79">
            <w:pPr>
              <w:rPr>
                <w:rFonts w:ascii="Arial" w:hAnsi="Arial"/>
                <w:sz w:val="18"/>
                <w:szCs w:val="18"/>
              </w:rPr>
            </w:pPr>
            <w:bookmarkStart w:id="15" w:name="OLE_LINK17"/>
            <w:r>
              <w:rPr>
                <w:rFonts w:ascii="Arial" w:hAnsi="Arial"/>
                <w:sz w:val="18"/>
                <w:szCs w:val="18"/>
              </w:rPr>
              <w:t>DCV</w:t>
            </w:r>
            <w:r>
              <w:rPr>
                <w:rFonts w:ascii="Arial" w:hAnsi="Arial"/>
                <w:sz w:val="18"/>
                <w:szCs w:val="18"/>
                <w:vertAlign w:val="superscript"/>
              </w:rPr>
              <w:t>b</w:t>
            </w:r>
            <w:r w:rsidRPr="00307965">
              <w:rPr>
                <w:rFonts w:ascii="Arial" w:hAnsi="Arial"/>
                <w:sz w:val="18"/>
                <w:szCs w:val="18"/>
              </w:rPr>
              <w:t>+</w:t>
            </w:r>
            <w:r>
              <w:rPr>
                <w:rFonts w:ascii="Arial" w:hAnsi="Arial"/>
                <w:sz w:val="18"/>
                <w:szCs w:val="18"/>
              </w:rPr>
              <w:t>SOC</w:t>
            </w:r>
            <w:bookmarkEnd w:id="15"/>
            <w:r>
              <w:rPr>
                <w:rFonts w:ascii="Arial" w:hAnsi="Arial"/>
                <w:sz w:val="18"/>
                <w:szCs w:val="18"/>
                <w:vertAlign w:val="superscript"/>
              </w:rPr>
              <w:t>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Pr="00487012" w:rsidRDefault="00F22633" w:rsidP="00447B79">
            <w:pPr>
              <w:widowControl/>
              <w:rPr>
                <w:rFonts w:ascii="Arial" w:eastAsia="微软雅黑" w:hAnsi="Arial"/>
                <w:sz w:val="18"/>
                <w:szCs w:val="18"/>
              </w:rPr>
            </w:pPr>
            <w:r>
              <w:rPr>
                <w:rFonts w:ascii="Arial" w:eastAsia="微软雅黑" w:hAnsi="Arial"/>
                <w:sz w:val="18"/>
                <w:szCs w:val="18"/>
              </w:rPr>
              <w:t>Bogdahn 2011</w:t>
            </w:r>
            <w:r>
              <w:rPr>
                <w:rFonts w:ascii="Arial" w:eastAsia="微软雅黑" w:hAnsi="Arial"/>
                <w:sz w:val="18"/>
                <w:szCs w:val="18"/>
              </w:rPr>
              <w:fldChar w:fldCharType="begin" w:fldLock="1"/>
            </w:r>
            <w:r>
              <w:rPr>
                <w:rFonts w:ascii="Arial" w:eastAsia="微软雅黑" w:hAnsi="Arial"/>
                <w:sz w:val="18"/>
                <w:szCs w:val="18"/>
              </w:rPr>
              <w:instrText>ADDIN CSL_CITATION {"citationItems":[{"id":"ITEM-1","itemData":{"ISSN":"1522-8517","abstract":"INTRODUCTION: TGF-beta2 regulates key mechanisms of carcinogenesis, especially immunosuppression and metastasis. The antisense oligonucleotide trabedersen (AP 12009) is a TGF-beta2-specific inhibitor developed for the treatment of patients with highly malignant tumors such as recurrent or refractory high-grade glioma (HGG). METHODS: Clinical studies with trabedersen in HGG have included 3 phase I/II studies and one randomized, controlled, multinational dose-finding phase IIb study. These studies were performed in adult patients with recurrent/refractory anaplastic astrocytoma (AA, WHO grade III) or glioblastoma multiforme (GBM, WHO grade IV). Trabedersen was administered intratumorally by convection-enhanced delivery during a treatment period of about 6 months. RESULTS: In the phase IIb study, of 145 patients randomized to either one of the two doses of trabedersen (10 mM or 80 mM) or to chemotherapy (TMZ or PCV), 134 patients (AA = 39; GBM = 95) received study medication. The highest efficacy was observed in AA patients treated with 10-μM trabedersen. In this group, the 14-month progression rate was 16.7%, which was lower than seen with 80-mM trabedersen (40.0%, P = 0.1534) or chemotherapy (58.3%, P = 0.0032). The 10-μM trabedersen group also had a 3-fold longer duration of response and a clearly longer median survival than chemotherapy (39.1 vs. 21.7 months, ns). In addition, promising efficacy data were observed in GBM, especially in patients not older than 55 years with Karnofsky Performance Statuses (KPS) &gt;80% at baseline, who had a 24-month survival rate of 40% in the 10-μM trabedersen group vs. 13% in the chemotherapy group. Trabedersen generally had a good tolerability and safety profile. CONCLUSIONS: Trabedersen treatment showed a clear clinical benefit in recurrent HGG. Based on the Phase IIb results, the pivotal Phase III SAPPHIRE study in patients with recurrent/refractory AA was started. Patient recruitment is ongoing. The primary endpoint is 2-year survival rate; secondary endpoints include overall survival, tumor response, quality of life, and safety.","author":[{"dropping-particle":"","family":"Bogdahn","given":"U","non-dropping-particle":"","parse-names":false,"suffix":""},{"dropping-particle":"","family":"Stockhammer","given":"G","non-dropping-particle":"","parse-names":false,"suffix":""},{"dropping-particle":"","family":"Mahapatra","given":"A K","non-dropping-particle":"","parse-names":false,"suffix":""},{"dropping-particle":"","family":"Venkataramana","given":"N K","non-dropping-particle":"","parse-names":false,"suffix":""},{"dropping-particle":"","family":"Oliushine","given":"V E","non-dropping-particle":"","parse-names":false,"suffix":""},{"dropping-particle":"","family":"Parfenov","given":"V E","non-dropping-particle":"","parse-names":false,"suffix":""},{"dropping-particle":"","family":"Poverennova","given":"I E","non-dropping-particle":"","parse-names":false,"suffix":""},{"dropping-particle":"","family":"Hau","given":"P","non-dropping-particle":"","parse-names":false,"suffix":""},{"dropping-particle":"","family":"Jachimczak","given":"P","non-dropping-particle":"","parse-names":false,"suffix":""},{"dropping-particle":"","family":"Heinrichs","given":"H","non-dropping-particle":"","parse-names":false,"suffix":""},{"dropping-particle":"","family":"Schlingensiepen","given":"K.-H.","non-dropping-particle":"","parse-names":false,"suffix":""}],"container-title":"Neuro-Oncology","id":"ITEM-1","issue":"1","issued":{"date-parts":[["2010"]]},"page":"iv74","title":"Phase III sapphire study in high-grade gliomas: Targeted therapy with TGF-beta2 inhibitor trabedersen based on results of a randomized phase IIB study","type":"article-journal","volume":"12"},"uris":["http://www.mendeley.com/documents/?uuid=8059f83e-5924-47a2-9472-05ee961453af"]}],"mendeley":{"formattedCitation":"[2]","plainTextFormattedCitation":"[2]","previouslyFormattedCitation":"[22]"},"properties":{"noteIndex":0},"schema":"https://github.com/citation-style-language/schema/raw/master/csl-citation.json"}</w:instrText>
            </w:r>
            <w:r>
              <w:rPr>
                <w:rFonts w:ascii="Arial" w:eastAsia="微软雅黑" w:hAnsi="Arial"/>
                <w:sz w:val="18"/>
                <w:szCs w:val="18"/>
              </w:rPr>
              <w:fldChar w:fldCharType="separate"/>
            </w:r>
            <w:r w:rsidRPr="00B261A6">
              <w:rPr>
                <w:rFonts w:ascii="Arial" w:eastAsia="微软雅黑" w:hAnsi="Arial"/>
                <w:noProof/>
                <w:sz w:val="18"/>
                <w:szCs w:val="18"/>
              </w:rPr>
              <w:t>[2]</w:t>
            </w:r>
            <w:r>
              <w:rPr>
                <w:rFonts w:ascii="Arial" w:eastAsia="微软雅黑" w:hAnsi="Arial"/>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Pr>
                <w:rFonts w:ascii="Arial" w:hAnsi="Arial" w:hint="eastAsia"/>
                <w:sz w:val="18"/>
                <w:szCs w:val="18"/>
              </w:rPr>
              <w:t>3</w:t>
            </w:r>
            <w:r>
              <w:rPr>
                <w:rFonts w:ascii="Arial" w:hAnsi="Arial"/>
                <w:sz w:val="18"/>
                <w:szCs w:val="18"/>
              </w:rPr>
              <w:t>9</w:t>
            </w:r>
          </w:p>
        </w:tc>
        <w:tc>
          <w:tcPr>
            <w:tcW w:w="894" w:type="dxa"/>
            <w:shd w:val="clear" w:color="auto" w:fill="auto"/>
            <w:vAlign w:val="center"/>
            <w:hideMark/>
          </w:tcPr>
          <w:p w:rsidR="00F22633" w:rsidRPr="00307965" w:rsidRDefault="00F22633" w:rsidP="00447B79">
            <w:pPr>
              <w:rPr>
                <w:rFonts w:ascii="Arial" w:hAnsi="Arial"/>
                <w:sz w:val="18"/>
                <w:szCs w:val="18"/>
              </w:rPr>
            </w:pPr>
            <w:r>
              <w:rPr>
                <w:rFonts w:ascii="Arial" w:hAnsi="Arial"/>
                <w:sz w:val="18"/>
                <w:szCs w:val="18"/>
              </w:rPr>
              <w:t>40</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Trabedersen</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rPr>
                <w:rFonts w:ascii="Arial" w:eastAsia="微软雅黑" w:hAnsi="Arial" w:cs="Times New Roman"/>
                <w:kern w:val="0"/>
                <w:sz w:val="18"/>
                <w:szCs w:val="18"/>
              </w:rPr>
            </w:pPr>
            <w:r>
              <w:rPr>
                <w:rFonts w:ascii="Arial" w:eastAsia="微软雅黑" w:hAnsi="Arial"/>
                <w:kern w:val="0"/>
                <w:sz w:val="18"/>
                <w:szCs w:val="18"/>
              </w:rPr>
              <w:t>Bogdahn 2011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{"citationItems":[{"id":"ITEM-1","itemData":{"ISSN":"1522-8517","abstract":"INTRODUCTION: TGF-beta2 regulates key mechanisms of carcinogenesis, especially immunosuppression and metastasis. The antisense oligonucleotide trabedersen (AP 12009) is a TGF-beta2-specific inhibitor developed for the treatment of patients with highly malignant tumors such as recurrent or refractory high-grade glioma (HGG). METHODS: Clinical studies with trabedersen in HGG have included 3 phase I/II studies and one randomized, controlled, multinational dose-finding phase IIb study. These studies were performed in adult patients with recurrent/refractory anaplastic astrocytoma (AA, WHO grade III) or glioblastoma multiforme (GBM, WHO grade IV). Trabedersen was administered intratumorally by convection-enhanced delivery during a treatment period of about 6 months. RESULTS: In the phase IIb study, of 145 patients randomized to either one of the two doses of trabedersen (10 mM or 80 mM) or to chemotherapy (TMZ or PCV), 134 patients (AA = 39; GBM = 95) received study medication. The highest efficacy was observed in AA patients treated with 10-μM trabedersen. In this group, the 14-month progression rate was 16.7%, which was lower than seen with 80-mM trabedersen (40.0%, P = 0.1534) or chemotherapy (58.3%, P = 0.0032). The 10-μM trabedersen group also had a 3-fold longer duration of response and a clearly longer median survival than chemotherapy (39.1 vs. 21.7 months, ns). In addition, promising efficacy data were observed in GBM, especially in patients not older than 55 years with Karnofsky Performance Statuses (KPS) &gt;80% at baseline, who had a 24-month survival rate of 40% in the 10-μM trabedersen group vs. 13% in the chemotherapy group. Trabedersen generally had a good tolerability and safety profile. CONCLUSIONS: Trabedersen treatment showed a clear clinical benefit in recurrent HGG. Based on the Phase IIb results, the pivotal Phase III SAPPHIRE study in patients with recurrent/refractory AA was started. Patient recruitment is ongoing. The primary endpoint is 2-year survival rate; secondary endpoints include overall survival, tumor response, quality of life, and safety.","author":[{"dropping-particle":"","family":"Bogdahn","given":"U","non-dropping-particle":"","parse-names":false,"suffix":""},{"dropping-particle":"","family":"Stockhammer","given":"G","non-dropping-particle":"","parse-names":false,"suffix":""},{"dropping-particle":"","family":"Mahapatra","given":"A K","non-dropping-particle":"","parse-names":false,"suffix":""},{"dropping-particle":"","family":"Venkataramana","given":"N K","non-dropping-particle":"","parse-names":false,"suffix":""},{"dropping-particle":"","family":"Oliushine","given":"V E","non-dropping-particle":"","parse-names":false,"suffix":""},{"dropping-particle":"","family":"Parfenov","given":"V E","non-dropping-particle":"","parse-names":false,"suffix":""},{"dropping-particle":"","family":"Poverennova","given":"I E","non-dropping-particle":"","parse-names":false,"suffix":""},{"dropping-particle":"","family":"Hau","given":"P","non-dropping-particle":"","parse-names":false,"suffix":""},{"dropping-particle":"","family":"Jachimczak","given":"P","non-dropping-particle":"","parse-names":false,"suffix":""},{"dropping-particle":"","family":"Heinrichs","given":"H","non-dropping-particle":"","parse-names":false,"suffix":""},{"dropping-particle":"","family":"Schlingensiepen","given":"K.-H.","non-dropping-particle":"","parse-names":false,"suffix":""}],"container-title":"Neuro-Oncology","id":"ITEM-1","issue":"1","issued":{"date-parts":[["2010"]]},"page":"iv74","title":"Phase III sapphire study in high-grade gliomas: Targeted therapy with TGF-beta2 inhibitor trabedersen based on results of a randomized phase IIB study","type":"article-journal","volume":"12"},"uris":["http://www.mendeley.com/documents/?uuid=8059f83e-5924-47a2-9472-05ee961453af"]}],"mendeley":{"formattedCitation":"[2]","plainTextFormattedCitation":"[2]","previouslyFormattedCitation":"[22]"},"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tcPr>
          <w:p w:rsidR="00F22633" w:rsidRPr="00307965" w:rsidRDefault="00F22633" w:rsidP="00447B79">
            <w:pPr>
              <w:rPr>
                <w:rFonts w:ascii="Arial" w:hAnsi="Arial"/>
                <w:sz w:val="18"/>
                <w:szCs w:val="18"/>
              </w:rPr>
            </w:pPr>
            <w:r>
              <w:rPr>
                <w:rFonts w:ascii="Arial" w:hAnsi="Arial" w:hint="eastAsia"/>
                <w:sz w:val="18"/>
                <w:szCs w:val="18"/>
              </w:rPr>
              <w:t>5</w:t>
            </w:r>
            <w:r>
              <w:rPr>
                <w:rFonts w:ascii="Arial" w:hAnsi="Arial"/>
                <w:sz w:val="18"/>
                <w:szCs w:val="18"/>
              </w:rPr>
              <w:t>6.5</w:t>
            </w:r>
          </w:p>
        </w:tc>
        <w:tc>
          <w:tcPr>
            <w:tcW w:w="894" w:type="dxa"/>
            <w:shd w:val="clear" w:color="auto" w:fill="auto"/>
            <w:vAlign w:val="center"/>
          </w:tcPr>
          <w:p w:rsidR="00F22633" w:rsidRPr="00307965" w:rsidRDefault="00F22633" w:rsidP="00447B79">
            <w:pPr>
              <w:rPr>
                <w:rFonts w:ascii="Arial" w:hAnsi="Arial"/>
                <w:sz w:val="18"/>
                <w:szCs w:val="18"/>
              </w:rPr>
            </w:pPr>
            <w:r>
              <w:rPr>
                <w:rFonts w:ascii="Arial" w:hAnsi="Arial" w:hint="eastAsia"/>
                <w:sz w:val="18"/>
                <w:szCs w:val="18"/>
              </w:rPr>
              <w:t>4</w:t>
            </w:r>
            <w:r>
              <w:rPr>
                <w:rFonts w:ascii="Arial" w:hAnsi="Arial"/>
                <w:sz w:val="18"/>
                <w:szCs w:val="18"/>
              </w:rPr>
              <w:t>5.5</w:t>
            </w:r>
          </w:p>
        </w:tc>
        <w:tc>
          <w:tcPr>
            <w:tcW w:w="2258" w:type="dxa"/>
            <w:shd w:val="clear" w:color="auto" w:fill="auto"/>
            <w:vAlign w:val="center"/>
          </w:tcPr>
          <w:p w:rsidR="00F22633" w:rsidRPr="00307965" w:rsidRDefault="00F22633" w:rsidP="00447B79">
            <w:pPr>
              <w:rPr>
                <w:rFonts w:ascii="Arial" w:hAnsi="Arial"/>
                <w:sz w:val="18"/>
                <w:szCs w:val="18"/>
              </w:rPr>
            </w:pPr>
            <w:r w:rsidRPr="00307965">
              <w:rPr>
                <w:rFonts w:ascii="Arial" w:hAnsi="Arial"/>
                <w:sz w:val="18"/>
                <w:szCs w:val="18"/>
              </w:rPr>
              <w:t>Trabedersen</w:t>
            </w:r>
          </w:p>
        </w:tc>
        <w:tc>
          <w:tcPr>
            <w:tcW w:w="1782" w:type="dxa"/>
            <w:shd w:val="clear" w:color="auto" w:fill="auto"/>
            <w:vAlign w:val="center"/>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600"/>
        </w:trPr>
        <w:tc>
          <w:tcPr>
            <w:tcW w:w="1477" w:type="dxa"/>
            <w:shd w:val="clear" w:color="auto" w:fill="auto"/>
            <w:vAlign w:val="bottom"/>
          </w:tcPr>
          <w:p w:rsidR="00F22633" w:rsidRDefault="00F22633" w:rsidP="00447B79">
            <w:pPr>
              <w:widowControl/>
              <w:rPr>
                <w:rFonts w:ascii="Arial" w:eastAsia="微软雅黑" w:hAnsi="Arial"/>
                <w:kern w:val="0"/>
                <w:sz w:val="18"/>
                <w:szCs w:val="18"/>
              </w:rPr>
            </w:pPr>
            <w:r>
              <w:rPr>
                <w:rFonts w:ascii="Arial" w:eastAsia="微软雅黑" w:hAnsi="Arial"/>
                <w:kern w:val="0"/>
                <w:sz w:val="18"/>
                <w:szCs w:val="18"/>
              </w:rPr>
              <w:t>Jie 2011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{"citationItems":[{"id":"ITEM-1","itemData":{"DOI":"10.1007/s12013-011-9265-6","ISBN":"1559-0283 (Electronic)\\r1085-9195 (Linking)","ISSN":"10859195","PMID":"21909820","abstract":"Establishment of a detection platform for glioblastoma-dendritic cell (DC) vaccine preparation and to determine the efficacy of the vaccine in a clinical trial. Autologous glioblastoma-DC vaccine was prepared from a glioblast specimen procured from surgical resection. The specimen was used to enrich the vaccine with peripherally blood-derived DCs after heat-shock induced, glioblastoma apoptosis. The control group received conventional treatment of surgery and radio-chemotherapy post-operation. The therapeutic group received a combination of glioblastoma-DC vaccine and conventional therapy. A comparison of the functional immune parameters, including tumor control, rate live time, Karnofsky scores, and complications occurring in each group were observed and recorded. The proportions of peripheral CD3(+), CD3(+)CD4(+), CD4(+)/CD8(+), and NK cells were significantly higher after DC vaccination than the control group (P &lt; 0.05). Serum levels of IL-2, IL-12, and IFN-γ were significantly higher after DC vaccination than in the control group (P &lt; 0.05). Nine months after vaccination, tumor control rate is significantly improved in the DC group compared with the control group (P &lt; 0.05); survival rate was significantly higher in DC group than in control group (P &lt; 0.05) and the time to relapse was significantly longer in DC group than that in control group (P &lt; 0.05). Karnofsky scores were better in DC vaccination group 6 and 9 months post-treatment compared with the control group (P &lt; 0.05). The combination of glioma DC vaccine and radiotherapy/chemotherapy post-operatively enhances the immune function of patients, increases the tumor control rate, prolongs the survival time and relapse duration, improves the quality of life, and therefore provides a more effective intervention of treating glioblastoma.","author":[{"dropping-particle":"","family":"Jie","given":"X.","non-dropping-particle":"","parse-names":false,"suffix":""},{"dropping-particle":"","family":"Hua","given":"L.","non-dropping-particle":"","parse-names":false,"suffix":""},{"dropping-particle":"","family":"Jiang","given":"W.","non-dropping-particle":"","parse-names":false,"suffix":""},{"dropping-particle":"","family":"Feng","given":"F.","non-dropping-particle":"","parse-names":false,"suffix":""},{"dropping-particle":"","family":"Feng","given":"G.","non-dropping-particle":"","parse-names":false,"suffix":""},{"dropping-particle":"","family":"Hua","given":"Z.","non-dropping-particle":"","parse-names":false,"suffix":""}],"container-title":"Cell Biochemistry and Biophysics","id":"ITEM-1","issue":"1","issued":{"date-parts":[["2012"]]},"page":"91-99","title":"Clinical Application of a Dendritic Cell Vaccine Raised Against Heat-Shocked Glioblastoma","type":"article-journal","volume":"62"},"uris":["http://www.mendeley.com/documents/?uuid=929b28e7-924e-465d-b12d-2fa499b662f8"]}],"mendeley":{"formattedCitation":"[26]","plainTextFormattedCitation":"[26]","previouslyFormattedCitation":"[10]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[26]</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40.2*</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43.1*</w:t>
            </w:r>
          </w:p>
        </w:tc>
        <w:tc>
          <w:tcPr>
            <w:tcW w:w="2258" w:type="dxa"/>
            <w:shd w:val="clear" w:color="auto" w:fill="auto"/>
            <w:vAlign w:val="center"/>
            <w:hideMark/>
          </w:tcPr>
          <w:p w:rsidR="00F22633" w:rsidRPr="00307965" w:rsidRDefault="00F22633" w:rsidP="00447B79">
            <w:pPr>
              <w:rPr>
                <w:rFonts w:ascii="Arial" w:hAnsi="Arial"/>
                <w:sz w:val="18"/>
                <w:szCs w:val="18"/>
              </w:rPr>
            </w:pPr>
            <w:r>
              <w:rPr>
                <w:rFonts w:ascii="Arial" w:hAnsi="Arial"/>
                <w:sz w:val="18"/>
                <w:szCs w:val="18"/>
              </w:rPr>
              <w:t>DCV</w:t>
            </w:r>
            <w:r w:rsidRPr="00307965">
              <w:rPr>
                <w:rFonts w:ascii="Arial" w:hAnsi="Arial"/>
                <w:sz w:val="18"/>
                <w:szCs w:val="18"/>
              </w:rPr>
              <w:t>+</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600"/>
        </w:trPr>
        <w:tc>
          <w:tcPr>
            <w:tcW w:w="1477" w:type="dxa"/>
            <w:shd w:val="clear" w:color="auto" w:fill="auto"/>
            <w:vAlign w:val="bottom"/>
          </w:tcPr>
          <w:p w:rsidR="00F22633" w:rsidRDefault="00F22633" w:rsidP="00447B79">
            <w:pPr>
              <w:widowControl/>
              <w:jc w:val="left"/>
              <w:rPr>
                <w:rFonts w:ascii="Arial" w:eastAsia="微软雅黑" w:hAnsi="Arial"/>
                <w:kern w:val="0"/>
                <w:sz w:val="18"/>
                <w:szCs w:val="18"/>
              </w:rPr>
            </w:pPr>
            <w:r>
              <w:rPr>
                <w:rFonts w:ascii="Arial" w:eastAsia="微软雅黑" w:hAnsi="Arial"/>
                <w:kern w:val="0"/>
                <w:sz w:val="18"/>
                <w:szCs w:val="18"/>
              </w:rPr>
              <w:t>Weller 2017</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{"citationItems":[{"id":"ITEM-1","itemData":{"DOI":"10.1016/S1470-2045(17)30517-X","ISBN":"1538-7305","ISSN":"14745488","PMID":"28844499","abstract":"Background Rindopepimut (also known as CDX-110), a vaccine targeting the EGFR deletion mutation EGFRvIII, consists of an EGFRvIII-specific peptide conjugated to keyhole limpet haemocyanin. In the ACT IV study, we aimed to assess whether or not the addition of rindopepimut to standard chemotherapy is able to improve survival in patients with EGFRvIII-positive glioblastoma. Methods In this randomised, double-blind, phase 3 trial, we recruited patients aged 18 years and older with glioblastoma from 165 hospitals in 22 countries. Eligible patients had newly diagnosed glioblastoma confirmed to express EGFRvIII by central analysis, and had undergone maximal surgical resection and completion of standard chemoradiation without progression. Patients were stratified by European Organisation for Research and Treatment of Cancer recursive partitioning analysis class, MGMT promoter methylation, and geographical region, and randomly assigned (1:1) with a prespecified randomisation sequence (block size of four) to receive rindopepimut (500 μg admixed with 150 μg GM-CSF) or control (100 μg keyhole limpet haemocyanin) via monthly intradermal injection until progression or intolerance, concurrent with standard oral temozolomide (150–200 mg/m2 for 5 of 28 days) for 6–12 cycles or longer. Patients, investigators, and the trial funder were masked to treatment allocation. The primary endpoint was overall survival in patients with minimal residual disease (MRD; enhancing tumour &lt;2 cm2 post-chemoradiation by central review), analysed by modified intention to treat. This trial is registered with ClinicalTrials.gov, number NCT01480479. Findings Between April 12, 2012, and Dec 15, 2014, 745 patients were enrolled (405 with MRD, 338 with significant residual disease [SRD], and two unevaluable) and randomly assigned to rindopepimut and temozolomide (n=371) or control and temozolomide (n=374). The study was terminated for futility after a preplanned interim analysis. At final analysis, there was no significant difference in overall survival for patients with MRD: median overall survival was 20·1 months (95% CI 18·5–22·1) in the rindopepimut group versus 20·0 months (18·1–21·9) in the control group (HR 1·01, 95% CI 0·79–1·30; p=0·93). The most common grade 3–4 adverse events for all 369 treated patients in the rindopepimut group versus 372 treated patients in the control group were: thrombocytopenia (32 [9%] vs 23 [6%]), fatigue (six [2%] vs 19 [5%]), brain oedema (eight [2%] vs 11 […","author":[{"dropping-particle":"","family":"Weller","given":"Michael","non-dropping-particle":"","parse-names":false,"suffix":""},{"dropping-particle":"","family":"Butowski","given":"Nicholas","non-dropping-particle":"","parse-names":false,"suffix":""},{"dropping-particle":"","family":"Tran","given":"David D.","non-dropping-particle":"","parse-names":false,"suffix":""},{"dropping-particle":"","family":"Recht","given":"Lawrence D.","non-dropping-particle":"","parse-names":false,"suffix":""},{"dropping-particle":"","family":"Lim","given":"Michael","non-dropping-particle":"","parse-names":false,"suffix":""},{"dropping-particle":"","family":"Hirte","given":"Hal","non-dropping-particle":"","parse-names":false,"suffix":""},{"dropping-particle":"","family":"Ashby","given":"Lynn","non-dropping-particle":"","parse-names":false,"suffix":""},{"dropping-particle":"","family":"Mechtler","given":"Laszlo","non-dropping-particle":"","parse-names":false,"suffix":""},{"dropping-particle":"","family":"Goldlust","given":"Samuel A.","non-dropping-particle":"","parse-names":false,"suffix":""},{"dropping-particle":"","family":"Iwamoto","given":"Fabio","non-dropping-particle":"","parse-names":false,"suffix":""},{"dropping-particle":"","family":"Drappatz","given":"Jan","non-dropping-particle":"","parse-names":false,"suffix":""},{"dropping-particle":"","family":"O'Rourke","given":"Donald M.","non-dropping-particle":"","parse-names":false,"suffix":""},{"dropping-particle":"","family":"Wong","given":"Mark","non-dropping-particle":"","parse-names":false,"suffix":""},{"dropping-particle":"","family":"Hamilton","given":"Mark G.","non-dropping-particle":"","parse-names":false,"suffix":""},{"dropping-particle":"","family":"Finocchiaro","given":"Gaetano","non-dropping-particle":"","parse-names":false,"suffix":""},{"dropping-particle":"","family":"Perry","given":"James","non-dropping-particle":"","parse-names":false,"suffix":""},{"dropping-particle":"","family":"Wick","given":"Wolfgang","non-dropping-particle":"","parse-names":false,"suffix":""},{"dropping-particle":"","family":"Green","given":"Jennifer","non-dropping-particle":"","parse-names":false,"suffix":""},{"dropping-particle":"","family":"He","given":"Yi","non-dropping-particle":"","parse-names":false,"suffix":""},{"dropping-particle":"","family":"Turner","given":"Christopher D.","non-dropping-particle":"","parse-names":false,"suffix":""},{"dropping-particle":"","family":"Yellin","given":"Michael J.","non-dropping-particle":"","parse-names":false,"suffix":""},{"dropping-particle":"","family":"Keler","given":"Tibor","non-dropping-particle":"","parse-names":false,"suffix":""},{"dropping-particle":"","family":"Davis","given":"Thomas A.","non-dropping-particle":"","parse-names":false,"suffix":""},{"dropping-particle":"","family":"Stupp","given":"Roger","non-dropping-particle":"","parse-names":false,"suffix":""},{"dropping-particle":"","family":"Sampson","given":"John H.","non-dropping-particle":"","parse-names":false,"suffix":""},{"dropping-particle":"","family":"Butowski","given":"Nicholas","non-dropping-particle":"","parse-names":false,"suffix":""},{"dropping-particle":"","family":"Campian","given":"Jian","non-dropping-particle":"","parse-names":false,"suffix":""},{"dropping-particle":"","family":"Recht","given":"Lawrence","non-dropping-particle":"","parse-names":false,"suffix":""},{"dropping-particle":"","family":"Lim","given":"Michael","non-dropping-particle":"","parse-names":false,"suffix":""},{"dropping-particle":"","family":"Ashby","given":"Lynn","non-dropping-particle":"","parse-names":false,"suffix":""},{"dropping-particle":"","family":"Drappatz","given":"Jan","non-dropping-particle":"","parse-names":false,"suffix":""},{"dropping-particle":"","family":"Hirte","given":"Hal","non-dropping-particle":"","parse-names":false,"suffix":""},{"dropping-particle":"","family":"Iwamoto","given":"Fabio","non-dropping-particle":"","parse-names":false,"suffix":""},{"dropping-particle":"","family":"Mechtler","given":"Laszlo","non-dropping-particle":"","parse-names":false,"suffix":""},{"dropping-particle":"","family":"Goldlust","given":"Samuel","non-dropping-particle":"","parse-names":false,"suffix":""},{"dropping-particle":"","family":"Becker","given":"Kevin","non-dropping-particle":"","parse-names":false,"suffix":""},{"dropping-particle":"","family":"Barnett","given":"Gene","non-dropping-particle":"","parse-names":false,"suffix":""},{"dropping-particle":"","family":"Nicholas","given":"Garth","non-dropping-particle":"","parse-names":false,"suffix":""},{"dropping-particle":"","family":"Desjardins","given":"Annick","non-dropping-particle":"","parse-names":false,"suffix":""},{"dropping-particle":"","family":"Benkers","given":"Tara","non-dropping-particle":"","parse-names":false,"suffix":""},{"dropping-particle":"","family":"Wagle","given":"Naveed","non-dropping-particle":"","parse-names":false,"suffix":""},{"dropping-particle":"","family":"Groves","given":"Morris","non-dropping-particle":"","parse-names":false,"suffix":""},{"dropping-particle":"","family":"Kesari","given":"Santosh","non-dropping-particle":"","parse-names":false,"suffix":""},{"dropping-particle":"","family":"Horvath","given":"Zsolt","non-dropping-particle":"","parse-names":false,"suffix":""},{"dropping-particle":"","family":"Merrell","given":"Ryan","non-dropping-particle":"","parse-names":false,"suffix":""},{"dropping-particle":"","family":"Curry","given":"Richard","non-dropping-particle":"","parse-names":false,"suffix":""},{"dropping-particle":"","family":"O'Rourke","given":"James","non-dropping-particle":"","parse-names":false,"suffix":""},{"dropping-particle":"","family":"Schuster","given":"David","non-dropping-particle":"","parse-names":false,"suffix":""},{"dropping-particle":"","family":"Wong","given":"Mark","non-dropping-particle":"","parse-names":false,"suffix":""},{"dropping-particle":"","family":"Mrugala","given":"Maciej","non-dropping-particle":"","parse-names":false,"suffix":""},{"dropping-particle":"","family":"Jensen","given":"Randy","non-dropping-particle":"","parse-names":false,"suffix":""},{"dropping-particle":"","family":"Trusheim","given":"John","non-dropping-particle":"","parse-names":false,"suffix":""},{"dropping-particle":"","family":"Lesser","given":"Glenn","non-dropping-particle":"","parse-names":false,"suffix":""},{"dropping-particle":"","family":"Belanger","given":"Karl","non-dropping-particle":"","parse-names":false,"suffix":""},{"dropping-particle":"","family":"Sloan","given":"Andrew","non-dropping-particle":"","parse-names":false,"suffix":""},{"dropping-particle":"","family":"Purow","given":"Benjamin","non-dropping-particle":"","parse-names":false,"suffix":""},{"dropping-particle":"","family":"Fink","given":"Karen","non-dropping-particle":"","parse-names":false,"suffix":""},{"dropping-particle":"","family":"Raizer","given":"Jeffrey","non-dropping-particle":"","parse-names":false,"suffix":""},{"dropping-particle":"","family":"Schulder","given":"Michael","non-dropping-particle":"","parse-names":false,"suffix":""},{"dropping-particle":"","family":"Nair","given":"Suresh","non-dropping-particle":"","parse-names":false,"suffix":""},{"dropping-particle":"","family":"Peak","given":"Scott","non-dropping-particle":"","parse-names":false,"suffix":""},{"dropping-particle":"","family":"Perry","given":"James","non-dropping-particle":"","parse-names":false,"suffix":""},{"dropping-particle":"","family":"Brandes","given":"Alba","non-dropping-particle":"","parse-names":false,"suffix":""},{"dropping-particle":"","family":"Weller","given":"Michael","non-dropping-particle":"","parse-names":false,"suffix":""},{"dropping-particle":"","family":"Mohile","given":"Nimish","non-dropping-particle":"","parse-names":false,"suffix":""},{"dropping-particle":"","family":"Landolfi","given":"Joseph","non-dropping-particle":"","parse-names":false,"suffix":""},{"dropping-particle":"","family":"Olson","given":"Jon","non-dropping-particle":"","parse-names":false,"suffix":""},{"dropping-particle":"","family":"Finocchiaro","given":"Gaetano","non-dropping-particle":"","parse-names":false,"suffix":""},{"dropping-particle":"","family":"Jennens","given":"Ross","non-dropping-particle":"","parse-names":false,"suffix":""},{"dropping-particle":"","family":"DeSouza","given":"Paul","non-dropping-particle":"","parse-names":false,"suffix":""},{"dropping-particle":"","family":"Robinson","given":"Bridget","non-dropping-particle":"","parse-names":false,"suffix":""},{"dropping-particle":"","family":"Crittenden","given":"Marka","non-dropping-particle":"","parse-names":false,"suffix":""},{"dropping-particle":"","family":"Shih","given":"Kent","non-dropping-particle":"","parse-names":false,"suffix":""},{"dropping-particle":"","family":"Flowers","given":"Alexandra","non-dropping-particle":"","parse-names":false,"suffix":""},{"dropping-particle":"","family":"Ong","given":"Shirley","non-dropping-particle":"","parse-names":false,"suffix":""},{"dropping-particle":"","family":"Connelly","given":"Jennifer","non-dropping-particle":"","parse-names":false,"suffix":""},{"dropping-particle":"","family":"Hadjipanayis","given":"Costas","non-dropping-particle":"","parse-names":false,"suffix":""},{"dropping-particle":"","family":"Giglio","given":"Pierre","non-dropping-particle":"","parse-names":false,"suffix":""},{"dropping-particle":"","family":"Mott","given":"Frank","non-dropping-particle":"","parse-names":false,"suffix":""},{"dropping-particle":"","family":"Mathieu","given":"David","non-dropping-particle":"","parse-names":false,"suffix":""},{"dropping-particle":"","family":"Lessard","given":"Nathalie","non-dropping-particle":"","parse-names":false,"suffix":""},{"dropping-particle":"","family":"Sepulveda","given":"Sanchez Juan","non-dropping-particle":"","parse-names":false,"suffix":""},{"dropping-particle":"","family":"Lövey","given":"József","non-dropping-particle":"","parse-names":false,"suffix":""},{"dropping-particle":"","family":"Wheeler","given":"Helen","non-dropping-particle":"","parse-names":false,"suffix":""},{"dropping-particle":"","family":"Inglis","given":"Po Ling","non-dropping-particle":"","parse-names":false,"suffix":""},{"dropping-particle":"","family":"Hardie","given":"Claire","non-dropping-particle":"","parse-names":false,"suffix":""},{"dropping-particle":"","family":"Bota","given":"Daniela","non-dropping-particle":"","parse-names":false,"suffix":""},{"dropping-particle":"","family":"Lesniak","given":"Maciej","non-dropping-particle":"","parse-names":false,"suffix":""},{"dropping-particle":"","family":"Portnow","given":"Jana","non-dropping-particle":"","parse-names":false,"suffix":""},{"dropping-particle":"","family":"Frankel","given":"Bruce","non-dropping-particle":"","parse-names":false,"suffix":""},{"dropping-particle":"","family":"Junck","given":"Larry","non-dropping-particle":"","parse-names":false,"suffix":""},{"dropping-particle":"","family":"Thompson","given":"Reid","non-dropping-particle":"","parse-names":false,"suffix":""},{"dropping-particle":"","family":"Berk","given":"Lawrence","non-dropping-particle":"","parse-names":false,"suffix":""},{"dropping-particle":"","family":"McGhie","given":"John","non-dropping-particle":"","parse-names":false,"suffix":""},{"dropping-particle":"","family":"Macdonald","given":"David","non-dropping-particle":"","parse-names":false,"suffix":""},{"dropping-particle":"","family":"Saran","given":"Frank","non-dropping-particle":"","parse-names":false,"suffix":""},{"dropping-particle":"","family":"Soffietti","given":"Riccardo","non-dropping-particle":"","parse-names":false,"suffix":""},{"dropping-particle":"","family":"Blumenthal","given":"Deborah","non-dropping-particle":"","parse-names":false,"suffix":""},{"dropping-particle":"","family":"André de","given":"Sá Barreto Costa Marcos","non-dropping-particle":"","parse-names":false,"suffix":""},{"dropping-particle":"","family":"Nowak","given":"Anna","non-dropping-particle":"","parse-names":false,"suffix":""},{"dropping-particle":"","family":"Singhal","given":"Nimit","non-dropping-particle":"","parse-names":false,"suffix":""},{"dropping-particle":"","family":"Hottinger","given":"Andreas","non-dropping-particle":"","parse-names":false,"suffix":""},{"dropping-particle":"","family":"Schmid","given":"Andrea","non-dropping-particle":"","parse-names":false,"suffix":""},{"dropping-particle":"","family":"Srkalovic","given":"Gordan","non-dropping-particle":"","parse-names":false,"suffix":""},{"dropping-particle":"","family":"Baskin","given":"David","non-dropping-particle":"","parse-names":false,"suffix":""},{"dropping-particle":"","family":"Fadul","given":"Camilo","non-dropping-particle":"","parse-names":false,"suffix":""},{"dropping-particle":"","family":"Nabors","given":"Louis","non-dropping-particle":"","parse-names":false,"suffix":""},{"dropping-particle":"","family":"LaRocca","given":"Renato","non-dropping-particle":"","parse-names":false,"suffix":""},{"dropping-particle":"","family":"Villano","given":"John","non-dropping-particle":"","parse-names":false,"suffix":""},{"dropping-particle":"","family":"Paleologos","given":"Nina","non-dropping-particle":"","parse-names":false,"suffix":""},{"dropping-particle":"","family":"Kavan","given":"Petr","non-dropping-particle":"","parse-names":false,"suffix":""},{"dropping-particle":"","family":"Pitz","given":"Marshall","non-dropping-particle":"","parse-names":false,"suffix":""},{"dropping-particle":"","family":"Thiessen","given":"Brian","non-dropping-particle":"","parse-names":false,"suffix":""},{"dropping-particle":"","family":"Idbaih","given":"Ahmed","non-dropping-particle":"","parse-names":false,"suffix":""},{"dropping-particle":"","family":"Frenel","given":"Jean Sébastien","non-dropping-particle":"","parse-names":false,"suffix":""},{"dropping-particle":"","family":"Domont","given":"Julien","non-dropping-particle":"","parse-names":false,"suffix":""},{"dropping-particle":"","family":"Grauer","given":"Oliver","non-dropping-particle":"","parse-names":false,"suffix":""},{"dropping-particle":"","family":"Hau","given":"Peter","non-dropping-particle":"","parse-names":false,"suffix":""},{"dropping-particle":"","family":"Marosi","given":"Christine","non-dropping-particle":"","parse-names":false,"suffix":""},{"dropping-particle":"","family":"Sroubek","given":"Jan","non-dropping-particle":"","parse-names":false,"suffix":""},{"dropping-particle":"","family":"Hovey","given":"Elizabeth","non-dropping-particle":"","parse-names":false,"suffix":""},{"dropping-particle":"","family":"Sridhar","given":"P. S.","non-dropping-particle":"","parse-names":false,"suffix":""},{"dropping-particle":"","family":"Cher","given":"Lawrence","non-dropping-particle":"","parse-names":false,"suffix":""},{"dropping-particle":"","family":"Dunbar","given":"Erin","non-dropping-particle":"","parse-names":false,"suffix":""},{"dropping-particle":"","family":"Coyle","given":"Thomas","non-dropping-particle":"","parse-names":false,"suffix":""},{"dropping-particle":"","family":"Raymond","given":"Jane","non-dropping-particle":"","parse-names":false,"suffix":""},{"dropping-particle":"","family":"Barton","given":"Kevin","non-dropping-particle":"","parse-names":false,"suffix":""},{"dropping-particle":"","family":"Guarino","given":"Michael","non-dropping-particle":"","parse-names":false,"suffix":""},{"dropping-particle":"","family":"Raval","given":"Sumul","non-dropping-particle":"","parse-names":false,"suffix":""},{"dropping-particle":"","family":"Stea","given":"Baldassarre","non-dropping-particle":"","parse-names":false,"suffix":""},{"dropping-particle":"","family":"Dietrich","given":"Jorge","non-dropping-particle":"","parse-names":false,"suffix":""},{"dropping-particle":"","family":"Hopkins","given":"Kirsten","non-dropping-particle":"","parse-names":false,"suffix":""},{"dropping-particle":"","family":"Erridge","given":"Sara","non-dropping-particle":"","parse-names":false,"suffix":""},{"dropping-particle":"","family":"Steinbach","given":"Joachim Peter","non-dropping-particle":"","parse-names":false,"suffix":""},{"dropping-particle":"","family":"Pineda","given":"Losada Estela","non-dropping-particle":"","parse-names":false,"suffix":""},{"dropping-particle":"","family":"Balana","given":"Quintero Carmen","non-dropping-particle":"","parse-names":false,"suffix":""},{"dropping-particle":"","family":"Sonia del","given":"Barco Berron","non-dropping-particle":"","parse-names":false,"suffix":""},{"dropping-particle":"","family":"Wenczl","given":"Miklós","non-dropping-particle":"","parse-names":false,"suffix":""},{"dropping-particle":"","family":"Molnár","given":"Katalin","non-dropping-particle":"","parse-names":false,"suffix":""},{"dropping-particle":"","family":"Hideghéty","given":"Katalin","non-dropping-particle":"","parse-names":false,"suffix":""},{"dropping-particle":"","family":"Lossos","given":"Alexander","non-dropping-particle":"","parse-names":false,"suffix":""},{"dropping-particle":"","family":"Myra van","given":"Linde","non-dropping-particle":"","parse-names":false,"suffix":""},{"dropping-particle":"","family":"Levy","given":"Ana","non-dropping-particle":"","parse-names":false,"suffix":""},{"dropping-particle":"","family":"Harrup","given":"Rosemary","non-dropping-particle":"","parse-names":false,"suffix":""},{"dropping-particle":"","family":"Patterson","given":"William","non-dropping-particle":"","parse-names":false,"suffix":""},{"dropping-particle":"","family":"Lwin","given":"Zarnie","non-dropping-particle":"","parse-names":false,"suffix":""},{"dropping-particle":"","family":"Sathornsumetee","given":"Sith","non-dropping-particle":"","parse-names":false,"suffix":""},{"dropping-particle":"","family":"Lee","given":"E. Jian","non-dropping-particle":"","parse-names":false,"suffix":""},{"dropping-particle":"","family":"Ho","given":"Jih Tsun","non-dropping-particle":"","parse-names":false,"suffix":""},{"dropping-particle":"","family":"Emmons","given":"Steven","non-dropping-particle":"","parse-names":false,"suffix":""},{"dropping-particle":"","family":"Duic","given":"J. Paul","non-dropping-particle":"","parse-names":false,"suffix":""},{"dropping-particle":"","family":"Shao","given":"Spencer","non-dropping-particle":"","parse-names":false,"suffix":""},{"dropping-particle":"","family":"Ashamalla","given":"Hani","non-dropping-particle":"","parse-names":false,"suffix":""},{"dropping-particle":"","family":"Weaver","given":"Michael","non-dropping-particle":"","parse-names":false,"suffix":""},{"dropping-particle":"","family":"Lutzky","given":"Jose","non-dropping-particle":"","parse-names":false,"suffix":""},{"dropping-particle":"","family":"Avgeropoulos","given":"Nicholas","non-dropping-particle":"","parse-names":false,"suffix":""},{"dropping-particle":"","family":"Hanna","given":"Wahid","non-dropping-particle":"","parse-names":false,"suffix":""},{"dropping-particle":"","family":"Nadipuram","given":"Mukund","non-dropping-particle":"","parse-names":false,"suffix":""},{"dropping-particle":"","family":"Cecchi","given":"Gary","non-dropping-particle":"","parse-names":false,"suffix":""},{"dropping-particle":"","family":"O'Donnell","given":"Robert","non-dropping-particle":"","parse-names":false,"suffix":""},{"dropping-particle":"","family":"Pannullo","given":"Susan","non-dropping-particle":"","parse-names":false,"suffix":""},{"dropping-particle":"","family":"Carney","given":"Jennifer","non-dropping-particle":"","parse-names":false,"suffix":""},{"dropping-particle":"","family":"Hamilton","given":"Mark","non-dropping-particle":"","parse-names":false,"suffix":""},{"dropping-particle":"","family":"MacNeil","given":"Mary","non-dropping-particle":"","parse-names":false,"suffix":""},{"dropping-particle":"","family":"Beaney","given":"Ronald","non-dropping-particle":"","parse-names":false,"suffix":""},{"dropping-particle":"","family":"Fabbro","given":"Michel","non-dropping-particle":"","parse-names":false,"suffix":""},{"dropping-particle":"","family":"Schnell","given":"Oliver","non-dropping-particle":"","parse-names":false,"suffix":""},{"dropping-particle":"","family":"Fietkau","given":"Rainer","non-dropping-particle":"","parse-names":false,"suffix":""},{"dropping-particle":"","family":"Stockhammer","given":"Guenther","non-dropping-particle":"","parse-names":false,"suffix":""},{"dropping-particle":"","family":"Malinova","given":"Bela","non-dropping-particle":"","parse-names":false,"suffix":""},{"dropping-particle":"","family":"Odrazka","given":"Karel","non-dropping-particle":"","parse-names":false,"suffix":""},{"dropping-particle":"","family":"Sames","given":"Martin","non-dropping-particle":"","parse-names":false,"suffix":""},{"dropping-particle":"","family":"Miguel Gil","given":"Gil","non-dropping-particle":"","parse-names":false,"suffix":""},{"dropping-particle":"","family":"Razis","given":"Evangelia","non-dropping-particle":"","parse-names":false,"suffix":""},{"dropping-particle":"","family":"Lavrenkov","given":"Konstantin","non-dropping-particle":"","parse-names":false,"suffix":""},{"dropping-particle":"","family":"Castro","given":"Guillermo","non-dropping-particle":"","parse-names":false,"suffix":""},{"dropping-particle":"","family":"Ramirez","given":"Francisco","non-dropping-particle":"","parse-names":false,"suffix":""},{"dropping-particle":"","family":"Baldotto","given":"Clarissa","non-dropping-particle":"","parse-names":false,"suffix":""},{"dropping-particle":"","family":"Viola","given":"Fabiana","non-dropping-particle":"","parse-names":false,"suffix":""},{"dropping-particle":"","family":"Malheiros","given":"Suzana","non-dropping-particle":"","parse-names":false,"suffix":""},{"dropping-particle":"","family":"Lickliter","given":"Jason","non-dropping-particle":"","parse-names":false,"suffix":""},{"dropping-particle":"","family":"Gauden","given":"Stanislaw","non-dropping-particle":"","parse-names":false,"suffix":""},{"dropping-particle":"","family":"Dechaphunkul","given":"Arunee","non-dropping-particle":"","parse-names":false,"suffix":""},{"dropping-particle":"","family":"Thaipisuttikul","given":"Iyavut","non-dropping-particle":"","parse-names":false,"suffix":""},{"dropping-particle":"","family":"Thotathil","given":"Ziad","non-dropping-particle":"","parse-names":false,"suffix":""},{"dropping-particle":"","family":"Ma","given":"Hsin I.","non-dropping-particle":"","parse-names":false,"suffix":""},{"dropping-particle":"","family":"Cheng","given":"Wen Yu","non-dropping-particle":"","parse-names":false,"suffix":""},{"dropping-particle":"","family":"Chang","given":"Chin Hong","non-dropping-particle":"","parse-names":false,"suffix":""},{"dropping-particle":"","family":"Salas","given":"Fernando","non-dropping-particle":"","parse-names":false,"suffix":""},{"dropping-particle":"","family":"Dietrich","given":"Pierre Yves","non-dropping-particle":"","parse-names":false,"suffix":""},{"dropping-particle":"","family":"Mamot","given":"Christoph","non-dropping-particle":"","parse-names":false,"suffix":""},{"dropping-particle":"","family":"Nayak","given":"Lakshmi","non-dropping-particle":"","parse-names":false,"suffix":""},{"dropping-particle":"","family":"Nag","given":"Shona","non-dropping-particle":"","parse-names":false,"suffix":""}],"container-title":"The Lancet Oncology","id":"ITEM-1","issue":"10","issued":{"date-parts":[["2017"]]},"page":"1373-1385","title":"Rindopepimut with temozolomide for patients with newly diagnosed, EGFRvIII-expressing glioblastoma (ACT IV): a randomised, double-blind, international phase 3 trial","type":"article-journal","volume":"18"},"uris":["http://www.mendeley.com/documents/?uuid=6ba3e021-63fa-4290-ae5b-82611c00e529"]}],"mendeley":{"formattedCitation":"[27]","plainTextFormattedCitation":"[27]","previouslyFormattedCitation":"[23]"},"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[27]</w:t>
            </w:r>
            <w:r>
              <w:rPr>
                <w:rFonts w:ascii="Arial" w:eastAsia="微软雅黑" w:hAnsi="Arial"/>
                <w:kern w:val="0"/>
                <w:sz w:val="18"/>
                <w:szCs w:val="18"/>
              </w:rPr>
              <w:fldChar w:fldCharType="end"/>
            </w:r>
          </w:p>
        </w:tc>
        <w:tc>
          <w:tcPr>
            <w:tcW w:w="1026" w:type="dxa"/>
            <w:vAlign w:val="center"/>
          </w:tcPr>
          <w:p w:rsidR="00F22633" w:rsidRPr="00307965" w:rsidRDefault="00F22633" w:rsidP="00447B79">
            <w:pPr>
              <w:rPr>
                <w:rFonts w:ascii="Arial" w:hAnsi="Arial"/>
                <w:sz w:val="18"/>
                <w:szCs w:val="18"/>
              </w:rPr>
            </w:pPr>
            <w:r w:rsidRPr="00E45868">
              <w:rPr>
                <w:rFonts w:ascii="Arial" w:hAnsi="Arial"/>
                <w:sz w:val="18"/>
                <w:szCs w:val="18"/>
              </w:rPr>
              <w:t>Double Blind</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59</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58</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Rindopepimut+</w:t>
            </w:r>
            <w:r>
              <w:rPr>
                <w:rFonts w:ascii="Arial" w:hAnsi="Arial"/>
                <w:sz w:val="18"/>
                <w:szCs w:val="18"/>
              </w:rPr>
              <w:t>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sz w:val="18"/>
                <w:szCs w:val="18"/>
              </w:rPr>
            </w:pPr>
            <w:r>
              <w:rPr>
                <w:rFonts w:ascii="Arial" w:eastAsia="微软雅黑" w:hAnsi="Arial"/>
                <w:sz w:val="18"/>
                <w:szCs w:val="18"/>
              </w:rPr>
              <w:t>Wheeler 2016</w:t>
            </w:r>
            <w:r>
              <w:rPr>
                <w:rFonts w:ascii="Arial" w:eastAsia="微软雅黑" w:hAnsi="Arial"/>
                <w:sz w:val="18"/>
                <w:szCs w:val="18"/>
              </w:rPr>
              <w:fldChar w:fldCharType="begin" w:fldLock="1"/>
            </w:r>
            <w:r>
              <w:rPr>
                <w:rFonts w:ascii="Arial" w:eastAsia="微软雅黑" w:hAnsi="Arial"/>
                <w:sz w:val="18"/>
                <w:szCs w:val="18"/>
              </w:rPr>
              <w:instrText>ADDIN CSL_CITATION {"citationItems":[{"id":"ITEM-1","itemData":{"DOI":"10.1093/neuonc/now002","ISBN":"1523-5866 (Electronic)\r1522-8517 (Linking)","ISSN":"15235866","PMID":"26843484","abstract":"BACKGROUND: Despite aggressive standard of care (SOC) treatment, survival of malignant gliomas remains very poor. This phase 2, prospective, matched controlled, multicenter trial was conducted to assess the safety and efficacy of aglatimagene besadenovec (AdV-tk) plus valacyclovir (gene-mediated cytotoxic immunotherapy [GMCI]) in combination with SOC for newly diagnosed malignant glioma patients.\\n\\nMETHODS: Treatment cohort patients received SOC + GMCI and were enrolled at 4 institutions from 2006 to 2010. The preplanned, matched-control cohort included all concurrent patients meeting protocol criteria and SOC at a fifth institution. AdV-tk was administered at surgery followed by SOC radiation and temozolomide. Subset analyses were preplanned, based on prognostic factors: pathological diagnosis (glioblastoma vs others) and extent of resection.\\n\\nRESULTS: Forty-eight patients completed SOC + GMCI, and 134 met control cohort criteria. Median overall survival (OS) was 17.1 months for GMCI + SOC versus 13.5 months for SOC alone (P = .0417). Survival at 1, 2, and 3 years was 67%, 35%, and 19% versus 57%, 22%, and 8%, respectively. The greatest benefit was observed in gross total resection patients: median OS of 25 versus 16.9 months (P = .0492); 1, 2, and 3-year survival of 90%, 53%, and 32% versus 64%, 28% and 6%, respectively. There were no dose-limiting toxicities; fever, fatigue, and headache were the most common GMCI-related symptoms.\\n\\nCONCLUSIONS: GMCI can be safely combined with SOC in newly diagnosed malignant gliomas. Survival outcomes were most notably improved in patients with minimal residual disease after gross total resection. These data should help guide future immunotherapy studies and strongly support further evaluation of GMCI for malignant gliomas.\\n\\nCLINICAL TRIAL REGISTRY: ClinicalTrials.gov NCT00589875.","author":[{"dropping-particle":"","family":"Wheeler","given":"Lee A.","non-dropping-particle":"","parse-names":false,"suffix":""},{"dropping-particle":"","family":"Manzanera","given":"Andrea G.","non-dropping-particle":"","parse-names":false,"suffix":""},{"dropping-particle":"","family":"Bell","given":"Susan D.","non-dropping-particle":"","parse-names":false,"suffix":""},{"dropping-particle":"","family":"Cavaliere","given":"Robert","non-dropping-particle":"","parse-names":false,"suffix":""},{"dropping-particle":"","family":"McGregor","given":"John M.","non-dropping-particle":"","parse-names":false,"suffix":""},{"dropping-particle":"","family":"Grecula","given":"John C.","non-dropping-particle":"","parse-names":false,"suffix":""},{"dropping-particle":"","family":"Newton","given":"Herbert B.","non-dropping-particle":"","parse-names":false,"suffix":""},{"dropping-particle":"","family":"Lo","given":"Simon S.","non-dropping-particle":"","parse-names":false,"suffix":""},{"dropping-particle":"","family":"Badie","given":"Behnam","non-dropping-particle":"","parse-names":false,"suffix":""},{"dropping-particle":"","family":"Portnow","given":"Jana","non-dropping-particle":"","parse-names":false,"suffix":""},{"dropping-particle":"","family":"Teh","given":"Bin S.","non-dropping-particle":"","parse-names":false,"suffix":""},{"dropping-particle":"","family":"Trask","given":"Todd W.","non-dropping-particle":"","parse-names":false,"suffix":""},{"dropping-particle":"","family":"Baskin","given":"David S.","non-dropping-particle":"","parse-names":false,"suffix":""},{"dropping-particle":"","family":"New","given":"Pamela Z.","non-dropping-particle":"","parse-names":false,"suffix":""},{"dropping-particle":"","family":"Aguilar","given":"Laura K.","non-dropping-particle":"","parse-names":false,"suffix":""},{"dropping-particle":"","family":"Aguilar-Cordova","given":"Estuardo","non-dropping-particle":"","parse-names":false,"suffix":""},{"dropping-particle":"","family":"Chiocca","given":"E. Antonio","non-dropping-particle":"","parse-names":false,"suffix":""}],"container-title":"Neuro-Oncology","id":"ITEM-1","issue":"8","issued":{"date-parts":[["2016"]]},"page":"1137-1145","title":"Phase II multicenter study of gene-mediated cytotoxic immunotherapy as adjuvant to surgical resection for newly diagnosed malignant glioma","type":"article-journal","volume":"18"},"uris":["http://www.mendeley.com/documents/?uuid=24dc239d-4531-4024-916d-72b569ecef1a"]}],"mendeley":{"formattedCitation":"[28]","plainTextFormattedCitation":"[28]","previouslyFormattedCitation":"[24]"},"properties":{"noteIndex":0},"schema":"https://github.com/citation-style-language/schema/raw/master/csl-citation.json"}</w:instrText>
            </w:r>
            <w:r>
              <w:rPr>
                <w:rFonts w:ascii="Arial" w:eastAsia="微软雅黑" w:hAnsi="Arial"/>
                <w:sz w:val="18"/>
                <w:szCs w:val="18"/>
              </w:rPr>
              <w:fldChar w:fldCharType="separate"/>
            </w:r>
            <w:r w:rsidRPr="00B261A6">
              <w:rPr>
                <w:rFonts w:ascii="Arial" w:eastAsia="微软雅黑" w:hAnsi="Arial"/>
                <w:noProof/>
                <w:sz w:val="18"/>
                <w:szCs w:val="18"/>
              </w:rPr>
              <w:t>[28]</w:t>
            </w:r>
            <w:r>
              <w:rPr>
                <w:rFonts w:ascii="Arial" w:eastAsia="微软雅黑" w:hAnsi="Arial"/>
                <w:sz w:val="18"/>
                <w:szCs w:val="18"/>
              </w:rPr>
              <w:fldChar w:fldCharType="end"/>
            </w:r>
          </w:p>
        </w:tc>
        <w:tc>
          <w:tcPr>
            <w:tcW w:w="1026" w:type="dxa"/>
            <w:vAlign w:val="center"/>
          </w:tcPr>
          <w:p w:rsidR="00F22633" w:rsidRPr="00307965"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57</w:t>
            </w:r>
          </w:p>
        </w:tc>
        <w:tc>
          <w:tcPr>
            <w:tcW w:w="894"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60</w:t>
            </w:r>
          </w:p>
        </w:tc>
        <w:tc>
          <w:tcPr>
            <w:tcW w:w="2258"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Adv</w:t>
            </w:r>
            <w:r>
              <w:rPr>
                <w:rFonts w:ascii="Arial" w:hAnsi="Arial"/>
                <w:sz w:val="18"/>
                <w:szCs w:val="18"/>
              </w:rPr>
              <w:t>HSV</w:t>
            </w:r>
            <w:r w:rsidRPr="00307965">
              <w:rPr>
                <w:rFonts w:ascii="Arial" w:hAnsi="Arial"/>
                <w:sz w:val="18"/>
                <w:szCs w:val="18"/>
              </w:rPr>
              <w:t>-tk+SOC</w:t>
            </w:r>
          </w:p>
        </w:tc>
        <w:tc>
          <w:tcPr>
            <w:tcW w:w="1782" w:type="dxa"/>
            <w:shd w:val="clear" w:color="auto" w:fill="auto"/>
            <w:vAlign w:val="center"/>
            <w:hideMark/>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Yao 2018</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{"citationItems":[{"id":"ITEM-1","itemData":{"DOI":"10.1007/s00262-018-2232-y","ISBN":"0123456789","ISSN":"14320851","PMID":"30159779","abstract":"Dendritic cell (DC)-based vaccination is a promising approach for active-specific immunotherapy, but is currently of limited efficacy. The safety and effectiveness of a DC vaccine (DCV) loaded with glioblastoma stem cell-like (GSC) antigens was assessed in glioblastoma multiforme (GBM) patients. In this double-blind, placebo-controlled phase II clinical trial, 43 GBM patients were randomized after surgery at a 1:1 ratio to receive either DCV (n = 22) or normal saline placebo (n = 21). Overall survival (OS) and progression-free survival (PFS) were analysed. Participants were stratified into different molecular subgroups based on the mutation (MT) status of isocitrate dehydrogenase (IDH1/2) and telomerase reverse transcriptase (TERT). Plasma cytokine levels, tumor-infiltrating lymphocyte numbers and immune co-inhibitory molecules PD-L1 and B7-H4 were also assessed. Multivariate Cox regression analysis revealed that DCV treatment significantly prolonged OS (p = 0.02) after adjusting for IDH1 and TERT promoter MT and B7-H4 expression, primary vs recurrent GBM. Among IDH1wild type (WT) TERTMT patients, DCV treatment significantly prolonged OS (p &lt; 0.01) and PFS (p = 0.03) and increased plasma levels of cytokines CCL22 and IFN-γ compared with placebo. Patients with low B7-H4 expression showed significantly prolonged OS (p = 0.02) after DCV treatment. Therefore, IDH1WTTERTMT and low B7-H4 expression identified subgroups of GBM patients more responsive to GSC DCV-based specific active-immunotherapy.","author":[{"dropping-particle":"","family":"Yao","given":"Yu","non-dropping-particle":"","parse-names":false,"suffix":""},{"dropping-particle":"","family":"Luo","given":"Feifei","non-dropping-particle":"","parse-names":false,"suffix":""},{"dropping-particle":"","family":"Tang","given":"Chao","non-dropping-particle":"","parse-names":false,"suffix":""},{"dropping-particle":"","family":"Chen","given":"Dikang","non-dropping-particle":"","parse-names":false,"suffix":""},{"dropping-particle":"","family":"Qin","given":"Zhiyong","non-dropping-particle":"","parse-names":false,"suffix":""},{"dropping-particle":"","family":"Hua","given":"Wei","non-dropping-particle":"","parse-names":false,"suffix":""},{"dropping-particle":"","family":"Xu","given":"Ming","non-dropping-particle":"","parse-names":false,"suffix":""},{"dropping-particle":"","family":"Zhong","given":"Ping","non-dropping-particle":"","parse-names":false,"suffix":""},{"dropping-particle":"","family":"Yu","given":"Shuangquan","non-dropping-particle":"","parse-names":false,"suffix":""},{"dropping-particle":"","family":"Chen","given":"Di","non-dropping-particle":"","parse-names":false,"suffix":""},{"dropping-particle":"","family":"Ding","given":"Xiaojie","non-dropping-particle":"","parse-names":false,"suffix":""},{"dropping-particle":"","family":"Zhang","given":"Yi","non-dropping-particle":"","parse-names":false,"suffix":""},{"dropping-particle":"","family":"Zheng","given":"Xiujuan","non-dropping-particle":"","parse-names":false,"suffix":""},{"dropping-particle":"","family":"Yang","given":"Jiao","non-dropping-particle":"","parse-names":false,"suffix":""},{"dropping-particle":"","family":"Qian","given":"Jiawen","non-dropping-particle":"","parse-names":false,"suffix":""},{"dropping-particle":"","family":"Deng","given":"Yuting","non-dropping-particle":"","parse-names":false,"suffix":""},{"dropping-particle":"","family":"Hoon","given":"Dave S.B.","non-dropping-particle":"","parse-names":false,"suffix":""},{"dropping-particle":"","family":"Hu","given":"Jian","non-dropping-particle":"","parse-names":false,"suffix":""},{"dropping-particle":"","family":"Chu","given":"Yiwei","non-dropping-particle":"","parse-names":false,"suffix":""},{"dropping-particle":"","family":"Zhou","given":"Liangfu","non-dropping-particle":"","parse-names":false,"suffix":""}],"container-title":"Cancer Immunology, Immunotherapy","id":"ITEM-1","issue":"11","issued":{"date-parts":[["2018"]]},"page":"1777-1788","publisher":"Springer Berlin Heidelberg","title":"Molecular subgroups and B7-H4 expression levels predict responses to dendritic cell vaccines in glioblastoma: an exploratory randomized phase II clinical trial","type":"article-journal","volume":"67"},"uris":["http://www.mendeley.com/documents/?uuid=42b8d716-6738-4101-af2a-c1a08f66e1b3"]}],"mendeley":{"formattedCitation":"[17]","plainTextFormattedCitation":"[17]","previouslyFormattedCitation":"[13]"},"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[17]</w:t>
            </w:r>
            <w:r>
              <w:rPr>
                <w:rFonts w:ascii="Arial" w:eastAsia="微软雅黑" w:hAnsi="Arial" w:cs="Times New Roman"/>
                <w:kern w:val="0"/>
                <w:sz w:val="18"/>
                <w:szCs w:val="18"/>
              </w:rPr>
              <w:fldChar w:fldCharType="end"/>
            </w:r>
          </w:p>
        </w:tc>
        <w:tc>
          <w:tcPr>
            <w:tcW w:w="1026" w:type="dxa"/>
            <w:vAlign w:val="center"/>
          </w:tcPr>
          <w:p w:rsidR="00F22633" w:rsidRDefault="00F22633" w:rsidP="00447B79">
            <w:pPr>
              <w:rPr>
                <w:rFonts w:ascii="Arial" w:hAnsi="Arial"/>
                <w:sz w:val="18"/>
                <w:szCs w:val="18"/>
              </w:rPr>
            </w:pPr>
            <w:r w:rsidRPr="00E45868">
              <w:rPr>
                <w:rFonts w:ascii="Arial" w:hAnsi="Arial"/>
                <w:sz w:val="18"/>
                <w:szCs w:val="18"/>
              </w:rPr>
              <w:t>Double Blind</w:t>
            </w:r>
          </w:p>
        </w:tc>
        <w:tc>
          <w:tcPr>
            <w:tcW w:w="869" w:type="dxa"/>
            <w:shd w:val="clear" w:color="auto" w:fill="auto"/>
            <w:vAlign w:val="center"/>
          </w:tcPr>
          <w:p w:rsidR="00F22633" w:rsidRPr="00307965" w:rsidRDefault="00F22633" w:rsidP="00447B79">
            <w:pPr>
              <w:rPr>
                <w:rFonts w:ascii="Arial" w:hAnsi="Arial"/>
                <w:sz w:val="18"/>
                <w:szCs w:val="18"/>
              </w:rPr>
            </w:pPr>
            <w:r>
              <w:rPr>
                <w:rFonts w:ascii="Arial" w:hAnsi="Arial"/>
                <w:sz w:val="18"/>
                <w:szCs w:val="18"/>
              </w:rPr>
              <w:t>48</w:t>
            </w:r>
          </w:p>
        </w:tc>
        <w:tc>
          <w:tcPr>
            <w:tcW w:w="894" w:type="dxa"/>
            <w:shd w:val="clear" w:color="auto" w:fill="auto"/>
            <w:vAlign w:val="center"/>
          </w:tcPr>
          <w:p w:rsidR="00F22633" w:rsidRPr="00307965" w:rsidRDefault="00F22633" w:rsidP="00447B79">
            <w:pPr>
              <w:rPr>
                <w:rFonts w:ascii="Arial" w:hAnsi="Arial"/>
                <w:sz w:val="18"/>
                <w:szCs w:val="18"/>
              </w:rPr>
            </w:pPr>
            <w:r>
              <w:rPr>
                <w:rFonts w:ascii="Arial" w:hAnsi="Arial" w:hint="eastAsia"/>
                <w:sz w:val="18"/>
                <w:szCs w:val="18"/>
              </w:rPr>
              <w:t>5</w:t>
            </w:r>
            <w:r>
              <w:rPr>
                <w:rFonts w:ascii="Arial" w:hAnsi="Arial"/>
                <w:sz w:val="18"/>
                <w:szCs w:val="18"/>
              </w:rPr>
              <w:t>0</w:t>
            </w:r>
          </w:p>
        </w:tc>
        <w:tc>
          <w:tcPr>
            <w:tcW w:w="2258" w:type="dxa"/>
            <w:shd w:val="clear" w:color="auto" w:fill="auto"/>
            <w:vAlign w:val="center"/>
          </w:tcPr>
          <w:p w:rsidR="00F22633" w:rsidRPr="00307965" w:rsidRDefault="00F22633" w:rsidP="00447B79">
            <w:pPr>
              <w:rPr>
                <w:rFonts w:ascii="Arial" w:hAnsi="Arial"/>
                <w:sz w:val="18"/>
                <w:szCs w:val="18"/>
              </w:rPr>
            </w:pPr>
            <w:r>
              <w:rPr>
                <w:rFonts w:ascii="Arial" w:hAnsi="Arial"/>
                <w:sz w:val="18"/>
                <w:szCs w:val="18"/>
              </w:rPr>
              <w:t>DCV</w:t>
            </w:r>
            <w:r w:rsidRPr="00307965">
              <w:rPr>
                <w:rFonts w:ascii="Arial" w:hAnsi="Arial"/>
                <w:sz w:val="18"/>
                <w:szCs w:val="18"/>
              </w:rPr>
              <w:t>+</w:t>
            </w:r>
            <w:r>
              <w:rPr>
                <w:rFonts w:ascii="Arial" w:hAnsi="Arial"/>
                <w:sz w:val="18"/>
                <w:szCs w:val="18"/>
              </w:rPr>
              <w:t>SOC</w:t>
            </w:r>
          </w:p>
        </w:tc>
        <w:tc>
          <w:tcPr>
            <w:tcW w:w="1782" w:type="dxa"/>
            <w:shd w:val="clear" w:color="auto" w:fill="auto"/>
            <w:vAlign w:val="center"/>
          </w:tcPr>
          <w:p w:rsidR="00F22633" w:rsidRPr="00307965" w:rsidRDefault="00F22633" w:rsidP="00447B79">
            <w:pPr>
              <w:rPr>
                <w:rFonts w:ascii="Arial" w:hAnsi="Arial"/>
                <w:sz w:val="18"/>
                <w:szCs w:val="18"/>
              </w:rPr>
            </w:pPr>
            <w:r>
              <w:rPr>
                <w:rFonts w:ascii="Arial" w:hAnsi="Arial"/>
                <w:sz w:val="18"/>
                <w:szCs w:val="18"/>
              </w:rPr>
              <w:t>Placebo+SOC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Annick 2018</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{"citationItems":[{"id":"ITEM-1","itemData":{"DOI":"10.1093/neuros/nyy400","ISBN":"1533-4406 (Electronic) 0028-4793 (Linking)","ISSN":"15244040","PMID":"29943666","abstract":"BACKGROUND The prognosis of patients with recurrent World Health Organization (WHO) grade IV malignant glioma is dismal, and there is currently no effective therapy. We conducted a dose-finding and toxicity study in this population of patients, evaluating convection- enhanced, intratumoral delivery of the recombinant nonpathogenic polio–rhinovi- rus chimera (PVSRIPO). PVSRIPO recognizes the poliovirus receptor CD155, which is widely expressed in neoplastic cells of solid tumors and in major components of the tumor microenvironment. METHODS We enrolled consecutive a</w:instrText>
            </w:r>
            <w:r>
              <w:rPr>
                <w:rFonts w:ascii="Arial" w:eastAsia="微软雅黑" w:hAnsi="Arial" w:cs="Times New Roman" w:hint="eastAsia"/>
                <w:kern w:val="0"/>
                <w:sz w:val="18"/>
                <w:szCs w:val="18"/>
              </w:rPr>
              <w:instrText xml:space="preserve">dult patients who had recurrent supratentorial WHO grade IV malignant glioma, confirmed on histopathological testing, with measurable dis- ease (contrast-enhancing tumor of </w:instrText>
            </w:r>
            <w:r>
              <w:rPr>
                <w:rFonts w:ascii="Arial" w:eastAsia="微软雅黑" w:hAnsi="Arial" w:cs="Times New Roman" w:hint="eastAsia"/>
                <w:kern w:val="0"/>
                <w:sz w:val="18"/>
                <w:szCs w:val="18"/>
              </w:rPr>
              <w:instrText>≥</w:instrText>
            </w:r>
            <w:r>
              <w:rPr>
                <w:rFonts w:ascii="Arial" w:eastAsia="微软雅黑" w:hAnsi="Arial" w:cs="Times New Roman" w:hint="eastAsia"/>
                <w:kern w:val="0"/>
                <w:sz w:val="18"/>
                <w:szCs w:val="18"/>
              </w:rPr>
              <w:instrText xml:space="preserve">1 cm and </w:instrText>
            </w:r>
            <w:r>
              <w:rPr>
                <w:rFonts w:ascii="Arial" w:eastAsia="微软雅黑" w:hAnsi="Arial" w:cs="Times New Roman" w:hint="eastAsia"/>
                <w:kern w:val="0"/>
                <w:sz w:val="18"/>
                <w:szCs w:val="18"/>
              </w:rPr>
              <w:instrText>≤</w:instrText>
            </w:r>
            <w:r>
              <w:rPr>
                <w:rFonts w:ascii="Arial" w:eastAsia="微软雅黑" w:hAnsi="Arial" w:cs="Times New Roman" w:hint="eastAsia"/>
                <w:kern w:val="0"/>
                <w:sz w:val="18"/>
                <w:szCs w:val="18"/>
              </w:rPr>
              <w:instrText>5.5 cm in the greatest dimension). The study evaluated seven doses, ran</w:instrText>
            </w:r>
            <w:r>
              <w:rPr>
                <w:rFonts w:ascii="Arial" w:eastAsia="微软雅黑" w:hAnsi="Arial" w:cs="Times New Roman"/>
                <w:kern w:val="0"/>
                <w:sz w:val="18"/>
                <w:szCs w:val="18"/>
              </w:rPr>
              <w:instrText>ging between 107 and 1010 50% tissue-culture infectious doses (TCID50 ), first in a dose-escalation phase and then in a dose-expan- sion phase. RESULTS From May 2012 through May 2017, a total of 61 patients were enrolled and re- ceived a dose of PVSRIPO. Dose level −1 (5.0×107 TCID50 ) was identified as the phase 2 dose. One dose-limiting toxic effect was observed; a patient in whom dose level 5 (1010 TCID50 ) was administered had a grade 4 intracranial hemorrhage immediately after the catheter was removed. To mitigate locoregional inflamma- tion of the infused tumor with prolonged glucocorticoid use, dose level 5 was de escalated to reach the phase 2 dose. In the dose-expansion phase, 19% of the patients had a PVSRIPO-related adverse event of grade 3 or higher. Overall survival among the patients who received PVSRIPO reached a plateau of 21% (95% confi- dence interval, 11 to 33) at 24 months that was sustained at 36 months. CONCLUSIONS Intratumoral infusion of PVSRIPO in patients with recurrent WHO grade IV malignant glioma confirmed the absence of neurovirulent potential. The survival rate among patients who received PVSRIPO immunotherapy was higher at 24 and 36 months than the rate among historical controls. (Funded by the Brain Tumor Research Char- ity","author":[{"dropping-particle":"","family":"Schneider","given":"Julia R.","non-dropping-particle":"","parse-names":false,"suffix":""},{"dropping-particle":"V.","family":"Patel","given":"Nitesh","non-dropping-particle":"","parse-names":false,"suffix":""},{"dropping-particle":"","family":"Kwan","given":"Kevin","non-dropping-particle":"","parse-names":false,"suffix":""},{"dropping-particle":"","family":"Boockvar","given":"John A.","non-dropping-particle":"","parse-names":false,"suffix":""}],"container-title":"Neurosurgery","id":"ITEM-1","issue":"5","issued":{"date-parts":[["2018"]]},"page":"E200","title":"Recurrent Glioblastoma Treated With Recombinant Poliovirus","type":"article-journal","volume":"83"},"uris":["http://www.mendeley.com/documents/?uuid=1782d5ad-b115-49f0-842e-5b779998d110"]}],"mendeley":{"formattedCitation":"[18]","plainTextFormattedCitation":"[18]","previouslyFormattedCitation":"[9]"},"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[18]</w:t>
            </w:r>
            <w:r>
              <w:rPr>
                <w:rFonts w:ascii="Arial" w:eastAsia="微软雅黑" w:hAnsi="Arial" w:cs="Times New Roman"/>
                <w:kern w:val="0"/>
                <w:sz w:val="18"/>
                <w:szCs w:val="18"/>
              </w:rPr>
              <w:fldChar w:fldCharType="end"/>
            </w:r>
          </w:p>
        </w:tc>
        <w:tc>
          <w:tcPr>
            <w:tcW w:w="1026" w:type="dxa"/>
            <w:vAlign w:val="center"/>
          </w:tcPr>
          <w:p w:rsidR="00F22633"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tcPr>
          <w:p w:rsidR="00F22633" w:rsidRPr="00307965" w:rsidRDefault="00F22633" w:rsidP="00447B79">
            <w:pPr>
              <w:rPr>
                <w:rFonts w:ascii="Arial" w:hAnsi="Arial"/>
                <w:sz w:val="18"/>
                <w:szCs w:val="18"/>
              </w:rPr>
            </w:pPr>
            <w:r>
              <w:rPr>
                <w:rFonts w:ascii="Arial" w:hAnsi="Arial" w:hint="eastAsia"/>
                <w:sz w:val="18"/>
                <w:szCs w:val="18"/>
              </w:rPr>
              <w:t>5</w:t>
            </w:r>
            <w:r>
              <w:rPr>
                <w:rFonts w:ascii="Arial" w:hAnsi="Arial"/>
                <w:sz w:val="18"/>
                <w:szCs w:val="18"/>
              </w:rPr>
              <w:t>5</w:t>
            </w:r>
          </w:p>
        </w:tc>
        <w:tc>
          <w:tcPr>
            <w:tcW w:w="894" w:type="dxa"/>
            <w:shd w:val="clear" w:color="auto" w:fill="auto"/>
            <w:vAlign w:val="center"/>
          </w:tcPr>
          <w:p w:rsidR="00F22633" w:rsidRPr="00307965" w:rsidRDefault="00F22633" w:rsidP="00447B79">
            <w:pPr>
              <w:rPr>
                <w:rFonts w:ascii="Arial" w:hAnsi="Arial"/>
                <w:sz w:val="18"/>
                <w:szCs w:val="18"/>
              </w:rPr>
            </w:pPr>
            <w:r>
              <w:rPr>
                <w:rFonts w:ascii="Arial" w:hAnsi="Arial" w:hint="eastAsia"/>
                <w:sz w:val="18"/>
                <w:szCs w:val="18"/>
              </w:rPr>
              <w:t>5</w:t>
            </w:r>
            <w:r>
              <w:rPr>
                <w:rFonts w:ascii="Arial" w:hAnsi="Arial"/>
                <w:sz w:val="18"/>
                <w:szCs w:val="18"/>
              </w:rPr>
              <w:t>5</w:t>
            </w:r>
          </w:p>
        </w:tc>
        <w:tc>
          <w:tcPr>
            <w:tcW w:w="2258" w:type="dxa"/>
            <w:shd w:val="clear" w:color="auto" w:fill="auto"/>
            <w:vAlign w:val="center"/>
          </w:tcPr>
          <w:p w:rsidR="00F22633" w:rsidRPr="00307965" w:rsidRDefault="00F22633" w:rsidP="00447B79">
            <w:pPr>
              <w:rPr>
                <w:rFonts w:ascii="Arial" w:hAnsi="Arial"/>
                <w:sz w:val="18"/>
                <w:szCs w:val="18"/>
              </w:rPr>
            </w:pPr>
            <w:r w:rsidRPr="009A64D3">
              <w:rPr>
                <w:rFonts w:ascii="Arial" w:hAnsi="Arial"/>
                <w:sz w:val="18"/>
                <w:szCs w:val="18"/>
              </w:rPr>
              <w:t>PVSRIPO</w:t>
            </w:r>
            <w:r w:rsidRPr="005E68AE">
              <w:rPr>
                <w:rFonts w:ascii="Arial" w:hAnsi="Arial"/>
                <w:sz w:val="18"/>
                <w:szCs w:val="18"/>
                <w:vertAlign w:val="superscript"/>
              </w:rPr>
              <w:t>c</w:t>
            </w:r>
          </w:p>
        </w:tc>
        <w:tc>
          <w:tcPr>
            <w:tcW w:w="1782" w:type="dxa"/>
            <w:shd w:val="clear" w:color="auto" w:fill="auto"/>
            <w:vAlign w:val="center"/>
          </w:tcPr>
          <w:p w:rsidR="00F22633" w:rsidRPr="00307965" w:rsidRDefault="00F22633" w:rsidP="00447B79">
            <w:pPr>
              <w:rPr>
                <w:rFonts w:ascii="Arial" w:hAnsi="Arial"/>
                <w:sz w:val="18"/>
                <w:szCs w:val="18"/>
              </w:rPr>
            </w:pPr>
            <w:r>
              <w:rPr>
                <w:rFonts w:ascii="Arial" w:hAnsi="Arial" w:hint="eastAsia"/>
                <w:sz w:val="18"/>
                <w:szCs w:val="18"/>
              </w:rPr>
              <w:t>S</w:t>
            </w:r>
            <w:r>
              <w:rPr>
                <w:rFonts w:ascii="Arial" w:hAnsi="Arial"/>
                <w:sz w:val="18"/>
                <w:szCs w:val="18"/>
              </w:rPr>
              <w:t>OC</w:t>
            </w:r>
          </w:p>
        </w:tc>
      </w:tr>
      <w:tr w:rsidR="00F22633" w:rsidRPr="00307965" w:rsidTr="000609B0">
        <w:trPr>
          <w:trHeight w:val="439"/>
        </w:trPr>
        <w:tc>
          <w:tcPr>
            <w:tcW w:w="1477" w:type="dxa"/>
            <w:shd w:val="clear" w:color="auto" w:fill="auto"/>
            <w:vAlign w:val="bottom"/>
          </w:tcPr>
          <w:p w:rsidR="00F22633" w:rsidRDefault="00F22633"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Rainov2000</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{"citationItems":[{"id":"ITEM-1","itemData":{"DOI":"10.1089/104303400750038499","ISBN":"1043-0342 (Print)\\r1043-0342 (Linking)","ISSN":"1043-0342","PMID":"11096443","abstract":"Previous uncontrolled clinical trials have shown the in vivo retrovirus (RV)-mediated transduction of glioblastoma cells with the herpes simplex virus thymidine kinase (HSV-tk) gene and subsequent systemic treatment with ganciclovir to be feasible and well tolerated. However, because of continued tumor progression in most patients, the antitumor effect could not be determined using historical controls. Here, we describe a phase III, multicenter, randomized, open-label, parallel-group, controlled trial of the technique in the treatment of 248 patients with newly diagnosed, previously untreated glioblastoma multiforme (GBM). Patients received, in equal numbers, either standard therapy (surgical resection and radiotherapy) or standard therapy plus adjuvant gene therapy during surgery. Progression-free median survival in the gene therapy group was 180 days compared with 183 days in control subjects. Median survival was 365 versus 354 days, and 12-month survival rates were 50 versus 55% in the gene therapy and...","author":[{"dropping-particle":"","family":"Rainov","given":"N. G.","non-dropping-particle":"","parse-names":false,"suffix":""}],"container-title":"Human Gene Therapy","id":"ITEM-1","issue":"17","issued":{"date-parts":[["2000"]]},"page":"2389-2401","title":"A Phase III Clinical Evaluation of Herpes Simplex Virus Type 1 Thymidine Kinase and Ganciclovir Gene Therapy as an Adjuvant to Surgical Resection and Radiation in Adults with Previously Untreated Glioblastoma Multiforme","type":"article-journal","volume":"11"},"uris":["http://www.mendeley.com/documents/?uuid=468a6652-79a7-4b2a-bd68-202977c3c557"]}],"mendeley":{"formattedCitation":"[29]","plainTextFormattedCitation":"[29]","previouslyFormattedCitation":"[25]"},"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[29]</w:t>
            </w:r>
            <w:r>
              <w:rPr>
                <w:rFonts w:ascii="Arial" w:eastAsia="微软雅黑" w:hAnsi="Arial" w:cs="Times New Roman"/>
                <w:kern w:val="0"/>
                <w:sz w:val="18"/>
                <w:szCs w:val="18"/>
              </w:rPr>
              <w:fldChar w:fldCharType="end"/>
            </w:r>
          </w:p>
        </w:tc>
        <w:tc>
          <w:tcPr>
            <w:tcW w:w="1026" w:type="dxa"/>
            <w:vAlign w:val="center"/>
          </w:tcPr>
          <w:p w:rsidR="00F22633"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shd w:val="clear" w:color="auto" w:fill="auto"/>
            <w:vAlign w:val="center"/>
          </w:tcPr>
          <w:p w:rsidR="00F22633" w:rsidRDefault="00F22633" w:rsidP="00447B79">
            <w:pPr>
              <w:rPr>
                <w:rFonts w:ascii="Arial" w:hAnsi="Arial"/>
                <w:sz w:val="18"/>
                <w:szCs w:val="18"/>
              </w:rPr>
            </w:pPr>
            <w:r>
              <w:rPr>
                <w:rFonts w:ascii="Arial" w:hAnsi="Arial" w:hint="eastAsia"/>
                <w:sz w:val="18"/>
                <w:szCs w:val="18"/>
              </w:rPr>
              <w:t>6</w:t>
            </w:r>
            <w:r>
              <w:rPr>
                <w:rFonts w:ascii="Arial" w:hAnsi="Arial"/>
                <w:sz w:val="18"/>
                <w:szCs w:val="18"/>
              </w:rPr>
              <w:t>0.2</w:t>
            </w:r>
          </w:p>
        </w:tc>
        <w:tc>
          <w:tcPr>
            <w:tcW w:w="894" w:type="dxa"/>
            <w:shd w:val="clear" w:color="auto" w:fill="auto"/>
            <w:vAlign w:val="center"/>
          </w:tcPr>
          <w:p w:rsidR="00F22633" w:rsidRDefault="00F22633" w:rsidP="00447B79">
            <w:pPr>
              <w:rPr>
                <w:rFonts w:ascii="Arial" w:hAnsi="Arial"/>
                <w:sz w:val="18"/>
                <w:szCs w:val="18"/>
              </w:rPr>
            </w:pPr>
            <w:r>
              <w:rPr>
                <w:rFonts w:ascii="Arial" w:hAnsi="Arial" w:hint="eastAsia"/>
                <w:sz w:val="18"/>
                <w:szCs w:val="18"/>
              </w:rPr>
              <w:t>5</w:t>
            </w:r>
            <w:r>
              <w:rPr>
                <w:rFonts w:ascii="Arial" w:hAnsi="Arial"/>
                <w:sz w:val="18"/>
                <w:szCs w:val="18"/>
              </w:rPr>
              <w:t>8.3</w:t>
            </w:r>
          </w:p>
        </w:tc>
        <w:tc>
          <w:tcPr>
            <w:tcW w:w="2258" w:type="dxa"/>
            <w:shd w:val="clear" w:color="auto" w:fill="auto"/>
            <w:vAlign w:val="center"/>
          </w:tcPr>
          <w:p w:rsidR="00F22633" w:rsidRPr="009A64D3" w:rsidRDefault="00F22633" w:rsidP="00447B79">
            <w:pPr>
              <w:rPr>
                <w:rFonts w:ascii="Arial" w:hAnsi="Arial"/>
                <w:sz w:val="18"/>
                <w:szCs w:val="18"/>
              </w:rPr>
            </w:pPr>
            <w:r>
              <w:rPr>
                <w:rFonts w:ascii="Arial" w:hAnsi="Arial" w:hint="eastAsia"/>
                <w:sz w:val="18"/>
                <w:szCs w:val="18"/>
              </w:rPr>
              <w:t>HSV</w:t>
            </w:r>
            <w:r>
              <w:rPr>
                <w:rFonts w:ascii="Arial" w:hAnsi="Arial"/>
                <w:sz w:val="18"/>
                <w:szCs w:val="18"/>
              </w:rPr>
              <w:t>-tk+</w:t>
            </w:r>
            <w:r>
              <w:rPr>
                <w:rFonts w:ascii="Arial" w:hAnsi="Arial" w:hint="eastAsia"/>
                <w:sz w:val="18"/>
                <w:szCs w:val="18"/>
              </w:rPr>
              <w:t>GCV</w:t>
            </w:r>
            <w:r>
              <w:rPr>
                <w:rFonts w:ascii="Arial" w:hAnsi="Arial"/>
                <w:sz w:val="18"/>
                <w:szCs w:val="18"/>
              </w:rPr>
              <w:t>+SOC</w:t>
            </w:r>
          </w:p>
        </w:tc>
        <w:tc>
          <w:tcPr>
            <w:tcW w:w="1782" w:type="dxa"/>
            <w:shd w:val="clear" w:color="auto" w:fill="auto"/>
            <w:vAlign w:val="center"/>
          </w:tcPr>
          <w:p w:rsidR="00F22633" w:rsidRPr="00307965" w:rsidRDefault="00F22633" w:rsidP="00447B79">
            <w:pPr>
              <w:rPr>
                <w:rFonts w:ascii="Arial" w:hAnsi="Arial"/>
                <w:sz w:val="18"/>
                <w:szCs w:val="18"/>
              </w:rPr>
            </w:pPr>
            <w:r w:rsidRPr="00307965">
              <w:rPr>
                <w:rFonts w:ascii="Arial" w:hAnsi="Arial"/>
                <w:sz w:val="18"/>
                <w:szCs w:val="18"/>
              </w:rPr>
              <w:t>SOC</w:t>
            </w:r>
          </w:p>
        </w:tc>
      </w:tr>
      <w:tr w:rsidR="00F22633" w:rsidTr="000609B0">
        <w:trPr>
          <w:trHeight w:val="439"/>
        </w:trPr>
        <w:tc>
          <w:tcPr>
            <w:tcW w:w="1477" w:type="dxa"/>
            <w:tcBorders>
              <w:bottom w:val="single" w:sz="4" w:space="0" w:color="auto"/>
            </w:tcBorders>
            <w:shd w:val="clear" w:color="auto" w:fill="auto"/>
            <w:vAlign w:val="bottom"/>
          </w:tcPr>
          <w:p w:rsidR="00F22633" w:rsidRDefault="00F22633"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Wick 2017</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{"citationItems":[{"id":"ITEM-1","itemData":{"DOI":"10.1056/NEJMoa1707358","ISBN":"2010023218","ISSN":"0028-4793","PMID":"29141164","abstract":"BACKGROUND Bevacizumab is approved for the treatment of patients with progressive glioblastoma on the basis of uncontrolled data. Data from a phase 2 trial suggested that the addition of bevacizumab to lomustine might improve overall survival as compared with monotherapies. We sought to determine whether the combination would result in longer overall survival than lomustine alone among patients at first progression of glioblastoma. METHODS We randomly assigned patients with progression after chemoradiation in a 2:1 ratio to receive lomustine plus bevacizumab (combination group, 288 patients) or lomustine alone (monotherapy group, 149 patients). The methylation status of the promoter of O6-methylguanine-DNA methyltransferase (MGMT) was assessed. Health-related quality of life and neurocognitive function were evaluated at baseline and every 12 weeks. The primary end point of the trial was overall survival. RESULTS A total of 437 patients underwent randomization. The median number of 6-week treatment cycles was three in the combination group and one in the monotherapy group. With 329 overall survival events (75.3%), the combination therapy did not provide a survival advantage; the median overall survival was 9.1 months (95% confidence interval [CI], 8.1 to 10.1) in the combination group and 8.6 months (95% CI, 7.6 to 10.4) in the monotherapy group (hazard ratio for death, 0.95; 95% CI, 0.74 to 1.21; P=0.65). Locally assessed progression-free survival was 2.7 months longer in the combination group than in the monotherapy group: 4.2 months versus 1.5 months (hazard ratio for disease progression or death, 0.49; 95% CI, 0.39 to 0.61; P&lt;0.001). Grade 3 to 5 adverse events occurred in 63.6% of the patients in the combination group and 38.1% of the patients in the monotherapy group. The addition of bevacizumab to lomustine affected neither health-related quality of life nor neurocognitive function. The MGMT status was prognostic. CONCLUSIONS Despite somewhat prolonged progression-free survival, treatment with lomustine plus bevacizumab did not confer a survival advantage over treatment with lomustine alone in patients with progressive glioblastoma. (Funded by an unrestricted educational grant from F. Hoffmann-La Roche and by the EORTC Cancer Research Fund; EORTC 26101 ClinicalTrials.gov number, NCT01290939 ; Eudra-CT number, 2010-023218-30 .).","author":[{"dropping-particle":"","family":"Wick","given":"Wolfgang","non-dropping-particle":"","parse-names":false,"suffix":""},{"dropping-particle":"","family":"Gorlia","given":"Thierry","non-dropping-particle":"","parse-names":false,"suffix":""},{"dropping-particle":"","family":"Bendszus","given":"Martin","non-dropping-particle":"","parse-names":false,"suffix":""},{"dropping-particle":"","family":"Taphoorn","given":"Martin","non-dropping-particle":"","parse-names":false,"suffix":""},{"dropping-particle":"","family":"Sahm","given":"Felix","non-dropping-particle":"","parse-names":false,"suffix":""},{"dropping-particle":"","family":"Harting","given":"Inga","non-dropping-particle":"","parse-names":false,"suffix":""},{"dropping-particle":"","family":"Brandes","given":"Alba A.","non-dropping-particle":"","parse-names":false,"suffix":""},{"dropping-particle":"","family":"Taal","given":"Walter","non-dropping-particle":"","parse-names":false,"suffix":""},{"dropping-particle":"","family":"Domont","given":"Julien","non-dropping-particle":"","parse-names":false,"suffix":""},{"dropping-particle":"","family":"Idbaih","given":"Ahmed","non-dropping-particle":"","parse-names":false,"suffix":""},{"dropping-particle":"","family":"Campone","given":"Mario","non-dropping-particle":"","parse-names":false,"suffix":""},{"dropping-particle":"","family":"Clement","given":"Paul M.","non-dropping-particle":"","parse-names":false,"suffix":""},{"dropping-particle":"","family":"Stupp","given":"Roger","non-dropping-particle":"","parse-names":false,"suffix":""},{"dropping-particle":"","family":"Fabbro","given":"Michel","non-dropping-particle":"","parse-names":false,"suffix":""},{"dropping-particle":"","family":"Rhun","given":"Emilie","non-dropping-particle":"Le","parse-names":false,"suffix":""},{"dropping-particle":"","family":"Dubois","given":"Francois","non-dropping-particle":"","parse-names":false,"suffix":""},{"dropping-particle":"","family":"Weller","given":"Michael","non-dropping-particle":"","parse-names":false,"suffix":""},{"dropping-particle":"","family":"Deimling","given":"Andreas","non-dropping-particle":"von","parse-names":false,"suffix":""},{"dropping-particle":"","family":"Golfinopoulos","given":"Vassilis","non-dropping-particle":"","parse-names":false,"suffix":""},{"dropping-particle":"","family":"Bromberg","given":"Jacoline C.","non-dropping-particle":"","parse-names":false,"suffix":""},{"dropping-particle":"","family":"Platten","given":"Michael","non-dropping-particle":"","parse-names":false,"suffix":""},{"dropping-particle":"","family":"Klein","given":"Martin","non-dropping-particle":"","parse-names":false,"suffix":""},{"dropping-particle":"","family":"Bent","given":"Martin J.","non-dropping-particle":"van den","parse-names":false,"suffix":""}],"container-title":"New England Journal of Medicine","id":"ITEM-1","issue":"20","issued":{"date-parts":[["2017"]]},"page":"1954-1963","title":"Lomustine and Bevacizumab in Progressive Glioblastoma","type":"article-journal","volume":"377"},"uris":["http://www.mendeley.com/documents/?uuid=fa18fc72-8a7c-41bc-a951-dcd75dbae9cf"]}],"mendeley":{"formattedCitation":"[19]","plainTextFormattedCitation":"[19]","previouslyFormattedCitation":"[14]"},"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[19]</w:t>
            </w:r>
            <w:r>
              <w:rPr>
                <w:rFonts w:ascii="Arial" w:eastAsia="微软雅黑" w:hAnsi="Arial" w:cs="Times New Roman"/>
                <w:kern w:val="0"/>
                <w:sz w:val="18"/>
                <w:szCs w:val="18"/>
              </w:rPr>
              <w:fldChar w:fldCharType="end"/>
            </w:r>
          </w:p>
        </w:tc>
        <w:tc>
          <w:tcPr>
            <w:tcW w:w="1026" w:type="dxa"/>
            <w:tcBorders>
              <w:bottom w:val="single" w:sz="4" w:space="0" w:color="auto"/>
            </w:tcBorders>
            <w:vAlign w:val="center"/>
          </w:tcPr>
          <w:p w:rsidR="00F22633" w:rsidRDefault="00F22633" w:rsidP="00447B79">
            <w:pPr>
              <w:rPr>
                <w:rFonts w:ascii="Arial" w:hAnsi="Arial"/>
                <w:sz w:val="18"/>
                <w:szCs w:val="18"/>
              </w:rPr>
            </w:pPr>
            <w:r>
              <w:rPr>
                <w:rFonts w:ascii="Arial" w:hAnsi="Arial" w:hint="eastAsia"/>
                <w:sz w:val="18"/>
                <w:szCs w:val="18"/>
              </w:rPr>
              <w:t>O</w:t>
            </w:r>
            <w:r>
              <w:rPr>
                <w:rFonts w:ascii="Arial" w:hAnsi="Arial"/>
                <w:sz w:val="18"/>
                <w:szCs w:val="18"/>
              </w:rPr>
              <w:t>pen-label</w:t>
            </w:r>
          </w:p>
        </w:tc>
        <w:tc>
          <w:tcPr>
            <w:tcW w:w="869" w:type="dxa"/>
            <w:tcBorders>
              <w:bottom w:val="single" w:sz="4" w:space="0" w:color="auto"/>
            </w:tcBorders>
            <w:shd w:val="clear" w:color="auto" w:fill="auto"/>
            <w:vAlign w:val="center"/>
          </w:tcPr>
          <w:p w:rsidR="00F22633" w:rsidRDefault="00F22633" w:rsidP="00447B79">
            <w:pPr>
              <w:rPr>
                <w:rFonts w:ascii="Arial" w:hAnsi="Arial"/>
                <w:sz w:val="18"/>
                <w:szCs w:val="18"/>
              </w:rPr>
            </w:pPr>
            <w:r>
              <w:rPr>
                <w:rFonts w:ascii="Arial" w:hAnsi="Arial"/>
                <w:sz w:val="18"/>
                <w:szCs w:val="18"/>
              </w:rPr>
              <w:t>57.1</w:t>
            </w:r>
          </w:p>
        </w:tc>
        <w:tc>
          <w:tcPr>
            <w:tcW w:w="894" w:type="dxa"/>
            <w:tcBorders>
              <w:bottom w:val="single" w:sz="4" w:space="0" w:color="auto"/>
            </w:tcBorders>
            <w:shd w:val="clear" w:color="auto" w:fill="auto"/>
            <w:vAlign w:val="center"/>
          </w:tcPr>
          <w:p w:rsidR="00F22633" w:rsidRDefault="00F22633" w:rsidP="00447B79">
            <w:pPr>
              <w:rPr>
                <w:rFonts w:ascii="Arial" w:hAnsi="Arial"/>
                <w:sz w:val="18"/>
                <w:szCs w:val="18"/>
              </w:rPr>
            </w:pPr>
            <w:r>
              <w:rPr>
                <w:rFonts w:ascii="Arial" w:hAnsi="Arial"/>
                <w:sz w:val="18"/>
                <w:szCs w:val="18"/>
              </w:rPr>
              <w:t>59.8</w:t>
            </w:r>
          </w:p>
        </w:tc>
        <w:tc>
          <w:tcPr>
            <w:tcW w:w="2258" w:type="dxa"/>
            <w:tcBorders>
              <w:bottom w:val="single" w:sz="4" w:space="0" w:color="auto"/>
            </w:tcBorders>
            <w:shd w:val="clear" w:color="auto" w:fill="auto"/>
            <w:vAlign w:val="center"/>
          </w:tcPr>
          <w:p w:rsidR="00F22633" w:rsidRDefault="00F22633" w:rsidP="00447B79">
            <w:pPr>
              <w:rPr>
                <w:rFonts w:ascii="Arial" w:hAnsi="Arial"/>
                <w:sz w:val="18"/>
                <w:szCs w:val="18"/>
              </w:rPr>
            </w:pPr>
            <w:r>
              <w:rPr>
                <w:rFonts w:ascii="Arial" w:hAnsi="Arial"/>
                <w:sz w:val="18"/>
                <w:szCs w:val="18"/>
              </w:rPr>
              <w:t>Lomustine+</w:t>
            </w:r>
            <w:bookmarkStart w:id="16" w:name="OLE_LINK19"/>
            <w:bookmarkStart w:id="17" w:name="OLE_LINK20"/>
            <w:r>
              <w:rPr>
                <w:rFonts w:ascii="Arial" w:hAnsi="Arial"/>
                <w:sz w:val="18"/>
                <w:szCs w:val="18"/>
              </w:rPr>
              <w:t>Bevacizumab</w:t>
            </w:r>
            <w:bookmarkEnd w:id="16"/>
            <w:bookmarkEnd w:id="17"/>
          </w:p>
        </w:tc>
        <w:tc>
          <w:tcPr>
            <w:tcW w:w="1782" w:type="dxa"/>
            <w:tcBorders>
              <w:bottom w:val="single" w:sz="4" w:space="0" w:color="auto"/>
            </w:tcBorders>
            <w:shd w:val="clear" w:color="auto" w:fill="auto"/>
            <w:vAlign w:val="center"/>
          </w:tcPr>
          <w:p w:rsidR="00F22633" w:rsidRPr="00307965" w:rsidRDefault="00F22633" w:rsidP="00447B79">
            <w:pPr>
              <w:rPr>
                <w:rFonts w:ascii="Arial" w:hAnsi="Arial"/>
                <w:sz w:val="18"/>
                <w:szCs w:val="18"/>
              </w:rPr>
            </w:pPr>
            <w:r w:rsidRPr="00307965">
              <w:rPr>
                <w:rFonts w:ascii="Arial" w:hAnsi="Arial"/>
                <w:sz w:val="18"/>
                <w:szCs w:val="18"/>
              </w:rPr>
              <w:t>Lomustine Alone</w:t>
            </w:r>
          </w:p>
        </w:tc>
      </w:tr>
    </w:tbl>
    <w:p w:rsidR="00447B79" w:rsidRDefault="00F22633">
      <w:pPr>
        <w:rPr>
          <w:rFonts w:ascii="Arial" w:hAnsi="Arial" w:cs="Arial"/>
        </w:rPr>
        <w:sectPr w:rsidR="00447B79" w:rsidSect="001E4849">
          <w:pgSz w:w="11906" w:h="16838"/>
          <w:pgMar w:top="1440" w:right="1800" w:bottom="1440" w:left="1800" w:header="851" w:footer="992" w:gutter="0"/>
          <w:cols w:space="425"/>
          <w:docGrid w:type="lines" w:linePitch="312"/>
        </w:sectPr>
      </w:pPr>
      <w:r w:rsidRPr="00F22633">
        <w:rPr>
          <w:rFonts w:ascii="Arial" w:hAnsi="Arial" w:cs="Arial"/>
        </w:rPr>
        <w:t>(Continued)</w:t>
      </w:r>
    </w:p>
    <w:p w:rsidR="00447B79" w:rsidRPr="007745F1" w:rsidRDefault="007745F1" w:rsidP="00447B79">
      <w:pPr>
        <w:widowControl/>
        <w:jc w:val="left"/>
        <w:rPr>
          <w:rFonts w:ascii="Arial" w:hAnsi="Arial" w:cs="Arial"/>
        </w:rPr>
      </w:pPr>
      <w:r w:rsidRPr="007745F1">
        <w:rPr>
          <w:rFonts w:ascii="Arial" w:hAnsi="Arial" w:cs="Arial"/>
        </w:rPr>
        <w:lastRenderedPageBreak/>
        <w:t>(Continued)</w:t>
      </w:r>
    </w:p>
    <w:tbl>
      <w:tblPr>
        <w:tblW w:w="8364" w:type="dxa"/>
        <w:tblLayout w:type="fixed"/>
        <w:tblLook w:val="04A0" w:firstRow="1" w:lastRow="0" w:firstColumn="1" w:lastColumn="0" w:noHBand="0" w:noVBand="1"/>
      </w:tblPr>
      <w:tblGrid>
        <w:gridCol w:w="1668"/>
        <w:gridCol w:w="1417"/>
        <w:gridCol w:w="1843"/>
        <w:gridCol w:w="1559"/>
        <w:gridCol w:w="1877"/>
      </w:tblGrid>
      <w:tr w:rsidR="00447B79" w:rsidRPr="00307965" w:rsidTr="007745F1">
        <w:trPr>
          <w:trHeight w:val="282"/>
        </w:trPr>
        <w:tc>
          <w:tcPr>
            <w:tcW w:w="1668" w:type="dxa"/>
            <w:tcBorders>
              <w:top w:val="single" w:sz="4" w:space="0" w:color="auto"/>
              <w:bottom w:val="single" w:sz="4" w:space="0" w:color="auto"/>
            </w:tcBorders>
            <w:shd w:val="clear" w:color="auto" w:fill="BFBFBF"/>
            <w:hideMark/>
          </w:tcPr>
          <w:p w:rsidR="00447B79" w:rsidRPr="00307965" w:rsidRDefault="00447B79" w:rsidP="00447B79">
            <w:pPr>
              <w:rPr>
                <w:rFonts w:ascii="Arial" w:hAnsi="Arial"/>
                <w:b/>
                <w:bCs/>
                <w:sz w:val="18"/>
                <w:szCs w:val="18"/>
              </w:rPr>
            </w:pPr>
            <w:bookmarkStart w:id="18" w:name="_Hlk531121133"/>
            <w:r w:rsidRPr="00307965">
              <w:rPr>
                <w:rFonts w:ascii="Arial" w:hAnsi="Arial"/>
                <w:b/>
                <w:bCs/>
                <w:sz w:val="18"/>
                <w:szCs w:val="18"/>
              </w:rPr>
              <w:t>First author(year)</w:t>
            </w:r>
          </w:p>
        </w:tc>
        <w:tc>
          <w:tcPr>
            <w:tcW w:w="1417" w:type="dxa"/>
            <w:tcBorders>
              <w:top w:val="single" w:sz="4" w:space="0" w:color="auto"/>
              <w:bottom w:val="single" w:sz="4" w:space="0" w:color="auto"/>
            </w:tcBorders>
            <w:shd w:val="clear" w:color="auto" w:fill="BFBFBF"/>
            <w:hideMark/>
          </w:tcPr>
          <w:p w:rsidR="00447B79" w:rsidRPr="00307965" w:rsidRDefault="00447B79" w:rsidP="00447B79">
            <w:pPr>
              <w:rPr>
                <w:rFonts w:ascii="Arial" w:hAnsi="Arial"/>
                <w:b/>
                <w:bCs/>
                <w:sz w:val="18"/>
                <w:szCs w:val="18"/>
              </w:rPr>
            </w:pPr>
            <w:r w:rsidRPr="00307965">
              <w:rPr>
                <w:rFonts w:ascii="Arial" w:hAnsi="Arial"/>
                <w:b/>
                <w:bCs/>
                <w:sz w:val="18"/>
                <w:szCs w:val="18"/>
              </w:rPr>
              <w:t>Region</w:t>
            </w:r>
          </w:p>
        </w:tc>
        <w:tc>
          <w:tcPr>
            <w:tcW w:w="1843" w:type="dxa"/>
            <w:tcBorders>
              <w:top w:val="single" w:sz="4" w:space="0" w:color="auto"/>
              <w:bottom w:val="single" w:sz="4" w:space="0" w:color="auto"/>
            </w:tcBorders>
            <w:shd w:val="clear" w:color="auto" w:fill="BFBFBF"/>
            <w:hideMark/>
          </w:tcPr>
          <w:p w:rsidR="00447B79" w:rsidRPr="00307965" w:rsidRDefault="00447B79" w:rsidP="00447B79">
            <w:pPr>
              <w:rPr>
                <w:rFonts w:ascii="Arial" w:hAnsi="Arial"/>
                <w:b/>
                <w:bCs/>
                <w:sz w:val="18"/>
                <w:szCs w:val="18"/>
              </w:rPr>
            </w:pPr>
            <w:r w:rsidRPr="00307965">
              <w:rPr>
                <w:rFonts w:ascii="Arial" w:hAnsi="Arial"/>
                <w:b/>
                <w:bCs/>
                <w:sz w:val="18"/>
                <w:szCs w:val="18"/>
              </w:rPr>
              <w:t>Patients Characteristics</w:t>
            </w:r>
          </w:p>
        </w:tc>
        <w:tc>
          <w:tcPr>
            <w:tcW w:w="1559" w:type="dxa"/>
            <w:tcBorders>
              <w:top w:val="single" w:sz="4" w:space="0" w:color="auto"/>
              <w:bottom w:val="single" w:sz="4" w:space="0" w:color="auto"/>
            </w:tcBorders>
            <w:shd w:val="clear" w:color="auto" w:fill="BFBFBF"/>
            <w:hideMark/>
          </w:tcPr>
          <w:p w:rsidR="00447B79" w:rsidRPr="00307965" w:rsidRDefault="00447B79" w:rsidP="00447B79">
            <w:pPr>
              <w:rPr>
                <w:rFonts w:ascii="Arial" w:hAnsi="Arial"/>
                <w:b/>
                <w:bCs/>
                <w:sz w:val="18"/>
                <w:szCs w:val="18"/>
              </w:rPr>
            </w:pPr>
            <w:r w:rsidRPr="00307965">
              <w:rPr>
                <w:rFonts w:ascii="Arial" w:hAnsi="Arial"/>
                <w:b/>
                <w:bCs/>
                <w:sz w:val="18"/>
                <w:szCs w:val="18"/>
              </w:rPr>
              <w:t>Follow-up Time</w:t>
            </w:r>
            <w:r w:rsidRPr="00307965">
              <w:rPr>
                <w:rFonts w:ascii="Arial" w:hAnsi="Arial"/>
                <w:b/>
                <w:bCs/>
                <w:sz w:val="18"/>
                <w:szCs w:val="18"/>
              </w:rPr>
              <w:t>（</w:t>
            </w:r>
            <w:r w:rsidRPr="00307965">
              <w:rPr>
                <w:rFonts w:ascii="Arial" w:hAnsi="Arial"/>
                <w:b/>
                <w:bCs/>
                <w:sz w:val="18"/>
                <w:szCs w:val="18"/>
              </w:rPr>
              <w:t>Months</w:t>
            </w:r>
            <w:r w:rsidRPr="00307965">
              <w:rPr>
                <w:rFonts w:ascii="Arial" w:hAnsi="Arial"/>
                <w:b/>
                <w:bCs/>
                <w:sz w:val="18"/>
                <w:szCs w:val="18"/>
              </w:rPr>
              <w:t>）</w:t>
            </w:r>
          </w:p>
        </w:tc>
        <w:tc>
          <w:tcPr>
            <w:tcW w:w="1877" w:type="dxa"/>
            <w:tcBorders>
              <w:top w:val="single" w:sz="4" w:space="0" w:color="auto"/>
              <w:bottom w:val="single" w:sz="4" w:space="0" w:color="auto"/>
            </w:tcBorders>
            <w:shd w:val="clear" w:color="auto" w:fill="BFBFBF"/>
            <w:hideMark/>
          </w:tcPr>
          <w:p w:rsidR="00447B79" w:rsidRPr="00307965" w:rsidRDefault="00447B79" w:rsidP="00447B79">
            <w:pPr>
              <w:jc w:val="left"/>
              <w:rPr>
                <w:rFonts w:ascii="Arial" w:hAnsi="Arial"/>
                <w:b/>
                <w:bCs/>
                <w:sz w:val="18"/>
                <w:szCs w:val="18"/>
              </w:rPr>
            </w:pPr>
            <w:r w:rsidRPr="00307965">
              <w:rPr>
                <w:rFonts w:ascii="Arial" w:hAnsi="Arial"/>
                <w:b/>
                <w:bCs/>
                <w:sz w:val="18"/>
                <w:szCs w:val="18"/>
              </w:rPr>
              <w:t xml:space="preserve">Median Overall survival </w:t>
            </w:r>
            <w:r w:rsidRPr="00307965">
              <w:rPr>
                <w:rFonts w:ascii="Arial" w:hAnsi="Arial"/>
                <w:b/>
                <w:bCs/>
                <w:sz w:val="18"/>
                <w:szCs w:val="18"/>
              </w:rPr>
              <w:t>（</w:t>
            </w:r>
            <w:r w:rsidRPr="00307965">
              <w:rPr>
                <w:rFonts w:ascii="Arial" w:hAnsi="Arial"/>
                <w:b/>
                <w:bCs/>
                <w:sz w:val="18"/>
                <w:szCs w:val="18"/>
              </w:rPr>
              <w:t>Weeks</w:t>
            </w:r>
            <w:r w:rsidRPr="00307965">
              <w:rPr>
                <w:rFonts w:ascii="Arial" w:hAnsi="Arial"/>
                <w:b/>
                <w:bCs/>
                <w:sz w:val="18"/>
                <w:szCs w:val="18"/>
              </w:rPr>
              <w:t>）</w:t>
            </w:r>
          </w:p>
        </w:tc>
      </w:tr>
      <w:bookmarkEnd w:id="18"/>
      <w:tr w:rsidR="00447B79" w:rsidRPr="00307965" w:rsidTr="007745F1">
        <w:trPr>
          <w:trHeight w:val="439"/>
        </w:trPr>
        <w:tc>
          <w:tcPr>
            <w:tcW w:w="1668" w:type="dxa"/>
            <w:tcBorders>
              <w:top w:val="single" w:sz="4" w:space="0" w:color="auto"/>
            </w:tcBorders>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Ji 2015(1)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{"citationItems":[{"id":"ITEM-1","itemData":{"DOI":"10.18632/oncotarget.6737","ISBN":"1949-2553","ISSN":"1949-2553","PMID":"26716896","abstract":"//      Nan Ji 1,  6,  * , Danhui Weng 3,  * , Cang Liu 4 , Zheng Gu 5 , Shizhang Chen 2 , Ying Guo 2 , Zhong Fan 2 , Xiao Wang 2 , Jianfei Chen 2 , Yanyan Zhao 2 , Jianfeng Zhou 3 , Jisheng Wang 1,  6 , Ding Ma 3 , Ning Li 2     1 Department of Neurosurgery, Beijing Tiantan Hospital, Capital Medical University, Beijing, P.R. China    2 Beijing YouAn Hospital, Capital Medical University, Beijing, P.R. China    3 Tongji Hospital Affiliated with Tongji Medical College of Huazhong University of Science and Technology, Wuhan, P.R. China    4 Beijing Friendship Hospital, Capital Medical University, Beijing, P.R. China    5 Beijing Chao-Yang Hospital, Capital Medical University, Beijing, P.R. China    6 Beijing Key Laboratory of Brian Tumor, Beijing, P.R. China    * These authors have contributed equally to this work   Correspondence to:   Ding Ma, e-mail:  dma@tjh.tjmu.edu.cn    Ning Li, e-mail:  liningbjyah@vip.sina.com    Jisheng Wang, e-mail:  neurowang@sina.com     Keywords:  recurrent high-grade glioma, gene therapy, ADV-TK, glioblastoma    Received:  September 09, 2015&amp;nbsp;&amp;nbsp;&amp;nbsp;&amp;nbsp; Accepted:  November 26, 2015&amp;nbsp;&amp;nbsp;&amp;nbsp;&amp;nbsp; Published:  December 23, 2015     ABSTRACT    Background:  This randomized, open-label, multicenter, phase II clinical trial was conducted to assess the anti-tumor efficacy and safety of replication-deficient adenovirus mutant thymidine kinase (ADV-TK) in combination with ganciclovir administration in patients with recurrent high-grade glioma (HGG).    Patients and Methods:  53 patients with recurrent HGG were randomly allocated to receive intra-arterial cerebral infusion of ADV-TK or conventional treatments. The primary end point was 6-month progression-free survival (PFS-6). Secondary end points included progression-free survival (PFS), overall survival (OS), safety, and clinical benefit. This trial is registered with Clinicaltrials.gov, NCT00870181.    Results:  In ADV-TK group, PFS-6 was 54.5%, the median PFS was 29.6 weeks, the median OS was 45.4 weeks, and better survivals were achieved when compared with control group. The one-year PFS and OS were 22.7% and 44.6% in ADV-TK group respectively, and clinical benefit was 68.2%. There are 2 patients alive for more than 4 years without progression in ADV-TK group. In the subgroup of glioblastoma received ADV-TK, PFS-6 was 71.4%, median PFS was 34.9 weeks, median OS was 45.7 weeks respectively, much better than those in control group. The one-year PFS and OS wer…","author":[{"dropping-particle":"","family":"Ji","given":"Nan","non-dropping-particle":"","parse-names":false,"suffix":""},{"dropping-particle":"","family":"Weng","given":"Danhui","non-dropping-particle":"","parse-names":false,"suffix":""},{"dropping-particle":"","family":"Liu","given":"Cang","non-dropping-particle":"","parse-names":false,"suffix":""},{"dropping-particle":"","family":"Gu","given":"Zheng","non-dropping-particle":"","parse-names":false,"suffix":""},{"dropping-particle":"","family":"Chen","given":"Shizhang","non-dropping-particle":"","parse-names":false,"suffix":""},{"dropping-particle":"","family":"Guo","given":"Ying","non-dropping-particle":"","parse-names":false,"suffix":""},{"dropping-particle":"","family":"Fan","given":"Zhong","non-dropping-particle":"","parse-names":false,"suffix":""},{"dropping-particle":"","family":"Wang","given":"Xiao","non-dropping-particle":"","parse-names":false,"suffix":""},{"dropping-particle":"","family":"Chen","given":"Jianfei","non-dropping-particle":"","parse-names":false,"suffix":""},{"dropping-particle":"","family":"Zhao","given":"Yanyan","non-dropping-particle":"","parse-names":false,"suffix":""},{"dropping-particle":"","family":"Zhou","given":"Jianfeng","non-dropping-particle":"","parse-names":false,"suffix":""},{"dropping-particle":"","family":"Wang","given":"Jisheng","non-dropping-particle":"","parse-names":false,"suffix":""},{"dropping-particle":"","family":"Ma","given":"Ding","non-dropping-particle":"","parse-names":false,"suffix":""},{"dropping-particle":"","family":"Li","given":"Ning","non-dropping-particle":"","parse-names":false,"suffix":""}],"container-title":"Oncotarget","id":"ITEM-1","issue":"4","issued":{"date-parts":[["2016"]]},"title":"Adenovirus-mediated delivery of herpes simplex virus thymidine kinase administration improves outcome of recurrent high-grade glioma","type":"article-journal","volume":"7"},"uris":["http://www.mendeley.com/documents/?uuid=17bdbbff-d465-4ecd-a3ba-92c8e3e3930c"]}],"mendeley":{"formattedCitation":"[23]","plainTextFormattedCitation":"[23]","previouslyFormattedCitation":"[18]"},"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[23]</w:t>
            </w:r>
            <w:r>
              <w:rPr>
                <w:rFonts w:ascii="Arial" w:eastAsia="微软雅黑" w:hAnsi="Arial"/>
                <w:kern w:val="0"/>
                <w:sz w:val="18"/>
                <w:szCs w:val="18"/>
              </w:rPr>
              <w:fldChar w:fldCharType="end"/>
            </w:r>
          </w:p>
        </w:tc>
        <w:tc>
          <w:tcPr>
            <w:tcW w:w="1417" w:type="dxa"/>
            <w:tcBorders>
              <w:top w:val="single" w:sz="4" w:space="0" w:color="auto"/>
            </w:tcBorders>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China</w:t>
            </w:r>
          </w:p>
        </w:tc>
        <w:tc>
          <w:tcPr>
            <w:tcW w:w="1843" w:type="dxa"/>
            <w:tcBorders>
              <w:top w:val="single" w:sz="4" w:space="0" w:color="auto"/>
            </w:tcBorders>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Recurrent GBM</w:t>
            </w:r>
          </w:p>
        </w:tc>
        <w:tc>
          <w:tcPr>
            <w:tcW w:w="1559" w:type="dxa"/>
            <w:tcBorders>
              <w:top w:val="single" w:sz="4" w:space="0" w:color="auto"/>
            </w:tcBorders>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60 months</w:t>
            </w:r>
          </w:p>
        </w:tc>
        <w:tc>
          <w:tcPr>
            <w:tcW w:w="1877" w:type="dxa"/>
            <w:tcBorders>
              <w:top w:val="single" w:sz="4" w:space="0" w:color="auto"/>
            </w:tcBorders>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45.4/14.3</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Ji 2015(2)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{"citationItems":[{"id":"ITEM-1","itemData":{"DOI":"10.18632/oncotarget.6737","ISBN":"1949-2553","ISSN":"1949-2553","PMID":"26716896","abstract":"//      Nan Ji 1,  6,  * , Danhui Weng 3,  * , Cang Liu 4 , Zheng Gu 5 , Shizhang Chen 2 , Ying Guo 2 , Zhong Fan 2 , Xiao Wang 2 , Jianfei Chen 2 , Yanyan Zhao 2 , Jianfeng Zhou 3 , Jisheng Wang 1,  6 , Ding Ma 3 , Ning Li 2     1 Department of Neurosurgery, Beijing Tiantan Hospital, Capital Medical University, Beijing, P.R. China    2 Beijing YouAn Hospital, Capital Medical University, Beijing, P.R. China    3 Tongji Hospital Affiliated with Tongji Medical College of Huazhong University of Science and Technology, Wuhan, P.R. China    4 Beijing Friendship Hospital, Capital Medical University, Beijing, P.R. China    5 Beijing Chao-Yang Hospital, Capital Medical University, Beijing, P.R. China    6 Beijing Key Laboratory of Brian Tumor, Beijing, P.R. China    * These authors have contributed equally to this work   Correspondence to:   Ding Ma, e-mail:  dma@tjh.tjmu.edu.cn    Ning Li, e-mail:  liningbjyah@vip.sina.com    Jisheng Wang, e-mail:  neurowang@sina.com     Keywords:  recurrent high-grade glioma, gene therapy, ADV-TK, glioblastoma    Received:  September 09, 2015&amp;nbsp;&amp;nbsp;&amp;nbsp;&amp;nbsp; Accepted:  November 26, 2015&amp;nbsp;&amp;nbsp;&amp;nbsp;&amp;nbsp; Published:  December 23, 2015     ABSTRACT    Background:  This randomized, open-label, multicenter, phase II clinical trial was conducted to assess the anti-tumor efficacy and safety of replication-deficient adenovirus mutant thymidine kinase (ADV-TK) in combination with ganciclovir administration in patients with recurrent high-grade glioma (HGG).    Patients and Methods:  53 patients with recurrent HGG were randomly allocated to receive intra-arterial cerebral infusion of ADV-TK or conventional treatments. The primary end point was 6-month progression-free survival (PFS-6). Secondary end points included progression-free survival (PFS), overall survival (OS), safety, and clinical benefit. This trial is registered with Clinicaltrials.gov, NCT00870181.    Results:  In ADV-TK group, PFS-6 was 54.5%, the median PFS was 29.6 weeks, the median OS was 45.4 weeks, and better survivals were achieved when compared with control group. The one-year PFS and OS were 22.7% and 44.6% in ADV-TK group respectively, and clinical benefit was 68.2%. There are 2 patients alive for more than 4 years without progression in ADV-TK group. In the subgroup of glioblastoma received ADV-TK, PFS-6 was 71.4%, median PFS was 34.9 weeks, median OS was 45.7 weeks respectively, much better than those in control group. The one-year PFS and OS wer…","author":[{"dropping-particle":"","family":"Ji","given":"Nan","non-dropping-particle":"","parse-names":false,"suffix":""},{"dropping-particle":"","family":"Weng","given":"Danhui","non-dropping-particle":"","parse-names":false,"suffix":""},{"dropping-particle":"","family":"Liu","given":"Cang","non-dropping-particle":"","parse-names":false,"suffix":""},{"dropping-particle":"","family":"Gu","given":"Zheng","non-dropping-particle":"","parse-names":false,"suffix":""},{"dropping-particle":"","family":"Chen","given":"Shizhang","non-dropping-particle":"","parse-names":false,"suffix":""},{"dropping-particle":"","family":"Guo","given":"Ying","non-dropping-particle":"","parse-names":false,"suffix":""},{"dropping-particle":"","family":"Fan","given":"Zhong","non-dropping-particle":"","parse-names":false,"suffix":""},{"dropping-particle":"","family":"Wang","given":"Xiao","non-dropping-particle":"","parse-names":false,"suffix":""},{"dropping-particle":"","family":"Chen","given":"Jianfei","non-dropping-particle":"","parse-names":false,"suffix":""},{"dropping-particle":"","family":"Zhao","given":"Yanyan","non-dropping-particle":"","parse-names":false,"suffix":""},{"dropping-particle":"","family":"Zhou","given":"Jianfeng","non-dropping-particle":"","parse-names":false,"suffix":""},{"dropping-particle":"","family":"Wang","given":"Jisheng","non-dropping-particle":"","parse-names":false,"suffix":""},{"dropping-particle":"","family":"Ma","given":"Ding","non-dropping-particle":"","parse-names":false,"suffix":""},{"dropping-particle":"","family":"Li","given":"Ning","non-dropping-particle":"","parse-names":false,"suffix":""}],"container-title":"Oncotarget","id":"ITEM-1","issue":"4","issued":{"date-parts":[["2016"]]},"title":"Adenovirus-mediated delivery of herpes simplex virus thymidine kinase administration improves outcome of recurrent high-grade glioma","type":"article-journal","volume":"7"},"uris":["http://www.mendeley.com/documents/?uuid=17bdbbff-d465-4ecd-a3ba-92c8e3e3930c"]}],"mendeley":{"formattedCitation":"[23]","plainTextFormattedCitation":"[23]","previouslyFormattedCitation":"[18]"},"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[23]</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China</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60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45.</w:t>
            </w:r>
            <w:r>
              <w:rPr>
                <w:rFonts w:ascii="Arial" w:hAnsi="Arial"/>
                <w:sz w:val="18"/>
                <w:szCs w:val="18"/>
              </w:rPr>
              <w:t>7</w:t>
            </w:r>
            <w:r w:rsidRPr="00307965">
              <w:rPr>
                <w:rFonts w:ascii="Arial" w:hAnsi="Arial"/>
                <w:sz w:val="18"/>
                <w:szCs w:val="18"/>
              </w:rPr>
              <w:t>/</w:t>
            </w:r>
            <w:r>
              <w:rPr>
                <w:rFonts w:ascii="Arial" w:hAnsi="Arial"/>
                <w:sz w:val="18"/>
                <w:szCs w:val="18"/>
              </w:rPr>
              <w:t>8.6</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Immonen 2004(1)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Finland</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HGG</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56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color w:val="231F20"/>
                <w:sz w:val="18"/>
                <w:szCs w:val="18"/>
              </w:rPr>
              <w:t>66.4/40.3</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Immonen 2004(2)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Finland</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44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55.3/47.0</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Immonen 2004(3)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Finland</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HGG</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56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62.4/30.9</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Immonen 2004(4)</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{"citationItems":[{"id":"ITEM-1","itemData":{"DOI":"10.1016/j.ymthe.2004.08.002","ISBN":"1525-0016 (Print)\\n1525-0016 (Linking)","ISSN":"15250016","PMID":"15509514","abstract":"Malignant glioma is a devastating brain tumor with no effective treatment. This randomised, controlled study involved 36 patients with operable primary or recurrent malignant glioma. Seventeen patients were randomized to receive AdvHSV-tk gene therapy (3 × 1010pfu) by local injection into the wound bed after tumor resection, followed by intravenous ganciclovir (GCV), 5 mg/kg twice daily for 14 days. The control group of 19 patients received standard care consisting of radical excision followed by radiotherapy in those patients with primary tumors. The primary end-point was survival as defined by death or surgery for recurrence. Secondary end-points were all-cause mortality and tumour progression as determined by MRI. Overall safety and quality of life were also assessed. Findings were also compared with historical controls (n = 36) from the same unit over 2 years preceding the study. AdvHSV-tk treatment produced a clinically and statistically significant increase in mean survival from 39.0 ± 19.7 (SD) to 70.6 ± 52.9 weeks (P = 0.0095, log-rank regression vs. randomized controls). The median survival time increased from 37.7 to 62.4 weeks. Six patients had increased anti-adenovirus antibody titers, without adverse effects. The treatment was well tolerated. It is concluded that AdvHSV-tk gene therapy with GCV is a potential new treatment for operable primary or recurrent high-grade glioma. Copyright © The American Society of Gene Therapy.","author":[{"dropping-particle":"","family":"Immonen","given":"Arto","non-dropping-particle":"","parse-names":false,"suffix":""},{"dropping-particle":"","family":"Vapalahti","given":"Matti","non-dropping-particle":"","parse-names":false,"suffix":""},{"dropping-particle":"","family":"Tyynelä","given":"Kristiina","non-dropping-particle":"","parse-names":false,"suffix":""},{"dropping-particle":"","family":"Hurskainen","given":"Heleena","non-dropping-particle":"","parse-names":false,"suffix":""},{"dropping-particle":"","family":"Sandmair","given":"Anu","non-dropping-particle":"","parse-names":false,"suffix":""},{"dropping-particle":"","family":"Vanninen","given":"Ritva","non-dropping-particle":"","parse-names":false,"suffix":""},{"dropping-particle":"","family":"Langford","given":"Gillian","non-dropping-particle":"","parse-names":false,"suffix":""},{"dropping-particle":"","family":"Murray","given":"Neil","non-dropping-particle":"","parse-names":false,"suffix":""},{"dropping-particle":"","family":"Ylä-Herttuala","given":"Seppo","non-dropping-particle":"","parse-names":false,"suffix":""}],"container-title":"Molecular Therapy","id":"ITEM-1","issue":"5","issued":{"date-parts":[["2004"]]},"page":"967-972","title":"AdvHSV-tk gene therapy with intravenous ganciclovir improves survival in human malignant glioma: A randomised, controlled study","type":"article-journal","volume":"10"},"uris":["http://www.mendeley.com/documents/?uuid=1a1999da-cdd2-4fc4-9bca-3c77459254be"]}],"mendeley":{"formattedCitation":"[24]","plainTextFormattedCitation":"[24]","previouslyFormattedCitation":"[19]"},"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[24]</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Finland</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44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54.4/42.8</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Solomón 2013(1)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Cuban</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HGG</w:t>
            </w:r>
          </w:p>
        </w:tc>
        <w:tc>
          <w:tcPr>
            <w:tcW w:w="1559"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6</w:t>
            </w:r>
            <w:r w:rsidRPr="00307965">
              <w:rPr>
                <w:rFonts w:ascii="Arial" w:hAnsi="Arial"/>
                <w:sz w:val="18"/>
                <w:szCs w:val="18"/>
              </w:rPr>
              <w:t>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71.</w:t>
            </w:r>
            <w:r>
              <w:rPr>
                <w:rFonts w:ascii="Arial" w:hAnsi="Arial"/>
                <w:sz w:val="18"/>
                <w:szCs w:val="18"/>
              </w:rPr>
              <w:t>04</w:t>
            </w:r>
            <w:r w:rsidRPr="00307965">
              <w:rPr>
                <w:rFonts w:ascii="Arial" w:hAnsi="Arial"/>
                <w:sz w:val="18"/>
                <w:szCs w:val="18"/>
              </w:rPr>
              <w:t>/50.52</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Solomón 2013(2)</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Cuban</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60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33.6/33.44</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Solomón 2013(3)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{"citationItems":[{"id":"ITEM-1","itemData":{"DOI":"10.1186/1471-2407-13-299","ISBN":"1471-2407 (Electronic)\\r1471-2407 (Linking)","ISSN":"14712407","PMID":"23782513","abstract":"Background: The prognosis of patients bearing high grade glioma remains dismal. Epidermal Growth Factor Receptor (EGFR) is well validated as a primary contributor of glioma initiation and progression. Nimotuzumab is a humanized monoclonal antibody that recognizes the EGFR extracellular domain and reaches Central Nervous System tumors, in nonclinical and clinical setting. While it has similar activity when compared to other anti-EGFR antibodies, it does not induce skin toxicity or hypomagnesemia. Methods: A randomized, double blind, multicentric clinical trial was conducted in high grade glioma patients (41 anaplastic astrocytoma and 29 glioblastoma multiforme) that received radiotherapy plus nimotuzumab or placebo. Treatment and placebo groups were well-balanced for the most important prognostic variables. Patients received 6 weekly doses of 200 mg nimotuzumab or placebo together with irradiation as induction therapy. Maintenance treatment was given for 1 year with subsequent doses administered every 3 weeks. The objectives of this study were to assess the comparative overall survival, progression free survival, response rate, immunogenicity and safety. Results: The median cumulative dose was 3200 mg of nimotuzumab given over a median number of 16 doses. The combination of nimotuzumab and RT was well-tolerated. The most prevalent related adverse reactions included nausea, fever, tremors, anorexia and hepatic test alteration. No anti-idiotypic response was detected, confirming the antibody low immunogenicity. The mean and median survival time for subjects treated with nimotuzumab was 31.06 and 17.76 vs. 21.07 and 12.63 months for the control group. Conclusions: In this randomized trial, nimotuzumab showed an excellent safety profile and significant survival benefit in combination with irradiation. Trial registration: Cuban National Register for clinical trials (No. 1745) (http://registroclinico.sld.cu/ensayos).","author":[{"dropping-particle":"","family":"Solomón","given":"Maria T.eresa","non-dropping-particle":"","parse-names":false,"suffix":""},{"dropping-particle":"","family":"Selva","given":"Julio C.ésar","non-dropping-particle":"","parse-names":false,"suffix":""},{"dropping-particle":"","family":"Figueredo","given":"Javier","non-dropping-particle":"","parse-names":false,"suffix":""},{"dropping-particle":"","family":"Vaquer","given":"José","non-dropping-particle":"","parse-names":false,"suffix":""},{"dropping-particle":"","family":"Toledo","given":"Carolina","non-dropping-particle":"","parse-names":false,"suffix":""},{"dropping-particle":"","family":"Quintanal","given":"Nelson","non-dropping-particle":"","parse-names":false,"suffix":""},{"dropping-particle":"","family":"Salva","given":"Silvia","non-dropping-particle":"","parse-names":false,"suffix":""},{"dropping-particle":"","family":"Domíngez","given":"Rafael","non-dropping-particle":"","parse-names":false,"suffix":""},{"dropping-particle":"","family":"Alert","given":"José","non-dropping-particle":"","parse-names":false,"suffix":""},{"dropping-particle":"","family":"Marinello","given":"Jorge J.uan","non-dropping-particle":"","parse-names":false,"suffix":""},{"dropping-particle":"","family":"Catalá","given":"Mauricio","non-dropping-particle":"","parse-names":false,"suffix":""},{"dropping-particle":"","family":"Griego","given":"Martha G.onzález","non-dropping-particle":"","parse-names":false,"suffix":""},{"dropping-particle":"","family":"Martell","given":"Juan A.ntonio","non-dropping-particle":"","parse-names":false,"suffix":""},{"dropping-particle":"","family":"Luaces","given":"Patricia L.orenzo","non-dropping-particle":"","parse-names":false,"suffix":""},{"dropping-particle":"","family":"Ballesteros","given":"Javier","non-dropping-particle":"","parse-names":false,"suffix":""},{"dropping-particle":"","family":"de-Castro","given":"Niurys","non-dropping-particle":"","parse-names":false,"suffix":""},{"dropping-particle":"","family":"Bach","given":"Ferdinand","non-dropping-particle":"","parse-names":false,"suffix":""},{"dropping-particle":"","family":"Crombet","given":"Tania","non-dropping-particle":"","parse-names":false,"suffix":""}],"container-title":"BMC cancer","id":"ITEM-1","issue":"1","issued":{"date-parts":[["2013"]]},"page":"299","title":"Radiotherapy plus nimotuzumab or placebo in the treatment of high grade glioma patients: results from a randomized, double blind trial","type":"article-journal","volume":"13"},"uris":["http://www.mendeley.com/documents/?uuid=019e19d1-82c1-4499-9130-0de386fee502"]}],"mendeley":{"formattedCitation":"[1]","plainTextFormattedCitation":"[1]","previouslyFormattedCitation":"[20]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[1]</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Cuban</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AA</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60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178.24/70.24</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Ursu 2017</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{"citationItems":[{"id":"ITEM-1","itemData":{"DOI":"10.1016/j.ejca.2016.12.003","ISBN":"0959-8049","ISSN":"18790852","PMID":"28142059","abstract":"Background Immunostimulating oligodeoxynucleotides containing unmethylated cytosine-guanosine motifs (CpG-ODN) have shown a promising efficacy in several cancer models when injected locally. A previous phase II study of CpG-ODN in patients with recurrent glioblastoma (GBM) has suggested some activity and has shown a limited toxicity. This multicentre single-blinded randomised phase II trial was designed to study the efficacy of a local treatment by CpG-ODN in patients with de novo glioblastomas. Patients and methods Patients with a newly diagnosed glioblastoma underwent large surgical resection and CpG-ODN was randomly administrated locally around the surgical cavity. The patients were then treated according to standard of care (SOC) with radiotherapy and temozolomide. The primary objective was 2-year survival. Secondary outcomes were progression free survival (PFS), and tolerance. Results Eighty-one (81) patients were randomly assigned to receive CpG-ODN plus SOC (39 patients) or SOC (42 patients). The 2-year overall survival was 31% (19%; 49%) in the CpG-ODN arm and 26% (16%; 44%) in the SOC arm. The median PFS was 9 months in the CpG-ODN arm and 8.5 months in the SOC arm. The incidence of adverse events was similar in both arms; although fever and post-operative haematoma were more frequent in the CpG-ODN arm. Conclusions Local immunotherapy with CpG-ODN injected into the surgical cavity after tumour removal and followed by SOC, although well tolerated, does not improve survival of patients with newly diagnosed GBM.","author":[{"dropping-particle":"","family":"Carpentier","given":"Antoine F.","non-dropping-particle":"","parse-names":false,"suffix":""},{"dropping-particle":"","family":"Lambert","given":"Jérôme","non-dropping-particle":"","parse-names":false,"suffix":""}],"container-title":"European Journal of Cancer","id":"ITEM-1","issued":{"date-parts":[["2017"]]},"page":"30-37","title":"Intracerebral injection of CpG oligonucleotide for patients with de novo glioblastoma—A phase II multicentric, randomised study","type":"article-journal","volume":"73"},"uris":["http://www.mendeley.com/documents/?uuid=729d862d-306d-4245-a954-5b281245a52f"]}],"mendeley":{"formattedCitation":"[20]","plainTextFormattedCitation":"[20]","previouslyFormattedCitation":"[15]"},"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[20]</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France</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Recurrent 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60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68/72</w:t>
            </w:r>
          </w:p>
        </w:tc>
      </w:tr>
      <w:tr w:rsidR="00447B79" w:rsidRPr="00307965" w:rsidTr="007745F1">
        <w:trPr>
          <w:trHeight w:val="600"/>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Vik-mo 2013</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{"citationItems":[{"id":"ITEM-1","itemData":{"DOI":"10.1007/s00262-013-1453-3","ISBN":"1432-0851 (Electronic) 0340-7004 (Linking)","ISSN":"03407004","PMID":"23817721","abstract":"BACKGROUND: The growth and recurrence of several cancers appear to be driven by a population of cancer stem cells (CSCs). Glioblastoma, the most common primary brain tumor, is invariably fatal, with a median survival of approximately 1 year. Although experimental data have suggested the importance of CSCs, few data exist regarding the potential relevance and importance of these cells in a clinical setting. METHODS: We here present the first seven patients treated with a dendritic cell (DC)-based vaccine targeting CSCs in a solid tumor. Brain tumor biopsies were dissociated into single-cell suspensions, and autologous CSCs were expanded in vitro as tumorspheres. From these, CSC-mRNA was amplified and transfected into monocyte-derived autologous DCs. The DCs were aliquoted to 9-18 vaccines containing 10(7) cells each. These vaccines were injected intradermally at specified intervals after the patients had received a standard 6-week course of post-operative radio-chemotherapy. The study was registered with the ClinicalTrials.gov identifier NCT00846456. RESULTS: Autologous CSC cultures were established from ten out of eleven tumors. High-quality RNA was isolated, and mRNA was amplified in all cases. Seven patients were able to be weaned from corticosteroids to receive DC immunotherapy. An immune response induced by vaccination was identified in all seven patients. No patients developed adverse autoimmune events or other side effects. Compared to matched controls, progression-free survival was 2.9 times longer in vaccinated patients (median 694 vs. 236 days, p = 0.0018, log-rank test). CONCLUSION: These findings suggest that vaccination against glioblastoma stem cells is safe, well-tolerated, and may prolong progression-free survival.","author":[{"dropping-particle":"","family":"Vik-Mo","given":"Einar Osland","non-dropping-particle":"","parse-names":false,"suffix":""},{"dropping-particle":"","family":"Nyakas","given":"Marta","non-dropping-particle":"","parse-names":false,"suffix":""},{"dropping-particle":"","family":"Mikkelsen","given":"Birthe Viftrup","non-dropping-particle":"","parse-names":false,"suffix":""},{"dropping-particle":"","family":"Moe","given":"Morten Carstens","non-dropping-particle":"","parse-names":false,"suffix":""},{"dropping-particle":"","family":"Due-Tønnesen","given":"Paulina","non-dropping-particle":"","parse-names":false,"suffix":""},{"dropping-particle":"","family":"Suso","given":"Else Marit Inderberg","non-dropping-particle":"","parse-names":false,"suffix":""},{"dropping-particle":"","family":"Sæbøe-Larssen","given":"Stein","non-dropping-particle":"","parse-names":false,"suffix":""},{"dropping-particle":"","family":"Sandberg","given":"Cecilie","non-dropping-particle":"","parse-names":false,"suffix":""},{"dropping-particle":"","family":"Brinchmann","given":"Jan E.","non-dropping-particle":"","parse-names":false,"suffix":""},{"dropping-particle":"","family":"Helseth","given":"Eirik","non-dropping-particle":"","parse-names":false,"suffix":""},{"dropping-particle":"","family":"Rasmussen","given":"Anne Marie","non-dropping-particle":"","parse-names":false,"suffix":""},{"dropping-particle":"","family":"Lote","given":"Knut","non-dropping-particle":"","parse-names":false,"suffix":""},{"dropping-particle":"","family":"Aamdal","given":"Steinar","non-dropping-particle":"","parse-names":false,"suffix":""},{"dropping-particle":"","family":"Gaudernack","given":"Gustav","non-dropping-particle":"","parse-names":false,"suffix":""},{"dropping-particle":"","family":"Kvalheim","given":"Gunnar","non-dropping-particle":"","parse-names":false,"suffix":""},{"dropping-particle":"","family":"Langmoen","given":"Iver A.","non-dropping-particle":"","parse-names":false,"suffix":""}],"container-title":"Cancer Immunology, Immunotherapy","id":"ITEM-1","issue":"9","issued":{"date-parts":[["2013"]]},"page":"1499-1509","title":"Therapeutic vaccination against autologous cancer stem cells with mRNA-transfected dendritic cells in patients with glioblastoma","type":"article-journal","volume":"62"},"uris":["http://www.mendeley.com/documents/?uuid=818a9df8-7be4-42d3-830f-a00da2a87f31"]}],"mendeley":{"formattedCitation":"[25]","plainTextFormattedCitation":"[25]","previouslyFormattedCitation":"[21]"},"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[25]</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Norway</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33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108.4/83.6</w:t>
            </w:r>
          </w:p>
        </w:tc>
      </w:tr>
      <w:tr w:rsidR="00447B79" w:rsidRPr="00307965" w:rsidTr="007745F1">
        <w:trPr>
          <w:trHeight w:val="439"/>
        </w:trPr>
        <w:tc>
          <w:tcPr>
            <w:tcW w:w="1668" w:type="dxa"/>
            <w:shd w:val="clear" w:color="auto" w:fill="auto"/>
            <w:vAlign w:val="bottom"/>
          </w:tcPr>
          <w:p w:rsidR="00447B79" w:rsidRPr="00487012" w:rsidRDefault="00447B79" w:rsidP="00447B79">
            <w:pPr>
              <w:widowControl/>
              <w:rPr>
                <w:rFonts w:ascii="Arial" w:eastAsia="微软雅黑" w:hAnsi="Arial"/>
                <w:sz w:val="18"/>
                <w:szCs w:val="18"/>
              </w:rPr>
            </w:pPr>
            <w:r>
              <w:rPr>
                <w:rFonts w:ascii="Arial" w:eastAsia="微软雅黑" w:hAnsi="Arial"/>
                <w:sz w:val="18"/>
                <w:szCs w:val="18"/>
              </w:rPr>
              <w:t>Bogdahn 2011</w:t>
            </w:r>
            <w:r>
              <w:rPr>
                <w:rFonts w:ascii="Arial" w:eastAsia="微软雅黑" w:hAnsi="Arial"/>
                <w:sz w:val="18"/>
                <w:szCs w:val="18"/>
              </w:rPr>
              <w:fldChar w:fldCharType="begin" w:fldLock="1"/>
            </w:r>
            <w:r>
              <w:rPr>
                <w:rFonts w:ascii="Arial" w:eastAsia="微软雅黑" w:hAnsi="Arial"/>
                <w:sz w:val="18"/>
                <w:szCs w:val="18"/>
              </w:rPr>
              <w:instrText>ADDIN CSL_CITATION {"citationItems":[{"id":"ITEM-1","itemData":{"ISSN":"1522-8517","abstract":"INTRODUCTION: TGF-beta2 regulates key mechanisms of carcinogenesis, especially immunosuppression and metastasis. The antisense oligonucleotide trabedersen (AP 12009) is a TGF-beta2-specific inhibitor developed for the treatment of patients with highly malignant tumors such as recurrent or refractory high-grade glioma (HGG). METHODS: Clinical studies with trabedersen in HGG have included 3 phase I/II studies and one randomized, controlled, multinational dose-finding phase IIb study. These studies were performed in adult patients with recurrent/refractory anaplastic astrocytoma (AA, WHO grade III) or glioblastoma multiforme (GBM, WHO grade IV). Trabedersen was administered intratumorally by convection-enhanced delivery during a treatment period of about 6 months. RESULTS: In the phase IIb study, of 145 patients randomized to either one of the two doses of trabedersen (10 mM or 80 mM) or to chemotherapy (TMZ or PCV), 134 patients (AA = 39; GBM = 95) received study medication. The highest efficacy was observed in AA patients treated with 10-μM trabedersen. In this group, the 14-month progression rate was 16.7%, which was lower than seen with 80-mM trabedersen (40.0%, P = 0.1534) or chemotherapy (58.3%, P = 0.0032). The 10-μM trabedersen group also had a 3-fold longer duration of response and a clearly longer median survival than chemotherapy (39.1 vs. 21.7 months, ns). In addition, promising efficacy data were observed in GBM, especially in patients not older than 55 years with Karnofsky Performance Statuses (KPS) &gt;80% at baseline, who had a 24-month survival rate of 40% in the 10-μM trabedersen group vs. 13% in the chemotherapy group. Trabedersen generally had a good tolerability and safety profile. CONCLUSIONS: Trabedersen treatment showed a clear clinical benefit in recurrent HGG. Based on the Phase IIb results, the pivotal Phase III SAPPHIRE study in patients with recurrent/refractory AA was started. Patient recruitment is ongoing. The primary endpoint is 2-year survival rate; secondary endpoints include overall survival, tumor response, quality of life, and safety.","author":[{"dropping-particle":"","family":"Bogdahn","given":"U","non-dropping-particle":"","parse-names":false,"suffix":""},{"dropping-particle":"","family":"Stockhammer","given":"G","non-dropping-particle":"","parse-names":false,"suffix":""},{"dropping-particle":"","family":"Mahapatra","given":"A K","non-dropping-particle":"","parse-names":false,"suffix":""},{"dropping-particle":"","family":"Venkataramana","given":"N K","non-dropping-particle":"","parse-names":false,"suffix":""},{"dropping-particle":"","family":"Oliushine","given":"V E","non-dropping-particle":"","parse-names":false,"suffix":""},{"dropping-particle":"","family":"Parfenov","given":"V E","non-dropping-particle":"","parse-names":false,"suffix":""},{"dropping-particle":"","family":"Poverennova","given":"I E","non-dropping-particle":"","parse-names":false,"suffix":""},{"dropping-particle":"","family":"Hau","given":"P","non-dropping-particle":"","parse-names":false,"suffix":""},{"dropping-particle":"","family":"Jachimczak","given":"P","non-dropping-particle":"","parse-names":false,"suffix":""},{"dropping-particle":"","family":"Heinrichs","given":"H","non-dropping-particle":"","parse-names":false,"suffix":""},{"dropping-particle":"","family":"Schlingensiepen","given":"K.-H.","non-dropping-particle":"","parse-names":false,"suffix":""}],"container-title":"Neuro-Oncology","id":"ITEM-1","issue":"1","issued":{"date-parts":[["2010"]]},"page":"iv74","title":"Phase III sapphire study in high-grade gliomas: Targeted therapy with TGF-beta2 inhibitor trabedersen based on results of a randomized phase IIB study","type":"article-journal","volume":"12"},"uris":["http://www.mendeley.com/documents/?uuid=8059f83e-5924-47a2-9472-05ee961453af"]}],"mendeley":{"formattedCitation":"[2]","plainTextFormattedCitation":"[2]","previouslyFormattedCitation":"[22]"},"properties":{"noteIndex":0},"schema":"https://github.com/citation-style-language/schema/raw/master/csl-citation.json"}</w:instrText>
            </w:r>
            <w:r>
              <w:rPr>
                <w:rFonts w:ascii="Arial" w:eastAsia="微软雅黑" w:hAnsi="Arial"/>
                <w:sz w:val="18"/>
                <w:szCs w:val="18"/>
              </w:rPr>
              <w:fldChar w:fldCharType="separate"/>
            </w:r>
            <w:r w:rsidRPr="00B261A6">
              <w:rPr>
                <w:rFonts w:ascii="Arial" w:eastAsia="微软雅黑" w:hAnsi="Arial"/>
                <w:noProof/>
                <w:sz w:val="18"/>
                <w:szCs w:val="18"/>
              </w:rPr>
              <w:t>[2]</w:t>
            </w:r>
            <w:r>
              <w:rPr>
                <w:rFonts w:ascii="Arial" w:eastAsia="微软雅黑" w:hAnsi="Arial"/>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Germany</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AA</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70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1</w:t>
            </w:r>
            <w:r>
              <w:rPr>
                <w:rFonts w:ascii="Arial" w:hAnsi="Arial"/>
                <w:sz w:val="18"/>
                <w:szCs w:val="18"/>
              </w:rPr>
              <w:t>67.57</w:t>
            </w:r>
            <w:r w:rsidRPr="00307965">
              <w:rPr>
                <w:rFonts w:ascii="Arial" w:hAnsi="Arial"/>
                <w:sz w:val="18"/>
                <w:szCs w:val="18"/>
              </w:rPr>
              <w:t>/</w:t>
            </w:r>
            <w:r>
              <w:rPr>
                <w:rFonts w:ascii="Arial" w:hAnsi="Arial"/>
                <w:sz w:val="18"/>
                <w:szCs w:val="18"/>
              </w:rPr>
              <w:t>71.2</w:t>
            </w:r>
          </w:p>
        </w:tc>
      </w:tr>
      <w:tr w:rsidR="00447B79" w:rsidRPr="00307965" w:rsidTr="007745F1">
        <w:trPr>
          <w:trHeight w:val="439"/>
        </w:trPr>
        <w:tc>
          <w:tcPr>
            <w:tcW w:w="1668" w:type="dxa"/>
            <w:shd w:val="clear" w:color="auto" w:fill="auto"/>
            <w:vAlign w:val="bottom"/>
          </w:tcPr>
          <w:p w:rsidR="00447B79" w:rsidRDefault="00447B79" w:rsidP="00447B79">
            <w:pPr>
              <w:widowControl/>
              <w:rPr>
                <w:rFonts w:ascii="Arial" w:eastAsia="微软雅黑" w:hAnsi="Arial" w:cs="Times New Roman"/>
                <w:kern w:val="0"/>
                <w:sz w:val="18"/>
                <w:szCs w:val="18"/>
              </w:rPr>
            </w:pPr>
            <w:r>
              <w:rPr>
                <w:rFonts w:ascii="Arial" w:eastAsia="微软雅黑" w:hAnsi="Arial"/>
                <w:kern w:val="0"/>
                <w:sz w:val="18"/>
                <w:szCs w:val="18"/>
              </w:rPr>
              <w:t>Bogdahn 2011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{"citationItems":[{"id":"ITEM-1","itemData":{"ISSN":"1522-8517","abstract":"INTRODUCTION: TGF-beta2 regulates key mechanisms of carcinogenesis, especially immunosuppression and metastasis. The antisense oligonucleotide trabedersen (AP 12009) is a TGF-beta2-specific inhibitor developed for the treatment of patients with highly malignant tumors such as recurrent or refractory high-grade glioma (HGG). METHODS: Clinical studies with trabedersen in HGG have included 3 phase I/II studies and one randomized, controlled, multinational dose-finding phase IIb study. These studies were performed in adult patients with recurrent/refractory anaplastic astrocytoma (AA, WHO grade III) or glioblastoma multiforme (GBM, WHO grade IV). Trabedersen was administered intratumorally by convection-enhanced delivery during a treatment period of about 6 months. RESULTS: In the phase IIb study, of 145 patients randomized to either one of the two doses of trabedersen (10 mM or 80 mM) or to chemotherapy (TMZ or PCV), 134 patients (AA = 39; GBM = 95) received study medication. The highest efficacy was observed in AA patients treated with 10-μM trabedersen. In this group, the 14-month progression rate was 16.7%, which was lower than seen with 80-mM trabedersen (40.0%, P = 0.1534) or chemotherapy (58.3%, P = 0.0032). The 10-μM trabedersen group also had a 3-fold longer duration of response and a clearly longer median survival than chemotherapy (39.1 vs. 21.7 months, ns). In addition, promising efficacy data were observed in GBM, especially in patients not older than 55 years with Karnofsky Performance Statuses (KPS) &gt;80% at baseline, who had a 24-month survival rate of 40% in the 10-μM trabedersen group vs. 13% in the chemotherapy group. Trabedersen generally had a good tolerability and safety profile. CONCLUSIONS: Trabedersen treatment showed a clear clinical benefit in recurrent HGG. Based on the Phase IIb results, the pivotal Phase III SAPPHIRE study in patients with recurrent/refractory AA was started. Patient recruitment is ongoing. The primary endpoint is 2-year survival rate; secondary endpoints include overall survival, tumor response, quality of life, and safety.","author":[{"dropping-particle":"","family":"Bogdahn","given":"U","non-dropping-particle":"","parse-names":false,"suffix":""},{"dropping-particle":"","family":"Stockhammer","given":"G","non-dropping-particle":"","parse-names":false,"suffix":""},{"dropping-particle":"","family":"Mahapatra","given":"A K","non-dropping-particle":"","parse-names":false,"suffix":""},{"dropping-particle":"","family":"Venkataramana","given":"N K","non-dropping-particle":"","parse-names":false,"suffix":""},{"dropping-particle":"","family":"Oliushine","given":"V E","non-dropping-particle":"","parse-names":false,"suffix":""},{"dropping-particle":"","family":"Parfenov","given":"V E","non-dropping-particle":"","parse-names":false,"suffix":""},{"dropping-particle":"","family":"Poverennova","given":"I E","non-dropping-particle":"","parse-names":false,"suffix":""},{"dropping-particle":"","family":"Hau","given":"P","non-dropping-particle":"","parse-names":false,"suffix":""},{"dropping-particle":"","family":"Jachimczak","given":"P","non-dropping-particle":"","parse-names":false,"suffix":""},{"dropping-particle":"","family":"Heinrichs","given":"H","non-dropping-particle":"","parse-names":false,"suffix":""},{"dropping-particle":"","family":"Schlingensiepen","given":"K.-H.","non-dropping-particle":"","parse-names":false,"suffix":""}],"container-title":"Neuro-Oncology","id":"ITEM-1","issue":"1","issued":{"date-parts":[["2010"]]},"page":"iv74","title":"Phase III sapphire study in high-grade gliomas: Targeted therapy with TGF-beta2 inhibitor trabedersen based on results of a randomized phase IIB study","type":"article-journal","volume":"12"},"uris":["http://www.mendeley.com/documents/?uuid=8059f83e-5924-47a2-9472-05ee961453af"]}],"mendeley":{"formattedCitation":"[2]","plainTextFormattedCitation":"[2]","previouslyFormattedCitation":"[22]"},"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Germany</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70 months</w:t>
            </w:r>
          </w:p>
        </w:tc>
        <w:tc>
          <w:tcPr>
            <w:tcW w:w="1877" w:type="dxa"/>
            <w:shd w:val="clear" w:color="auto" w:fill="auto"/>
            <w:vAlign w:val="center"/>
            <w:hideMark/>
          </w:tcPr>
          <w:p w:rsidR="00447B79" w:rsidRPr="00B8614F" w:rsidRDefault="00447B79" w:rsidP="00447B79">
            <w:pPr>
              <w:jc w:val="left"/>
              <w:rPr>
                <w:rFonts w:ascii="Arial" w:hAnsi="Arial"/>
                <w:sz w:val="18"/>
                <w:szCs w:val="18"/>
              </w:rPr>
            </w:pPr>
            <w:r>
              <w:rPr>
                <w:rFonts w:ascii="Arial" w:hAnsi="Arial"/>
                <w:sz w:val="18"/>
                <w:szCs w:val="18"/>
              </w:rPr>
              <w:t>31.3/32.8</w:t>
            </w:r>
          </w:p>
        </w:tc>
      </w:tr>
      <w:tr w:rsidR="00447B79" w:rsidRPr="00307965" w:rsidTr="007745F1">
        <w:trPr>
          <w:trHeight w:val="600"/>
        </w:trPr>
        <w:tc>
          <w:tcPr>
            <w:tcW w:w="1668" w:type="dxa"/>
            <w:shd w:val="clear" w:color="auto" w:fill="auto"/>
            <w:vAlign w:val="bottom"/>
          </w:tcPr>
          <w:p w:rsidR="00447B79" w:rsidRDefault="00447B79" w:rsidP="00447B79">
            <w:pPr>
              <w:widowControl/>
              <w:rPr>
                <w:rFonts w:ascii="Arial" w:eastAsia="微软雅黑" w:hAnsi="Arial"/>
                <w:kern w:val="0"/>
                <w:sz w:val="18"/>
                <w:szCs w:val="18"/>
              </w:rPr>
            </w:pPr>
            <w:r>
              <w:rPr>
                <w:rFonts w:ascii="Arial" w:eastAsia="微软雅黑" w:hAnsi="Arial"/>
                <w:kern w:val="0"/>
                <w:sz w:val="18"/>
                <w:szCs w:val="18"/>
              </w:rPr>
              <w:t>Jie 2011</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{"citationItems":[{"id":"ITEM-1","itemData":{"DOI":"10.1007/s12013-011-9265-6","ISBN":"1559-0283 (Electronic)\\r1085-9195 (Linking)","ISSN":"10859195","PMID":"21909820","abstract":"Establishment of a detection platform for glioblastoma-dendritic cell (DC) vaccine preparation and to determine the efficacy of the vaccine in a clinical trial. Autologous glioblastoma-DC vaccine was prepared from a glioblast specimen procured from surgical resection. The specimen was used to enrich the vaccine with peripherally blood-derived DCs after heat-shock induced, glioblastoma apoptosis. The control group received conventional treatment of surgery and radio-chemotherapy post-operation. The therapeutic group received a combination of glioblastoma-DC vaccine and conventional therapy. A comparison of the functional immune parameters, including tumor control, rate live time, Karnofsky scores, and complications occurring in each group were observed and recorded. The proportions of peripheral CD3(+), CD3(+)CD4(+), CD4(+)/CD8(+), and NK cells were significantly higher after DC vaccination than the control group (P &lt; 0.05). Serum levels of IL-2, IL-12, and IFN-γ were significantly higher after DC vaccination than in the control group (P &lt; 0.05). Nine months after vaccination, tumor control rate is significantly improved in the DC group compared with the control group (P &lt; 0.05); survival rate was significantly higher in DC group than in control group (P &lt; 0.05) and the time to relapse was significantly longer in DC group than that in control group (P &lt; 0.05). Karnofsky scores were better in DC vaccination group 6 and 9 months post-treatment compared with the control group (P &lt; 0.05). The combination of glioma DC vaccine and radiotherapy/chemotherapy post-operatively enhances the immune function of patients, increases the tumor control rate, prolongs the survival time and relapse duration, improves the quality of life, and therefore provides a more effective intervention of treating glioblastoma.","author":[{"dropping-particle":"","family":"Jie","given":"X.","non-dropping-particle":"","parse-names":false,"suffix":""},{"dropping-particle":"","family":"Hua","given":"L.","non-dropping-particle":"","parse-names":false,"suffix":""},{"dropping-particle":"","family":"Jiang","given":"W.","non-dropping-particle":"","parse-names":false,"suffix":""},{"dropping-particle":"","family":"Feng","given":"F.","non-dropping-particle":"","parse-names":false,"suffix":""},{"dropping-particle":"","family":"Feng","given":"G.","non-dropping-particle":"","parse-names":false,"suffix":""},{"dropping-particle":"","family":"Hua","given":"Z.","non-dropping-particle":"","parse-names":false,"suffix":""}],"container-title":"Cell Biochemistry and Biophysics","id":"ITEM-1","issue":"1","issued":{"date-parts":[["2012"]]},"page":"91-99","title":"Clinical Application of a Dendritic Cell Vaccine Raised Against Heat-Shocked Glioblastoma","type":"article-journal","volume":"62"},"uris":["http://www.mendeley.com/documents/?uuid=929b28e7-924e-465d-b12d-2fa499b662f8"]}],"mendeley":{"formattedCitation":"[26]","plainTextFormattedCitation":"[26]","previouslyFormattedCitation":"[10]"},"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[26]</w:t>
            </w:r>
            <w:r>
              <w:rPr>
                <w:rFonts w:ascii="Arial" w:eastAsia="微软雅黑" w:hAnsi="Arial"/>
                <w:kern w:val="0"/>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China</w:t>
            </w:r>
          </w:p>
        </w:tc>
        <w:tc>
          <w:tcPr>
            <w:tcW w:w="1843"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24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68/42</w:t>
            </w:r>
          </w:p>
        </w:tc>
      </w:tr>
      <w:tr w:rsidR="00447B79" w:rsidRPr="00307965" w:rsidTr="007745F1">
        <w:trPr>
          <w:trHeight w:val="600"/>
        </w:trPr>
        <w:tc>
          <w:tcPr>
            <w:tcW w:w="1668" w:type="dxa"/>
            <w:shd w:val="clear" w:color="auto" w:fill="auto"/>
            <w:vAlign w:val="bottom"/>
          </w:tcPr>
          <w:p w:rsidR="00447B79" w:rsidRDefault="00447B79" w:rsidP="00447B79">
            <w:pPr>
              <w:widowControl/>
              <w:jc w:val="left"/>
              <w:rPr>
                <w:rFonts w:ascii="Arial" w:eastAsia="微软雅黑" w:hAnsi="Arial"/>
                <w:kern w:val="0"/>
                <w:sz w:val="18"/>
                <w:szCs w:val="18"/>
              </w:rPr>
            </w:pPr>
            <w:r>
              <w:rPr>
                <w:rFonts w:ascii="Arial" w:eastAsia="微软雅黑" w:hAnsi="Arial"/>
                <w:kern w:val="0"/>
                <w:sz w:val="18"/>
                <w:szCs w:val="18"/>
              </w:rPr>
              <w:t>Weller 2017</w:t>
            </w:r>
            <w:r>
              <w:rPr>
                <w:rFonts w:ascii="Arial" w:eastAsia="微软雅黑" w:hAnsi="Arial"/>
                <w:kern w:val="0"/>
                <w:sz w:val="18"/>
                <w:szCs w:val="18"/>
              </w:rPr>
              <w:fldChar w:fldCharType="begin" w:fldLock="1"/>
            </w:r>
            <w:r>
              <w:rPr>
                <w:rFonts w:ascii="Arial" w:eastAsia="微软雅黑" w:hAnsi="Arial"/>
                <w:kern w:val="0"/>
                <w:sz w:val="18"/>
                <w:szCs w:val="18"/>
              </w:rPr>
              <w:instrText>ADDIN CSL_CITATION {"citationItems":[{"id":"ITEM-1","itemData":{"DOI":"10.1016/S1470-2045(17)30517-X","ISBN":"1538-7305","ISSN":"14745488","PMID":"28844499","abstract":"Background Rindopepimut (also known as CDX-110), a vaccine targeting the EGFR deletion mutation EGFRvIII, consists of an EGFRvIII-specific peptide conjugated to keyhole limpet haemocyanin. In the ACT IV study, we aimed to assess whether or not the addition of rindopepimut to standard chemotherapy is able to improve survival in patients with EGFRvIII-positive glioblastoma. Methods In this randomised, double-blind, phase 3 trial, we recruited patients aged 18 years and older with glioblastoma from 165 hospitals in 22 countries. Eligible patients had newly diagnosed glioblastoma confirmed to express EGFRvIII by central analysis, and had undergone maximal surgical resection and completion of standard chemoradiation without progression. Patients were stratified by European Organisation for Research and Treatment of Cancer recursive partitioning analysis class, MGMT promoter methylation, and geographical region, and randomly assigned (1:1) with a prespecified randomisation sequence (block size of four) to receive rindopepimut (500 μg admixed with 150 μg GM-CSF) or control (100 μg keyhole limpet haemocyanin) via monthly intradermal injection until progression or intolerance, concurrent with standard oral temozolomide (150–200 mg/m2 for 5 of 28 days) for 6–12 cycles or longer. Patients, investigators, and the trial funder were masked to treatment allocation. The primary endpoint was overall survival in patients with minimal residual disease (MRD; enhancing tumour &lt;2 cm2 post-chemoradiation by central review), analysed by modified intention to treat. This trial is registered with ClinicalTrials.gov, number NCT01480479. Findings Between April 12, 2012, and Dec 15, 2014, 745 patients were enrolled (405 with MRD, 338 with significant residual disease [SRD], and two unevaluable) and randomly assigned to rindopepimut and temozolomide (n=371) or control and temozolomide (n=374). The study was terminated for futility after a preplanned interim analysis. At final analysis, there was no significant difference in overall survival for patients with MRD: median overall survival was 20·1 months (95% CI 18·5–22·1) in the rindopepimut group versus 20·0 months (18·1–21·9) in the control group (HR 1·01, 95% CI 0·79–1·30; p=0·93). The most common grade 3–4 adverse events for all 369 treated patients in the rindopepimut group versus 372 treated patients in the control group were: thrombocytopenia (32 [9%] vs 23 [6%]), fatigue (six [2%] vs 19 [5%]), brain oedema (eight [2%] vs 11 […","author":[{"dropping-particle":"","family":"Weller","given":"Michael","non-dropping-particle":"","parse-names":false,"suffix":""},{"dropping-particle":"","family":"Butowski","given":"Nicholas","non-dropping-particle":"","parse-names":false,"suffix":""},{"dropping-particle":"","family":"Tran","given":"David D.","non-dropping-particle":"","parse-names":false,"suffix":""},{"dropping-particle":"","family":"Recht","given":"Lawrence D.","non-dropping-particle":"","parse-names":false,"suffix":""},{"dropping-particle":"","family":"Lim","given":"Michael","non-dropping-particle":"","parse-names":false,"suffix":""},{"dropping-particle":"","family":"Hirte","given":"Hal","non-dropping-particle":"","parse-names":false,"suffix":""},{"dropping-particle":"","family":"Ashby","given":"Lynn","non-dropping-particle":"","parse-names":false,"suffix":""},{"dropping-particle":"","family":"Mechtler","given":"Laszlo","non-dropping-particle":"","parse-names":false,"suffix":""},{"dropping-particle":"","family":"Goldlust","given":"Samuel A.","non-dropping-particle":"","parse-names":false,"suffix":""},{"dropping-particle":"","family":"Iwamoto","given":"Fabio","non-dropping-particle":"","parse-names":false,"suffix":""},{"dropping-particle":"","family":"Drappatz","given":"Jan","non-dropping-particle":"","parse-names":false,"suffix":""},{"dropping-particle":"","family":"O'Rourke","given":"Donald M.","non-dropping-particle":"","parse-names":false,"suffix":""},{"dropping-particle":"","family":"Wong","given":"Mark","non-dropping-particle":"","parse-names":false,"suffix":""},{"dropping-particle":"","family":"Hamilton","given":"Mark G.","non-dropping-particle":"","parse-names":false,"suffix":""},{"dropping-particle":"","family":"Finocchiaro","given":"Gaetano","non-dropping-particle":"","parse-names":false,"suffix":""},{"dropping-particle":"","family":"Perry","given":"James","non-dropping-particle":"","parse-names":false,"suffix":""},{"dropping-particle":"","family":"Wick","given":"Wolfgang","non-dropping-particle":"","parse-names":false,"suffix":""},{"dropping-particle":"","family":"Green","given":"Jennifer","non-dropping-particle":"","parse-names":false,"suffix":""},{"dropping-particle":"","family":"He","given":"Yi","non-dropping-particle":"","parse-names":false,"suffix":""},{"dropping-particle":"","family":"Turner","given":"Christopher D.","non-dropping-particle":"","parse-names":false,"suffix":""},{"dropping-particle":"","family":"Yellin","given":"Michael J.","non-dropping-particle":"","parse-names":false,"suffix":""},{"dropping-particle":"","family":"Keler","given":"Tibor","non-dropping-particle":"","parse-names":false,"suffix":""},{"dropping-particle":"","family":"Davis","given":"Thomas A.","non-dropping-particle":"","parse-names":false,"suffix":""},{"dropping-particle":"","family":"Stupp","given":"Roger","non-dropping-particle":"","parse-names":false,"suffix":""},{"dropping-particle":"","family":"Sampson","given":"John H.","non-dropping-particle":"","parse-names":false,"suffix":""},{"dropping-particle":"","family":"Butowski","given":"Nicholas","non-dropping-particle":"","parse-names":false,"suffix":""},{"dropping-particle":"","family":"Campian","given":"Jian","non-dropping-particle":"","parse-names":false,"suffix":""},{"dropping-particle":"","family":"Recht","given":"Lawrence","non-dropping-particle":"","parse-names":false,"suffix":""},{"dropping-particle":"","family":"Lim","given":"Michael","non-dropping-particle":"","parse-names":false,"suffix":""},{"dropping-particle":"","family":"Ashby","given":"Lynn","non-dropping-particle":"","parse-names":false,"suffix":""},{"dropping-particle":"","family":"Drappatz","given":"Jan","non-dropping-particle":"","parse-names":false,"suffix":""},{"dropping-particle":"","family":"Hirte","given":"Hal","non-dropping-particle":"","parse-names":false,"suffix":""},{"dropping-particle":"","family":"Iwamoto","given":"Fabio","non-dropping-particle":"","parse-names":false,"suffix":""},{"dropping-particle":"","family":"Mechtler","given":"Laszlo","non-dropping-particle":"","parse-names":false,"suffix":""},{"dropping-particle":"","family":"Goldlust","given":"Samuel","non-dropping-particle":"","parse-names":false,"suffix":""},{"dropping-particle":"","family":"Becker","given":"Kevin","non-dropping-particle":"","parse-names":false,"suffix":""},{"dropping-particle":"","family":"Barnett","given":"Gene","non-dropping-particle":"","parse-names":false,"suffix":""},{"dropping-particle":"","family":"Nicholas","given":"Garth","non-dropping-particle":"","parse-names":false,"suffix":""},{"dropping-particle":"","family":"Desjardins","given":"Annick","non-dropping-particle":"","parse-names":false,"suffix":""},{"dropping-particle":"","family":"Benkers","given":"Tara","non-dropping-particle":"","parse-names":false,"suffix":""},{"dropping-particle":"","family":"Wagle","given":"Naveed","non-dropping-particle":"","parse-names":false,"suffix":""},{"dropping-particle":"","family":"Groves","given":"Morris","non-dropping-particle":"","parse-names":false,"suffix":""},{"dropping-particle":"","family":"Kesari","given":"Santosh","non-dropping-particle":"","parse-names":false,"suffix":""},{"dropping-particle":"","family":"Horvath","given":"Zsolt","non-dropping-particle":"","parse-names":false,"suffix":""},{"dropping-particle":"","family":"Merrell","given":"Ryan","non-dropping-particle":"","parse-names":false,"suffix":""},{"dropping-particle":"","family":"Curry","given":"Richard","non-dropping-particle":"","parse-names":false,"suffix":""},{"dropping-particle":"","family":"O'Rourke","given":"James","non-dropping-particle":"","parse-names":false,"suffix":""},{"dropping-particle":"","family":"Schuster","given":"David","non-dropping-particle":"","parse-names":false,"suffix":""},{"dropping-particle":"","family":"Wong","given":"Mark","non-dropping-particle":"","parse-names":false,"suffix":""},{"dropping-particle":"","family":"Mrugala","given":"Maciej","non-dropping-particle":"","parse-names":false,"suffix":""},{"dropping-particle":"","family":"Jensen","given":"Randy","non-dropping-particle":"","parse-names":false,"suffix":""},{"dropping-particle":"","family":"Trusheim","given":"John","non-dropping-particle":"","parse-names":false,"suffix":""},{"dropping-particle":"","family":"Lesser","given":"Glenn","non-dropping-particle":"","parse-names":false,"suffix":""},{"dropping-particle":"","family":"Belanger","given":"Karl","non-dropping-particle":"","parse-names":false,"suffix":""},{"dropping-particle":"","family":"Sloan","given":"Andrew","non-dropping-particle":"","parse-names":false,"suffix":""},{"dropping-particle":"","family":"Purow","given":"Benjamin","non-dropping-particle":"","parse-names":false,"suffix":""},{"dropping-particle":"","family":"Fink","given":"Karen","non-dropping-particle":"","parse-names":false,"suffix":""},{"dropping-particle":"","family":"Raizer","given":"Jeffrey","non-dropping-particle":"","parse-names":false,"suffix":""},{"dropping-particle":"","family":"Schulder","given":"Michael","non-dropping-particle":"","parse-names":false,"suffix":""},{"dropping-particle":"","family":"Nair","given":"Suresh","non-dropping-particle":"","parse-names":false,"suffix":""},{"dropping-particle":"","family":"Peak","given":"Scott","non-dropping-particle":"","parse-names":false,"suffix":""},{"dropping-particle":"","family":"Perry","given":"James","non-dropping-particle":"","parse-names":false,"suffix":""},{"dropping-particle":"","family":"Brandes","given":"Alba","non-dropping-particle":"","parse-names":false,"suffix":""},{"dropping-particle":"","family":"Weller","given":"Michael","non-dropping-particle":"","parse-names":false,"suffix":""},{"dropping-particle":"","family":"Mohile","given":"Nimish","non-dropping-particle":"","parse-names":false,"suffix":""},{"dropping-particle":"","family":"Landolfi","given":"Joseph","non-dropping-particle":"","parse-names":false,"suffix":""},{"dropping-particle":"","family":"Olson","given":"Jon","non-dropping-particle":"","parse-names":false,"suffix":""},{"dropping-particle":"","family":"Finocchiaro","given":"Gaetano","non-dropping-particle":"","parse-names":false,"suffix":""},{"dropping-particle":"","family":"Jennens","given":"Ross","non-dropping-particle":"","parse-names":false,"suffix":""},{"dropping-particle":"","family":"DeSouza","given":"Paul","non-dropping-particle":"","parse-names":false,"suffix":""},{"dropping-particle":"","family":"Robinson","given":"Bridget","non-dropping-particle":"","parse-names":false,"suffix":""},{"dropping-particle":"","family":"Crittenden","given":"Marka","non-dropping-particle":"","parse-names":false,"suffix":""},{"dropping-particle":"","family":"Shih","given":"Kent","non-dropping-particle":"","parse-names":false,"suffix":""},{"dropping-particle":"","family":"Flowers","given":"Alexandra","non-dropping-particle":"","parse-names":false,"suffix":""},{"dropping-particle":"","family":"Ong","given":"Shirley","non-dropping-particle":"","parse-names":false,"suffix":""},{"dropping-particle":"","family":"Connelly","given":"Jennifer","non-dropping-particle":"","parse-names":false,"suffix":""},{"dropping-particle":"","family":"Hadjipanayis","given":"Costas","non-dropping-particle":"","parse-names":false,"suffix":""},{"dropping-particle":"","family":"Giglio","given":"Pierre","non-dropping-particle":"","parse-names":false,"suffix":""},{"dropping-particle":"","family":"Mott","given":"Frank","non-dropping-particle":"","parse-names":false,"suffix":""},{"dropping-particle":"","family":"Mathieu","given":"David","non-dropping-particle":"","parse-names":false,"suffix":""},{"dropping-particle":"","family":"Lessard","given":"Nathalie","non-dropping-particle":"","parse-names":false,"suffix":""},{"dropping-particle":"","family":"Sepulveda","given":"Sanchez Juan","non-dropping-particle":"","parse-names":false,"suffix":""},{"dropping-particle":"","family":"Lövey","given":"József","non-dropping-particle":"","parse-names":false,"suffix":""},{"dropping-particle":"","family":"Wheeler","given":"Helen","non-dropping-particle":"","parse-names":false,"suffix":""},{"dropping-particle":"","family":"Inglis","given":"Po Ling","non-dropping-particle":"","parse-names":false,"suffix":""},{"dropping-particle":"","family":"Hardie","given":"Claire","non-dropping-particle":"","parse-names":false,"suffix":""},{"dropping-particle":"","family":"Bota","given":"Daniela","non-dropping-particle":"","parse-names":false,"suffix":""},{"dropping-particle":"","family":"Lesniak","given":"Maciej","non-dropping-particle":"","parse-names":false,"suffix":""},{"dropping-particle":"","family":"Portnow","given":"Jana","non-dropping-particle":"","parse-names":false,"suffix":""},{"dropping-particle":"","family":"Frankel","given":"Bruce","non-dropping-particle":"","parse-names":false,"suffix":""},{"dropping-particle":"","family":"Junck","given":"Larry","non-dropping-particle":"","parse-names":false,"suffix":""},{"dropping-particle":"","family":"Thompson","given":"Reid","non-dropping-particle":"","parse-names":false,"suffix":""},{"dropping-particle":"","family":"Berk","given":"Lawrence","non-dropping-particle":"","parse-names":false,"suffix":""},{"dropping-particle":"","family":"McGhie","given":"John","non-dropping-particle":"","parse-names":false,"suffix":""},{"dropping-particle":"","family":"Macdonald","given":"David","non-dropping-particle":"","parse-names":false,"suffix":""},{"dropping-particle":"","family":"Saran","given":"Frank","non-dropping-particle":"","parse-names":false,"suffix":""},{"dropping-particle":"","family":"Soffietti","given":"Riccardo","non-dropping-particle":"","parse-names":false,"suffix":""},{"dropping-particle":"","family":"Blumenthal","given":"Deborah","non-dropping-particle":"","parse-names":false,"suffix":""},{"dropping-particle":"","family":"André de","given":"Sá Barreto Costa Marcos","non-dropping-particle":"","parse-names":false,"suffix":""},{"dropping-particle":"","family":"Nowak","given":"Anna","non-dropping-particle":"","parse-names":false,"suffix":""},{"dropping-particle":"","family":"Singhal","given":"Nimit","non-dropping-particle":"","parse-names":false,"suffix":""},{"dropping-particle":"","family":"Hottinger","given":"Andreas","non-dropping-particle":"","parse-names":false,"suffix":""},{"dropping-particle":"","family":"Schmid","given":"Andrea","non-dropping-particle":"","parse-names":false,"suffix":""},{"dropping-particle":"","family":"Srkalovic","given":"Gordan","non-dropping-particle":"","parse-names":false,"suffix":""},{"dropping-particle":"","family":"Baskin","given":"David","non-dropping-particle":"","parse-names":false,"suffix":""},{"dropping-particle":"","family":"Fadul","given":"Camilo","non-dropping-particle":"","parse-names":false,"suffix":""},{"dropping-particle":"","family":"Nabors","given":"Louis","non-dropping-particle":"","parse-names":false,"suffix":""},{"dropping-particle":"","family":"LaRocca","given":"Renato","non-dropping-particle":"","parse-names":false,"suffix":""},{"dropping-particle":"","family":"Villano","given":"John","non-dropping-particle":"","parse-names":false,"suffix":""},{"dropping-particle":"","family":"Paleologos","given":"Nina","non-dropping-particle":"","parse-names":false,"suffix":""},{"dropping-particle":"","family":"Kavan","given":"Petr","non-dropping-particle":"","parse-names":false,"suffix":""},{"dropping-particle":"","family":"Pitz","given":"Marshall","non-dropping-particle":"","parse-names":false,"suffix":""},{"dropping-particle":"","family":"Thiessen","given":"Brian","non-dropping-particle":"","parse-names":false,"suffix":""},{"dropping-particle":"","family":"Idbaih","given":"Ahmed","non-dropping-particle":"","parse-names":false,"suffix":""},{"dropping-particle":"","family":"Frenel","given":"Jean Sébastien","non-dropping-particle":"","parse-names":false,"suffix":""},{"dropping-particle":"","family":"Domont","given":"Julien","non-dropping-particle":"","parse-names":false,"suffix":""},{"dropping-particle":"","family":"Grauer","given":"Oliver","non-dropping-particle":"","parse-names":false,"suffix":""},{"dropping-particle":"","family":"Hau","given":"Peter","non-dropping-particle":"","parse-names":false,"suffix":""},{"dropping-particle":"","family":"Marosi","given":"Christine","non-dropping-particle":"","parse-names":false,"suffix":""},{"dropping-particle":"","family":"Sroubek","given":"Jan","non-dropping-particle":"","parse-names":false,"suffix":""},{"dropping-particle":"","family":"Hovey","given":"Elizabeth","non-dropping-particle":"","parse-names":false,"suffix":""},{"dropping-particle":"","family":"Sridhar","given":"P. S.","non-dropping-particle":"","parse-names":false,"suffix":""},{"dropping-particle":"","family":"Cher","given":"Lawrence","non-dropping-particle":"","parse-names":false,"suffix":""},{"dropping-particle":"","family":"Dunbar","given":"Erin","non-dropping-particle":"","parse-names":false,"suffix":""},{"dropping-particle":"","family":"Coyle","given":"Thomas","non-dropping-particle":"","parse-names":false,"suffix":""},{"dropping-particle":"","family":"Raymond","given":"Jane","non-dropping-particle":"","parse-names":false,"suffix":""},{"dropping-particle":"","family":"Barton","given":"Kevin","non-dropping-particle":"","parse-names":false,"suffix":""},{"dropping-particle":"","family":"Guarino","given":"Michael","non-dropping-particle":"","parse-names":false,"suffix":""},{"dropping-particle":"","family":"Raval","given":"Sumul","non-dropping-particle":"","parse-names":false,"suffix":""},{"dropping-particle":"","family":"Stea","given":"Baldassarre","non-dropping-particle":"","parse-names":false,"suffix":""},{"dropping-particle":"","family":"Dietrich","given":"Jorge","non-dropping-particle":"","parse-names":false,"suffix":""},{"dropping-particle":"","family":"Hopkins","given":"Kirsten","non-dropping-particle":"","parse-names":false,"suffix":""},{"dropping-particle":"","family":"Erridge","given":"Sara","non-dropping-particle":"","parse-names":false,"suffix":""},{"dropping-particle":"","family":"Steinbach","given":"Joachim Peter","non-dropping-particle":"","parse-names":false,"suffix":""},{"dropping-particle":"","family":"Pineda","given":"Losada Estela","non-dropping-particle":"","parse-names":false,"suffix":""},{"dropping-particle":"","family":"Balana","given":"Quintero Carmen","non-dropping-particle":"","parse-names":false,"suffix":""},{"dropping-particle":"","family":"Sonia del","given":"Barco Berron","non-dropping-particle":"","parse-names":false,"suffix":""},{"dropping-particle":"","family":"Wenczl","given":"Miklós","non-dropping-particle":"","parse-names":false,"suffix":""},{"dropping-particle":"","family":"Molnár","given":"Katalin","non-dropping-particle":"","parse-names":false,"suffix":""},{"dropping-particle":"","family":"Hideghéty","given":"Katalin","non-dropping-particle":"","parse-names":false,"suffix":""},{"dropping-particle":"","family":"Lossos","given":"Alexander","non-dropping-particle":"","parse-names":false,"suffix":""},{"dropping-particle":"","family":"Myra van","given":"Linde","non-dropping-particle":"","parse-names":false,"suffix":""},{"dropping-particle":"","family":"Levy","given":"Ana","non-dropping-particle":"","parse-names":false,"suffix":""},{"dropping-particle":"","family":"Harrup","given":"Rosemary","non-dropping-particle":"","parse-names":false,"suffix":""},{"dropping-particle":"","family":"Patterson","given":"William","non-dropping-particle":"","parse-names":false,"suffix":""},{"dropping-particle":"","family":"Lwin","given":"Zarnie","non-dropping-particle":"","parse-names":false,"suffix":""},{"dropping-particle":"","family":"Sathornsumetee","given":"Sith","non-dropping-particle":"","parse-names":false,"suffix":""},{"dropping-particle":"","family":"Lee","given":"E. Jian","non-dropping-particle":"","parse-names":false,"suffix":""},{"dropping-particle":"","family":"Ho","given":"Jih Tsun","non-dropping-particle":"","parse-names":false,"suffix":""},{"dropping-particle":"","family":"Emmons","given":"Steven","non-dropping-particle":"","parse-names":false,"suffix":""},{"dropping-particle":"","family":"Duic","given":"J. Paul","non-dropping-particle":"","parse-names":false,"suffix":""},{"dropping-particle":"","family":"Shao","given":"Spencer","non-dropping-particle":"","parse-names":false,"suffix":""},{"dropping-particle":"","family":"Ashamalla","given":"Hani","non-dropping-particle":"","parse-names":false,"suffix":""},{"dropping-particle":"","family":"Weaver","given":"Michael","non-dropping-particle":"","parse-names":false,"suffix":""},{"dropping-particle":"","family":"Lutzky","given":"Jose","non-dropping-particle":"","parse-names":false,"suffix":""},{"dropping-particle":"","family":"Avgeropoulos","given":"Nicholas","non-dropping-particle":"","parse-names":false,"suffix":""},{"dropping-particle":"","family":"Hanna","given":"Wahid","non-dropping-particle":"","parse-names":false,"suffix":""},{"dropping-particle":"","family":"Nadipuram","given":"Mukund","non-dropping-particle":"","parse-names":false,"suffix":""},{"dropping-particle":"","family":"Cecchi","given":"Gary","non-dropping-particle":"","parse-names":false,"suffix":""},{"dropping-particle":"","family":"O'Donnell","given":"Robert","non-dropping-particle":"","parse-names":false,"suffix":""},{"dropping-particle":"","family":"Pannullo","given":"Susan","non-dropping-particle":"","parse-names":false,"suffix":""},{"dropping-particle":"","family":"Carney","given":"Jennifer","non-dropping-particle":"","parse-names":false,"suffix":""},{"dropping-particle":"","family":"Hamilton","given":"Mark","non-dropping-particle":"","parse-names":false,"suffix":""},{"dropping-particle":"","family":"MacNeil","given":"Mary","non-dropping-particle":"","parse-names":false,"suffix":""},{"dropping-particle":"","family":"Beaney","given":"Ronald","non-dropping-particle":"","parse-names":false,"suffix":""},{"dropping-particle":"","family":"Fabbro","given":"Michel","non-dropping-particle":"","parse-names":false,"suffix":""},{"dropping-particle":"","family":"Schnell","given":"Oliver","non-dropping-particle":"","parse-names":false,"suffix":""},{"dropping-particle":"","family":"Fietkau","given":"Rainer","non-dropping-particle":"","parse-names":false,"suffix":""},{"dropping-particle":"","family":"Stockhammer","given":"Guenther","non-dropping-particle":"","parse-names":false,"suffix":""},{"dropping-particle":"","family":"Malinova","given":"Bela","non-dropping-particle":"","parse-names":false,"suffix":""},{"dropping-particle":"","family":"Odrazka","given":"Karel","non-dropping-particle":"","parse-names":false,"suffix":""},{"dropping-particle":"","family":"Sames","given":"Martin","non-dropping-particle":"","parse-names":false,"suffix":""},{"dropping-particle":"","family":"Miguel Gil","given":"Gil","non-dropping-particle":"","parse-names":false,"suffix":""},{"dropping-particle":"","family":"Razis","given":"Evangelia","non-dropping-particle":"","parse-names":false,"suffix":""},{"dropping-particle":"","family":"Lavrenkov","given":"Konstantin","non-dropping-particle":"","parse-names":false,"suffix":""},{"dropping-particle":"","family":"Castro","given":"Guillermo","non-dropping-particle":"","parse-names":false,"suffix":""},{"dropping-particle":"","family":"Ramirez","given":"Francisco","non-dropping-particle":"","parse-names":false,"suffix":""},{"dropping-particle":"","family":"Baldotto","given":"Clarissa","non-dropping-particle":"","parse-names":false,"suffix":""},{"dropping-particle":"","family":"Viola","given":"Fabiana","non-dropping-particle":"","parse-names":false,"suffix":""},{"dropping-particle":"","family":"Malheiros","given":"Suzana","non-dropping-particle":"","parse-names":false,"suffix":""},{"dropping-particle":"","family":"Lickliter","given":"Jason","non-dropping-particle":"","parse-names":false,"suffix":""},{"dropping-particle":"","family":"Gauden","given":"Stanislaw","non-dropping-particle":"","parse-names":false,"suffix":""},{"dropping-particle":"","family":"Dechaphunkul","given":"Arunee","non-dropping-particle":"","parse-names":false,"suffix":""},{"dropping-particle":"","family":"Thaipisuttikul","given":"Iyavut","non-dropping-particle":"","parse-names":false,"suffix":""},{"dropping-particle":"","family":"Thotathil","given":"Ziad","non-dropping-particle":"","parse-names":false,"suffix":""},{"dropping-particle":"","family":"Ma","given":"Hsin I.","non-dropping-particle":"","parse-names":false,"suffix":""},{"dropping-particle":"","family":"Cheng","given":"Wen Yu","non-dropping-particle":"","parse-names":false,"suffix":""},{"dropping-particle":"","family":"Chang","given":"Chin Hong","non-dropping-particle":"","parse-names":false,"suffix":""},{"dropping-particle":"","family":"Salas","given":"Fernando","non-dropping-particle":"","parse-names":false,"suffix":""},{"dropping-particle":"","family":"Dietrich","given":"Pierre Yves","non-dropping-particle":"","parse-names":false,"suffix":""},{"dropping-particle":"","family":"Mamot","given":"Christoph","non-dropping-particle":"","parse-names":false,"suffix":""},{"dropping-particle":"","family":"Nayak","given":"Lakshmi","non-dropping-particle":"","parse-names":false,"suffix":""},{"dropping-particle":"","family":"Nag","given":"Shona","non-dropping-particle":"","parse-names":false,"suffix":""}],"container-title":"The Lancet Oncology","id":"ITEM-1","issue":"10","issued":{"date-parts":[["2017"]]},"page":"1373-1385","title":"Rindopepimut with temozolomide for patients with newly diagnosed, EGFRvIII-expressing glioblastoma (ACT IV): a randomised, double-blind, international phase 3 trial","type":"article-journal","volume":"18"},"uris":["http://www.mendeley.com/documents/?uuid=6ba3e021-63fa-4290-ae5b-82611c00e529"]}],"mendeley":{"formattedCitation":"[27]","plainTextFormattedCitation":"[27]","previouslyFormattedCitation":"[23]"},"properties":{"noteIndex":0},"schema":"https://github.com/citation-style-language/schema/raw/master/csl-citation.json"}</w:instrText>
            </w:r>
            <w:r>
              <w:rPr>
                <w:rFonts w:ascii="Arial" w:eastAsia="微软雅黑" w:hAnsi="Arial"/>
                <w:kern w:val="0"/>
                <w:sz w:val="18"/>
                <w:szCs w:val="18"/>
              </w:rPr>
              <w:fldChar w:fldCharType="separate"/>
            </w:r>
            <w:r w:rsidRPr="00B261A6">
              <w:rPr>
                <w:rFonts w:ascii="Arial" w:eastAsia="微软雅黑" w:hAnsi="Arial"/>
                <w:noProof/>
                <w:kern w:val="0"/>
                <w:sz w:val="18"/>
                <w:szCs w:val="18"/>
              </w:rPr>
              <w:t>[27]</w:t>
            </w:r>
            <w:r>
              <w:rPr>
                <w:rFonts w:ascii="Arial" w:eastAsia="微软雅黑" w:hAnsi="Arial"/>
                <w:kern w:val="0"/>
                <w:sz w:val="18"/>
                <w:szCs w:val="18"/>
              </w:rPr>
              <w:fldChar w:fldCharType="end"/>
            </w:r>
          </w:p>
        </w:tc>
        <w:tc>
          <w:tcPr>
            <w:tcW w:w="1417" w:type="dxa"/>
            <w:shd w:val="clear" w:color="auto" w:fill="auto"/>
            <w:vAlign w:val="center"/>
            <w:hideMark/>
          </w:tcPr>
          <w:p w:rsidR="00447B79" w:rsidRDefault="00447B79" w:rsidP="00447B79">
            <w:pPr>
              <w:rPr>
                <w:rFonts w:ascii="Arial" w:hAnsi="Arial"/>
                <w:sz w:val="18"/>
                <w:szCs w:val="18"/>
              </w:rPr>
            </w:pPr>
            <w:r w:rsidRPr="00307965">
              <w:rPr>
                <w:rFonts w:ascii="Arial" w:hAnsi="Arial"/>
                <w:sz w:val="18"/>
                <w:szCs w:val="18"/>
              </w:rPr>
              <w:t>USA&amp;</w:t>
            </w:r>
          </w:p>
          <w:p w:rsidR="00447B79" w:rsidRPr="00307965" w:rsidRDefault="00447B79" w:rsidP="00447B79">
            <w:pPr>
              <w:rPr>
                <w:rFonts w:ascii="Arial" w:hAnsi="Arial"/>
                <w:sz w:val="18"/>
                <w:szCs w:val="18"/>
              </w:rPr>
            </w:pPr>
            <w:r w:rsidRPr="00307965">
              <w:rPr>
                <w:rFonts w:ascii="Arial" w:hAnsi="Arial"/>
                <w:sz w:val="18"/>
                <w:szCs w:val="18"/>
              </w:rPr>
              <w:t>Other</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GBM</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48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59.2/56.4</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sz w:val="18"/>
                <w:szCs w:val="18"/>
              </w:rPr>
            </w:pPr>
            <w:r>
              <w:rPr>
                <w:rFonts w:ascii="Arial" w:eastAsia="微软雅黑" w:hAnsi="Arial"/>
                <w:sz w:val="18"/>
                <w:szCs w:val="18"/>
              </w:rPr>
              <w:t>Wheeler 2016</w:t>
            </w:r>
            <w:r>
              <w:rPr>
                <w:rFonts w:ascii="Arial" w:eastAsia="微软雅黑" w:hAnsi="Arial"/>
                <w:sz w:val="18"/>
                <w:szCs w:val="18"/>
              </w:rPr>
              <w:fldChar w:fldCharType="begin" w:fldLock="1"/>
            </w:r>
            <w:r>
              <w:rPr>
                <w:rFonts w:ascii="Arial" w:eastAsia="微软雅黑" w:hAnsi="Arial"/>
                <w:sz w:val="18"/>
                <w:szCs w:val="18"/>
              </w:rPr>
              <w:instrText>ADDIN CSL_CITATION {"citationItems":[{"id":"ITEM-1","itemData":{"DOI":"10.1093/neuonc/now002","ISBN":"1523-5866 (Electronic)\r1522-8517 (Linking)","ISSN":"15235866","PMID":"26843484","abstract":"BACKGROUND: Despite aggressive standard of care (SOC) treatment, survival of malignant gliomas remains very poor. This phase 2, prospective, matched controlled, multicenter trial was conducted to assess the safety and efficacy of aglatimagene besadenovec (AdV-tk) plus valacyclovir (gene-mediated cytotoxic immunotherapy [GMCI]) in combination with SOC for newly diagnosed malignant glioma patients.\\n\\nMETHODS: Treatment cohort patients received SOC + GMCI and were enrolled at 4 institutions from 2006 to 2010. The preplanned, matched-control cohort included all concurrent patients meeting protocol criteria and SOC at a fifth institution. AdV-tk was administered at surgery followed by SOC radiation and temozolomide. Subset analyses were preplanned, based on prognostic factors: pathological diagnosis (glioblastoma vs others) and extent of resection.\\n\\nRESULTS: Forty-eight patients completed SOC + GMCI, and 134 met control cohort criteria. Median overall survival (OS) was 17.1 months for GMCI + SOC versus 13.5 months for SOC alone (P = .0417). Survival at 1, 2, and 3 years was 67%, 35%, and 19% versus 57%, 22%, and 8%, respectively. The greatest benefit was observed in gross total resection patients: median OS of 25 versus 16.9 months (P = .0492); 1, 2, and 3-year survival of 90%, 53%, and 32% versus 64%, 28% and 6%, respectively. There were no dose-limiting toxicities; fever, fatigue, and headache were the most common GMCI-related symptoms.\\n\\nCONCLUSIONS: GMCI can be safely combined with SOC in newly diagnosed malignant gliomas. Survival outcomes were most notably improved in patients with minimal residual disease after gross total resection. These data should help guide future immunotherapy studies and strongly support further evaluation of GMCI for malignant gliomas.\\n\\nCLINICAL TRIAL REGISTRY: ClinicalTrials.gov NCT00589875.","author":[{"dropping-particle":"","family":"Wheeler","given":"Lee A.","non-dropping-particle":"","parse-names":false,"suffix":""},{"dropping-particle":"","family":"Manzanera","given":"Andrea G.","non-dropping-particle":"","parse-names":false,"suffix":""},{"dropping-particle":"","family":"Bell","given":"Susan D.","non-dropping-particle":"","parse-names":false,"suffix":""},{"dropping-particle":"","family":"Cavaliere","given":"Robert","non-dropping-particle":"","parse-names":false,"suffix":""},{"dropping-particle":"","family":"McGregor","given":"John M.","non-dropping-particle":"","parse-names":false,"suffix":""},{"dropping-particle":"","family":"Grecula","given":"John C.","non-dropping-particle":"","parse-names":false,"suffix":""},{"dropping-particle":"","family":"Newton","given":"Herbert B.","non-dropping-particle":"","parse-names":false,"suffix":""},{"dropping-particle":"","family":"Lo","given":"Simon S.","non-dropping-particle":"","parse-names":false,"suffix":""},{"dropping-particle":"","family":"Badie","given":"Behnam","non-dropping-particle":"","parse-names":false,"suffix":""},{"dropping-particle":"","family":"Portnow","given":"Jana","non-dropping-particle":"","parse-names":false,"suffix":""},{"dropping-particle":"","family":"Teh","given":"Bin S.","non-dropping-particle":"","parse-names":false,"suffix":""},{"dropping-particle":"","family":"Trask","given":"Todd W.","non-dropping-particle":"","parse-names":false,"suffix":""},{"dropping-particle":"","family":"Baskin","given":"David S.","non-dropping-particle":"","parse-names":false,"suffix":""},{"dropping-particle":"","family":"New","given":"Pamela Z.","non-dropping-particle":"","parse-names":false,"suffix":""},{"dropping-particle":"","family":"Aguilar","given":"Laura K.","non-dropping-particle":"","parse-names":false,"suffix":""},{"dropping-particle":"","family":"Aguilar-Cordova","given":"Estuardo","non-dropping-particle":"","parse-names":false,"suffix":""},{"dropping-particle":"","family":"Chiocca","given":"E. Antonio","non-dropping-particle":"","parse-names":false,"suffix":""}],"container-title":"Neuro-Oncology","id":"ITEM-1","issue":"8","issued":{"date-parts":[["2016"]]},"page":"1137-1145","title":"Phase II multicenter study of gene-mediated cytotoxic immunotherapy as adjuvant to surgical resection for newly diagnosed malignant glioma","type":"article-journal","volume":"18"},"uris":["http://www.mendeley.com/documents/?uuid=24dc239d-4531-4024-916d-72b569ecef1a"]}],"mendeley":{"formattedCitation":"[28]","plainTextFormattedCitation":"[28]","previouslyFormattedCitation":"[24]"},"properties":{"noteIndex":0},"schema":"https://github.com/citation-style-language/schema/raw/master/csl-citation.json"}</w:instrText>
            </w:r>
            <w:r>
              <w:rPr>
                <w:rFonts w:ascii="Arial" w:eastAsia="微软雅黑" w:hAnsi="Arial"/>
                <w:sz w:val="18"/>
                <w:szCs w:val="18"/>
              </w:rPr>
              <w:fldChar w:fldCharType="separate"/>
            </w:r>
            <w:r w:rsidRPr="00B261A6">
              <w:rPr>
                <w:rFonts w:ascii="Arial" w:eastAsia="微软雅黑" w:hAnsi="Arial"/>
                <w:noProof/>
                <w:sz w:val="18"/>
                <w:szCs w:val="18"/>
              </w:rPr>
              <w:t>[28]</w:t>
            </w:r>
            <w:r>
              <w:rPr>
                <w:rFonts w:ascii="Arial" w:eastAsia="微软雅黑" w:hAnsi="Arial"/>
                <w:sz w:val="18"/>
                <w:szCs w:val="18"/>
              </w:rPr>
              <w:fldChar w:fldCharType="end"/>
            </w:r>
          </w:p>
        </w:tc>
        <w:tc>
          <w:tcPr>
            <w:tcW w:w="1417"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USA</w:t>
            </w:r>
          </w:p>
        </w:tc>
        <w:tc>
          <w:tcPr>
            <w:tcW w:w="1843" w:type="dxa"/>
            <w:shd w:val="clear" w:color="auto" w:fill="auto"/>
            <w:vAlign w:val="center"/>
            <w:hideMark/>
          </w:tcPr>
          <w:p w:rsidR="00447B79" w:rsidRPr="00307965" w:rsidRDefault="00447B79" w:rsidP="00447B79">
            <w:pPr>
              <w:rPr>
                <w:rFonts w:ascii="Arial" w:hAnsi="Arial"/>
                <w:sz w:val="18"/>
                <w:szCs w:val="18"/>
              </w:rPr>
            </w:pPr>
            <w:r>
              <w:rPr>
                <w:rFonts w:ascii="Arial" w:hAnsi="Arial"/>
                <w:sz w:val="18"/>
                <w:szCs w:val="18"/>
              </w:rPr>
              <w:t>HGG</w:t>
            </w:r>
          </w:p>
        </w:tc>
        <w:tc>
          <w:tcPr>
            <w:tcW w:w="1559" w:type="dxa"/>
            <w:shd w:val="clear" w:color="auto" w:fill="auto"/>
            <w:vAlign w:val="center"/>
            <w:hideMark/>
          </w:tcPr>
          <w:p w:rsidR="00447B79" w:rsidRPr="00307965" w:rsidRDefault="00447B79" w:rsidP="00447B79">
            <w:pPr>
              <w:rPr>
                <w:rFonts w:ascii="Arial" w:hAnsi="Arial"/>
                <w:sz w:val="18"/>
                <w:szCs w:val="18"/>
              </w:rPr>
            </w:pPr>
            <w:r w:rsidRPr="00307965">
              <w:rPr>
                <w:rFonts w:ascii="Arial" w:hAnsi="Arial"/>
                <w:sz w:val="18"/>
                <w:szCs w:val="18"/>
              </w:rPr>
              <w:t>60 months</w:t>
            </w:r>
          </w:p>
        </w:tc>
        <w:tc>
          <w:tcPr>
            <w:tcW w:w="1877" w:type="dxa"/>
            <w:shd w:val="clear" w:color="auto" w:fill="auto"/>
            <w:vAlign w:val="center"/>
            <w:hideMark/>
          </w:tcPr>
          <w:p w:rsidR="00447B79" w:rsidRPr="00307965" w:rsidRDefault="00447B79" w:rsidP="00447B79">
            <w:pPr>
              <w:jc w:val="left"/>
              <w:rPr>
                <w:rFonts w:ascii="Arial" w:hAnsi="Arial"/>
                <w:sz w:val="18"/>
                <w:szCs w:val="18"/>
              </w:rPr>
            </w:pPr>
            <w:r w:rsidRPr="00307965">
              <w:rPr>
                <w:rFonts w:ascii="Arial" w:hAnsi="Arial"/>
                <w:sz w:val="18"/>
                <w:szCs w:val="18"/>
              </w:rPr>
              <w:t>100.4/65.2</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Yao 2018</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{"citationItems":[{"id":"ITEM-1","itemData":{"DOI":"10.1007/s00262-018-2232-y","ISBN":"0123456789","ISSN":"14320851","PMID":"30159779","abstract":"Dendritic cell (DC)-based vaccination is a promising approach for active-specific immunotherapy, but is currently of limited efficacy. The safety and effectiveness of a DC vaccine (DCV) loaded with glioblastoma stem cell-like (GSC) antigens was assessed in glioblastoma multiforme (GBM) patients. In this double-blind, placebo-controlled phase II clinical trial, 43 GBM patients were randomized after surgery at a 1:1 ratio to receive either DCV (n = 22) or normal saline placebo (n = 21). Overall survival (OS) and progression-free survival (PFS) were analysed. Participants were stratified into different molecular subgroups based on the mutation (MT) status of isocitrate dehydrogenase (IDH1/2) and telomerase reverse transcriptase (TERT). Plasma cytokine levels, tumor-infiltrating lymphocyte numbers and immune co-inhibitory molecules PD-L1 and B7-H4 were also assessed. Multivariate Cox regression analysis revealed that DCV treatment significantly prolonged OS (p = 0.02) after adjusting for IDH1 and TERT promoter MT and B7-H4 expression, primary vs recurrent GBM. Among IDH1wild type (WT) TERTMT patients, DCV treatment significantly prolonged OS (p &lt; 0.01) and PFS (p = 0.03) and increased plasma levels of cytokines CCL22 and IFN-γ compared with placebo. Patients with low B7-H4 expression showed significantly prolonged OS (p = 0.02) after DCV treatment. Therefore, IDH1WTTERTMT and low B7-H4 expression identified subgroups of GBM patients more responsive to GSC DCV-based specific active-immunotherapy.","author":[{"dropping-particle":"","family":"Yao","given":"Yu","non-dropping-particle":"","parse-names":false,"suffix":""},{"dropping-particle":"","family":"Luo","given":"Feifei","non-dropping-particle":"","parse-names":false,"suffix":""},{"dropping-particle":"","family":"Tang","given":"Chao","non-dropping-particle":"","parse-names":false,"suffix":""},{"dropping-particle":"","family":"Chen","given":"Dikang","non-dropping-particle":"","parse-names":false,"suffix":""},{"dropping-particle":"","family":"Qin","given":"Zhiyong","non-dropping-particle":"","parse-names":false,"suffix":""},{"dropping-particle":"","family":"Hua","given":"Wei","non-dropping-particle":"","parse-names":false,"suffix":""},{"dropping-particle":"","family":"Xu","given":"Ming","non-dropping-particle":"","parse-names":false,"suffix":""},{"dropping-particle":"","family":"Zhong","given":"Ping","non-dropping-particle":"","parse-names":false,"suffix":""},{"dropping-particle":"","family":"Yu","given":"Shuangquan","non-dropping-particle":"","parse-names":false,"suffix":""},{"dropping-particle":"","family":"Chen","given":"Di","non-dropping-particle":"","parse-names":false,"suffix":""},{"dropping-particle":"","family":"Ding","given":"Xiaojie","non-dropping-particle":"","parse-names":false,"suffix":""},{"dropping-particle":"","family":"Zhang","given":"Yi","non-dropping-particle":"","parse-names":false,"suffix":""},{"dropping-particle":"","family":"Zheng","given":"Xiujuan","non-dropping-particle":"","parse-names":false,"suffix":""},{"dropping-particle":"","family":"Yang","given":"Jiao","non-dropping-particle":"","parse-names":false,"suffix":""},{"dropping-particle":"","family":"Qian","given":"Jiawen","non-dropping-particle":"","parse-names":false,"suffix":""},{"dropping-particle":"","family":"Deng","given":"Yuting","non-dropping-particle":"","parse-names":false,"suffix":""},{"dropping-particle":"","family":"Hoon","given":"Dave S.B.","non-dropping-particle":"","parse-names":false,"suffix":""},{"dropping-particle":"","family":"Hu","given":"Jian","non-dropping-particle":"","parse-names":false,"suffix":""},{"dropping-particle":"","family":"Chu","given":"Yiwei","non-dropping-particle":"","parse-names":false,"suffix":""},{"dropping-particle":"","family":"Zhou","given":"Liangfu","non-dropping-particle":"","parse-names":false,"suffix":""}],"container-title":"Cancer Immunology, Immunotherapy","id":"ITEM-1","issue":"11","issued":{"date-parts":[["2018"]]},"page":"1777-1788","publisher":"Springer Berlin Heidelberg","title":"Molecular subgroups and B7-H4 expression levels predict responses to dendritic cell vaccines in glioblastoma: an exploratory randomized phase II clinical trial","type":"article-journal","volume":"67"},"uris":["http://www.mendeley.com/documents/?uuid=42b8d716-6738-4101-af2a-c1a08f66e1b3"]}],"mendeley":{"formattedCitation":"[17]","plainTextFormattedCitation":"[17]","previouslyFormattedCitation":"[13]"},"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[17]</w:t>
            </w:r>
            <w:r>
              <w:rPr>
                <w:rFonts w:ascii="Arial" w:eastAsia="微软雅黑" w:hAnsi="Arial" w:cs="Times New Roman"/>
                <w:kern w:val="0"/>
                <w:sz w:val="18"/>
                <w:szCs w:val="18"/>
              </w:rPr>
              <w:fldChar w:fldCharType="end"/>
            </w:r>
          </w:p>
        </w:tc>
        <w:tc>
          <w:tcPr>
            <w:tcW w:w="1417" w:type="dxa"/>
            <w:shd w:val="clear" w:color="auto" w:fill="auto"/>
            <w:vAlign w:val="center"/>
          </w:tcPr>
          <w:p w:rsidR="00447B79" w:rsidRPr="00307965" w:rsidRDefault="00447B79" w:rsidP="00447B79">
            <w:pPr>
              <w:rPr>
                <w:rFonts w:ascii="Arial" w:hAnsi="Arial"/>
                <w:sz w:val="18"/>
                <w:szCs w:val="18"/>
              </w:rPr>
            </w:pPr>
            <w:r w:rsidRPr="00307965">
              <w:rPr>
                <w:rFonts w:ascii="Arial" w:hAnsi="Arial"/>
                <w:sz w:val="18"/>
                <w:szCs w:val="18"/>
              </w:rPr>
              <w:t>China</w:t>
            </w:r>
          </w:p>
        </w:tc>
        <w:tc>
          <w:tcPr>
            <w:tcW w:w="1843" w:type="dxa"/>
            <w:shd w:val="clear" w:color="auto" w:fill="auto"/>
            <w:vAlign w:val="center"/>
          </w:tcPr>
          <w:p w:rsidR="00447B79" w:rsidRPr="00307965" w:rsidRDefault="00447B79" w:rsidP="00447B79">
            <w:pPr>
              <w:rPr>
                <w:rFonts w:ascii="Arial" w:hAnsi="Arial"/>
                <w:sz w:val="18"/>
                <w:szCs w:val="18"/>
              </w:rPr>
            </w:pPr>
            <w:r>
              <w:rPr>
                <w:rFonts w:ascii="Arial" w:hAnsi="Arial" w:hint="eastAsia"/>
                <w:sz w:val="18"/>
                <w:szCs w:val="18"/>
              </w:rPr>
              <w:t>GBM</w:t>
            </w:r>
          </w:p>
        </w:tc>
        <w:tc>
          <w:tcPr>
            <w:tcW w:w="1559" w:type="dxa"/>
            <w:shd w:val="clear" w:color="auto" w:fill="auto"/>
            <w:vAlign w:val="center"/>
          </w:tcPr>
          <w:p w:rsidR="00447B79" w:rsidRPr="00307965" w:rsidRDefault="00447B79" w:rsidP="00447B79">
            <w:pPr>
              <w:rPr>
                <w:rFonts w:ascii="Arial" w:hAnsi="Arial"/>
                <w:sz w:val="18"/>
                <w:szCs w:val="18"/>
              </w:rPr>
            </w:pPr>
            <w:r>
              <w:rPr>
                <w:rFonts w:ascii="Arial" w:hAnsi="Arial" w:hint="eastAsia"/>
                <w:sz w:val="18"/>
                <w:szCs w:val="18"/>
              </w:rPr>
              <w:t>1</w:t>
            </w:r>
            <w:r>
              <w:rPr>
                <w:rFonts w:ascii="Arial" w:hAnsi="Arial"/>
                <w:sz w:val="18"/>
                <w:szCs w:val="18"/>
              </w:rPr>
              <w:t>4 months</w:t>
            </w:r>
          </w:p>
        </w:tc>
        <w:tc>
          <w:tcPr>
            <w:tcW w:w="1877" w:type="dxa"/>
            <w:shd w:val="clear" w:color="auto" w:fill="auto"/>
            <w:vAlign w:val="center"/>
          </w:tcPr>
          <w:p w:rsidR="00447B79" w:rsidRPr="00307965" w:rsidRDefault="00447B79" w:rsidP="00447B79">
            <w:pPr>
              <w:jc w:val="left"/>
              <w:rPr>
                <w:rFonts w:ascii="Arial" w:hAnsi="Arial"/>
                <w:sz w:val="18"/>
                <w:szCs w:val="18"/>
              </w:rPr>
            </w:pPr>
            <w:r>
              <w:rPr>
                <w:rFonts w:ascii="Arial" w:hAnsi="Arial"/>
                <w:sz w:val="18"/>
                <w:szCs w:val="18"/>
              </w:rPr>
              <w:t>54.8/42.8</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Annick 2018</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{"citationItems":[{"id":"ITEM-1","itemData":{"DOI":"10.1093/neuros/nyy400","ISBN":"1533-4406 (Electronic) 0028-4793 (Linking)","ISSN":"15244040","PMID":"29943666","abstract":"BACKGROUND The prognosis of patients with recurrent World Health Organization (WHO) grade IV malignant glioma is dismal, and there is currently no effective therapy. We conducted a dose-finding and toxicity study in this population of patients, evaluating convection- enhanced, intratumoral delivery of the recombinant nonpathogenic polio–rhinovi- rus chimera (PVSRIPO). PVSRIPO recognizes the poliovirus receptor CD155, which is widely expressed in neoplastic cells of solid tumors and in major components of the tumor microenvironment. METHODS We enrolled consecutive a</w:instrText>
            </w:r>
            <w:r>
              <w:rPr>
                <w:rFonts w:ascii="Arial" w:eastAsia="微软雅黑" w:hAnsi="Arial" w:cs="Times New Roman" w:hint="eastAsia"/>
                <w:kern w:val="0"/>
                <w:sz w:val="18"/>
                <w:szCs w:val="18"/>
              </w:rPr>
              <w:instrText xml:space="preserve">dult patients who had recurrent supratentorial WHO grade IV malignant glioma, confirmed on histopathological testing, with measurable dis- ease (contrast-enhancing tumor of </w:instrText>
            </w:r>
            <w:r>
              <w:rPr>
                <w:rFonts w:ascii="Arial" w:eastAsia="微软雅黑" w:hAnsi="Arial" w:cs="Times New Roman" w:hint="eastAsia"/>
                <w:kern w:val="0"/>
                <w:sz w:val="18"/>
                <w:szCs w:val="18"/>
              </w:rPr>
              <w:instrText>≥</w:instrText>
            </w:r>
            <w:r>
              <w:rPr>
                <w:rFonts w:ascii="Arial" w:eastAsia="微软雅黑" w:hAnsi="Arial" w:cs="Times New Roman" w:hint="eastAsia"/>
                <w:kern w:val="0"/>
                <w:sz w:val="18"/>
                <w:szCs w:val="18"/>
              </w:rPr>
              <w:instrText xml:space="preserve">1 cm and </w:instrText>
            </w:r>
            <w:r>
              <w:rPr>
                <w:rFonts w:ascii="Arial" w:eastAsia="微软雅黑" w:hAnsi="Arial" w:cs="Times New Roman" w:hint="eastAsia"/>
                <w:kern w:val="0"/>
                <w:sz w:val="18"/>
                <w:szCs w:val="18"/>
              </w:rPr>
              <w:instrText>≤</w:instrText>
            </w:r>
            <w:r>
              <w:rPr>
                <w:rFonts w:ascii="Arial" w:eastAsia="微软雅黑" w:hAnsi="Arial" w:cs="Times New Roman" w:hint="eastAsia"/>
                <w:kern w:val="0"/>
                <w:sz w:val="18"/>
                <w:szCs w:val="18"/>
              </w:rPr>
              <w:instrText>5.5 cm in the greatest dimension). The study evaluated seven doses, ran</w:instrText>
            </w:r>
            <w:r>
              <w:rPr>
                <w:rFonts w:ascii="Arial" w:eastAsia="微软雅黑" w:hAnsi="Arial" w:cs="Times New Roman"/>
                <w:kern w:val="0"/>
                <w:sz w:val="18"/>
                <w:szCs w:val="18"/>
              </w:rPr>
              <w:instrText>ging between 107 and 1010 50% tissue-culture infectious doses (TCID50 ), first in a dose-escalation phase and then in a dose-expan- sion phase. RESULTS From May 2012 through May 2017, a total of 61 patients were enrolled and re- ceived a dose of PVSRIPO. Dose level −1 (5.0×107 TCID50 ) was identified as the phase 2 dose. One dose-limiting toxic effect was observed; a patient in whom dose level 5 (1010 TCID50 ) was administered had a grade 4 intracranial hemorrhage immediately after the catheter was removed. To mitigate locoregional inflamma- tion of the infused tumor with prolonged glucocorticoid use, dose level 5 was de escalated to reach the phase 2 dose. In the dose-expansion phase, 19% of the patients had a PVSRIPO-related adverse event of grade 3 or higher. Overall survival among the patients who received PVSRIPO reached a plateau of 21% (95% confi- dence interval, 11 to 33) at 24 months that was sustained at 36 months. CONCLUSIONS Intratumoral infusion of PVSRIPO in patients with recurrent WHO grade IV malignant glioma confirmed the absence of neurovirulent potential. The survival rate among patients who received PVSRIPO immunotherapy was higher at 24 and 36 months than the rate among historical controls. (Funded by the Brain Tumor Research Char- ity","author":[{"dropping-particle":"","family":"Schneider","given":"Julia R.","non-dropping-particle":"","parse-names":false,"suffix":""},{"dropping-particle":"V.","family":"Patel","given":"Nitesh","non-dropping-particle":"","parse-names":false,"suffix":""},{"dropping-particle":"","family":"Kwan","given":"Kevin","non-dropping-particle":"","parse-names":false,"suffix":""},{"dropping-particle":"","family":"Boockvar","given":"John A.","non-dropping-particle":"","parse-names":false,"suffix":""}],"container-title":"Neurosurgery","id":"ITEM-1","issue":"5","issued":{"date-parts":[["2018"]]},"page":"E200","title":"Recurrent Glioblastoma Treated With Recombinant Poliovirus","type":"article-journal","volume":"83"},"uris":["http://www.mendeley.com/documents/?uuid=1782d5ad-b115-49f0-842e-5b779998d110"]}],"mendeley":{"formattedCitation":"[18]","plainTextFormattedCitation":"[18]","previouslyFormattedCitation":"[9]"},"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[18]</w:t>
            </w:r>
            <w:r>
              <w:rPr>
                <w:rFonts w:ascii="Arial" w:eastAsia="微软雅黑" w:hAnsi="Arial" w:cs="Times New Roman"/>
                <w:kern w:val="0"/>
                <w:sz w:val="18"/>
                <w:szCs w:val="18"/>
              </w:rPr>
              <w:fldChar w:fldCharType="end"/>
            </w:r>
          </w:p>
        </w:tc>
        <w:tc>
          <w:tcPr>
            <w:tcW w:w="1417" w:type="dxa"/>
            <w:shd w:val="clear" w:color="auto" w:fill="auto"/>
            <w:vAlign w:val="center"/>
          </w:tcPr>
          <w:p w:rsidR="00447B79" w:rsidRPr="00307965" w:rsidRDefault="00447B79" w:rsidP="00447B79">
            <w:pPr>
              <w:rPr>
                <w:rFonts w:ascii="Arial" w:hAnsi="Arial"/>
                <w:sz w:val="18"/>
                <w:szCs w:val="18"/>
              </w:rPr>
            </w:pPr>
            <w:r>
              <w:rPr>
                <w:rFonts w:ascii="Arial" w:hAnsi="Arial" w:hint="eastAsia"/>
                <w:sz w:val="18"/>
                <w:szCs w:val="18"/>
              </w:rPr>
              <w:t>USA</w:t>
            </w:r>
          </w:p>
        </w:tc>
        <w:tc>
          <w:tcPr>
            <w:tcW w:w="1843" w:type="dxa"/>
            <w:shd w:val="clear" w:color="auto" w:fill="auto"/>
            <w:vAlign w:val="center"/>
          </w:tcPr>
          <w:p w:rsidR="00447B79" w:rsidRPr="00307965" w:rsidRDefault="00447B79" w:rsidP="00447B79">
            <w:pPr>
              <w:rPr>
                <w:rFonts w:ascii="Arial" w:hAnsi="Arial"/>
                <w:sz w:val="18"/>
                <w:szCs w:val="18"/>
              </w:rPr>
            </w:pPr>
            <w:r>
              <w:rPr>
                <w:rFonts w:ascii="Arial" w:hAnsi="Arial"/>
                <w:sz w:val="18"/>
                <w:szCs w:val="18"/>
              </w:rPr>
              <w:t>GBM</w:t>
            </w:r>
          </w:p>
        </w:tc>
        <w:tc>
          <w:tcPr>
            <w:tcW w:w="1559" w:type="dxa"/>
            <w:shd w:val="clear" w:color="auto" w:fill="auto"/>
            <w:vAlign w:val="center"/>
          </w:tcPr>
          <w:p w:rsidR="00447B79" w:rsidRPr="00307965" w:rsidRDefault="00447B79" w:rsidP="00447B79">
            <w:pPr>
              <w:rPr>
                <w:rFonts w:ascii="Arial" w:hAnsi="Arial"/>
                <w:sz w:val="18"/>
                <w:szCs w:val="18"/>
              </w:rPr>
            </w:pPr>
            <w:r>
              <w:rPr>
                <w:rFonts w:ascii="Arial" w:hAnsi="Arial" w:hint="eastAsia"/>
                <w:sz w:val="18"/>
                <w:szCs w:val="18"/>
              </w:rPr>
              <w:t>2</w:t>
            </w:r>
            <w:r>
              <w:rPr>
                <w:rFonts w:ascii="Arial" w:hAnsi="Arial"/>
                <w:sz w:val="18"/>
                <w:szCs w:val="18"/>
              </w:rPr>
              <w:t>7.6 months</w:t>
            </w:r>
          </w:p>
        </w:tc>
        <w:tc>
          <w:tcPr>
            <w:tcW w:w="1877" w:type="dxa"/>
            <w:shd w:val="clear" w:color="auto" w:fill="auto"/>
            <w:vAlign w:val="center"/>
          </w:tcPr>
          <w:p w:rsidR="00447B79" w:rsidRPr="00307965" w:rsidRDefault="00447B79" w:rsidP="00447B79">
            <w:pPr>
              <w:jc w:val="left"/>
              <w:rPr>
                <w:rFonts w:ascii="Arial" w:hAnsi="Arial"/>
                <w:sz w:val="18"/>
                <w:szCs w:val="18"/>
              </w:rPr>
            </w:pPr>
            <w:r>
              <w:rPr>
                <w:rFonts w:ascii="Arial" w:hAnsi="Arial"/>
                <w:sz w:val="18"/>
                <w:szCs w:val="18"/>
              </w:rPr>
              <w:t>50/45.2</w:t>
            </w:r>
          </w:p>
        </w:tc>
      </w:tr>
      <w:tr w:rsidR="00447B79" w:rsidRPr="00307965" w:rsidTr="007745F1">
        <w:trPr>
          <w:trHeight w:val="439"/>
        </w:trPr>
        <w:tc>
          <w:tcPr>
            <w:tcW w:w="1668" w:type="dxa"/>
            <w:shd w:val="clear" w:color="auto" w:fill="auto"/>
            <w:vAlign w:val="bottom"/>
          </w:tcPr>
          <w:p w:rsidR="00447B79" w:rsidRDefault="00447B7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Rainov2000</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{"citationItems":[{"id":"ITEM-1","itemData":{"DOI":"10.1089/104303400750038499","ISBN":"1043-0342 (Print)\\r1043-0342 (Linking)","ISSN":"1043-0342","PMID":"11096443","abstract":"Previous uncontrolled clinical trials have shown the in vivo retrovirus (RV)-mediated transduction of glioblastoma cells with the herpes simplex virus thymidine kinase (HSV-tk) gene and subsequent systemic treatment with ganciclovir to be feasible and well tolerated. However, because of continued tumor progression in most patients, the antitumor effect could not be determined using historical controls. Here, we describe a phase III, multicenter, randomized, open-label, parallel-group, controlled trial of the technique in the treatment of 248 patients with newly diagnosed, previously untreated glioblastoma multiforme (GBM). Patients received, in equal numbers, either standard therapy (surgical resection and radiotherapy) or standard therapy plus adjuvant gene therapy during surgery. Progression-free median survival in the gene therapy group was 180 days compared with 183 days in control subjects. Median survival was 365 versus 354 days, and 12-month survival rates were 50 versus 55% in the gene therapy and...","author":[{"dropping-particle":"","family":"Rainov","given":"N. G.","non-dropping-particle":"","parse-names":false,"suffix":""}],"container-title":"Human Gene Therapy","id":"ITEM-1","issue":"17","issued":{"date-parts":[["2000"]]},"page":"2389-2401","title":"A Phase III Clinical Evaluation of Herpes Simplex Virus Type 1 Thymidine Kinase and Ganciclovir Gene Therapy as an Adjuvant to Surgical Resection and Radiation in Adults with Previously Untreated Glioblastoma Multiforme","type":"article-journal","volume":"11"},"uris":["http://www.mendeley.com/documents/?uuid=468a6652-79a7-4b2a-bd68-202977c3c557"]}],"mendeley":{"formattedCitation":"[29]","plainTextFormattedCitation":"[29]","previouslyFormattedCitation":"[25]"},"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[29]</w:t>
            </w:r>
            <w:r>
              <w:rPr>
                <w:rFonts w:ascii="Arial" w:eastAsia="微软雅黑" w:hAnsi="Arial" w:cs="Times New Roman"/>
                <w:kern w:val="0"/>
                <w:sz w:val="18"/>
                <w:szCs w:val="18"/>
              </w:rPr>
              <w:fldChar w:fldCharType="end"/>
            </w:r>
          </w:p>
        </w:tc>
        <w:tc>
          <w:tcPr>
            <w:tcW w:w="1417" w:type="dxa"/>
            <w:shd w:val="clear" w:color="auto" w:fill="auto"/>
            <w:vAlign w:val="center"/>
          </w:tcPr>
          <w:p w:rsidR="00447B79" w:rsidRDefault="00447B79" w:rsidP="00447B79">
            <w:pPr>
              <w:rPr>
                <w:rFonts w:ascii="Arial" w:hAnsi="Arial"/>
                <w:sz w:val="18"/>
                <w:szCs w:val="18"/>
              </w:rPr>
            </w:pPr>
            <w:r>
              <w:rPr>
                <w:rFonts w:ascii="Arial" w:hAnsi="Arial" w:hint="eastAsia"/>
                <w:sz w:val="18"/>
                <w:szCs w:val="18"/>
              </w:rPr>
              <w:t>USA</w:t>
            </w:r>
            <w:r>
              <w:rPr>
                <w:rFonts w:ascii="Arial" w:hAnsi="Arial"/>
                <w:sz w:val="18"/>
                <w:szCs w:val="18"/>
              </w:rPr>
              <w:t>&amp;</w:t>
            </w:r>
          </w:p>
          <w:p w:rsidR="00447B79" w:rsidRPr="00307965" w:rsidRDefault="00447B79" w:rsidP="00447B79">
            <w:pPr>
              <w:rPr>
                <w:rFonts w:ascii="Arial" w:hAnsi="Arial"/>
                <w:sz w:val="18"/>
                <w:szCs w:val="18"/>
              </w:rPr>
            </w:pPr>
            <w:r w:rsidRPr="00945D09">
              <w:rPr>
                <w:rFonts w:ascii="Arial" w:hAnsi="Arial"/>
                <w:sz w:val="18"/>
                <w:szCs w:val="18"/>
              </w:rPr>
              <w:t>Canada,</w:t>
            </w:r>
            <w:r>
              <w:rPr>
                <w:rFonts w:ascii="Arial" w:hAnsi="Arial"/>
                <w:sz w:val="18"/>
                <w:szCs w:val="18"/>
              </w:rPr>
              <w:t>&amp;</w:t>
            </w:r>
            <w:r w:rsidRPr="00945D09">
              <w:rPr>
                <w:rFonts w:ascii="Arial" w:hAnsi="Arial"/>
                <w:sz w:val="18"/>
                <w:szCs w:val="18"/>
              </w:rPr>
              <w:t>Europe</w:t>
            </w:r>
            <w:r>
              <w:rPr>
                <w:rFonts w:ascii="Arial" w:hAnsi="Arial"/>
                <w:sz w:val="18"/>
                <w:szCs w:val="18"/>
              </w:rPr>
              <w:t>&amp;</w:t>
            </w:r>
            <w:r w:rsidRPr="00945D09">
              <w:rPr>
                <w:rFonts w:ascii="Arial" w:hAnsi="Arial"/>
                <w:sz w:val="18"/>
                <w:szCs w:val="18"/>
              </w:rPr>
              <w:t xml:space="preserve"> Israel</w:t>
            </w:r>
          </w:p>
        </w:tc>
        <w:tc>
          <w:tcPr>
            <w:tcW w:w="1843" w:type="dxa"/>
            <w:shd w:val="clear" w:color="auto" w:fill="auto"/>
            <w:vAlign w:val="center"/>
          </w:tcPr>
          <w:p w:rsidR="00447B79" w:rsidRPr="006E0A87" w:rsidRDefault="00447B79" w:rsidP="00447B79">
            <w:pPr>
              <w:rPr>
                <w:rFonts w:ascii="Arial" w:hAnsi="Arial"/>
                <w:sz w:val="18"/>
                <w:szCs w:val="18"/>
              </w:rPr>
            </w:pPr>
            <w:r>
              <w:rPr>
                <w:rFonts w:ascii="Arial" w:hAnsi="Arial" w:hint="eastAsia"/>
                <w:sz w:val="18"/>
                <w:szCs w:val="18"/>
              </w:rPr>
              <w:t>GBM</w:t>
            </w:r>
          </w:p>
        </w:tc>
        <w:tc>
          <w:tcPr>
            <w:tcW w:w="1559" w:type="dxa"/>
            <w:shd w:val="clear" w:color="auto" w:fill="auto"/>
            <w:vAlign w:val="center"/>
          </w:tcPr>
          <w:p w:rsidR="00447B79" w:rsidRDefault="00447B79" w:rsidP="00447B79">
            <w:pPr>
              <w:rPr>
                <w:rFonts w:ascii="Arial" w:hAnsi="Arial"/>
                <w:sz w:val="18"/>
                <w:szCs w:val="18"/>
              </w:rPr>
            </w:pPr>
            <w:r>
              <w:rPr>
                <w:rFonts w:ascii="Arial" w:hAnsi="Arial"/>
                <w:sz w:val="18"/>
                <w:szCs w:val="18"/>
              </w:rPr>
              <w:t>21.6 months</w:t>
            </w:r>
          </w:p>
        </w:tc>
        <w:tc>
          <w:tcPr>
            <w:tcW w:w="1877" w:type="dxa"/>
            <w:shd w:val="clear" w:color="auto" w:fill="auto"/>
            <w:vAlign w:val="center"/>
          </w:tcPr>
          <w:p w:rsidR="00447B79" w:rsidRDefault="00447B79" w:rsidP="00447B79">
            <w:pPr>
              <w:jc w:val="left"/>
              <w:rPr>
                <w:rFonts w:ascii="Arial" w:hAnsi="Arial"/>
                <w:sz w:val="18"/>
                <w:szCs w:val="18"/>
              </w:rPr>
            </w:pPr>
            <w:r>
              <w:rPr>
                <w:rFonts w:ascii="Arial" w:hAnsi="Arial" w:hint="eastAsia"/>
                <w:sz w:val="18"/>
                <w:szCs w:val="18"/>
              </w:rPr>
              <w:t>5</w:t>
            </w:r>
            <w:r>
              <w:rPr>
                <w:rFonts w:ascii="Arial" w:hAnsi="Arial"/>
                <w:sz w:val="18"/>
                <w:szCs w:val="18"/>
              </w:rPr>
              <w:t>2.1/50.6</w:t>
            </w:r>
          </w:p>
        </w:tc>
      </w:tr>
      <w:tr w:rsidR="00447B79" w:rsidTr="007745F1">
        <w:trPr>
          <w:trHeight w:val="439"/>
        </w:trPr>
        <w:tc>
          <w:tcPr>
            <w:tcW w:w="1668" w:type="dxa"/>
            <w:tcBorders>
              <w:bottom w:val="single" w:sz="4" w:space="0" w:color="auto"/>
            </w:tcBorders>
            <w:shd w:val="clear" w:color="auto" w:fill="auto"/>
            <w:vAlign w:val="bottom"/>
          </w:tcPr>
          <w:p w:rsidR="00447B79" w:rsidRDefault="00447B79" w:rsidP="00447B79">
            <w:pPr>
              <w:widowControl/>
              <w:jc w:val="left"/>
              <w:rPr>
                <w:rFonts w:ascii="Arial" w:eastAsia="微软雅黑" w:hAnsi="Arial" w:cs="Times New Roman"/>
                <w:kern w:val="0"/>
                <w:sz w:val="18"/>
                <w:szCs w:val="18"/>
              </w:rPr>
            </w:pPr>
            <w:r>
              <w:rPr>
                <w:rFonts w:ascii="Arial" w:eastAsia="微软雅黑" w:hAnsi="Arial" w:cs="Times New Roman"/>
                <w:kern w:val="0"/>
                <w:sz w:val="18"/>
                <w:szCs w:val="18"/>
              </w:rPr>
              <w:t>Wick 2017</w:t>
            </w:r>
            <w:r>
              <w:rPr>
                <w:rFonts w:ascii="Arial" w:eastAsia="微软雅黑" w:hAnsi="Arial" w:cs="Times New Roman"/>
                <w:kern w:val="0"/>
                <w:sz w:val="18"/>
                <w:szCs w:val="18"/>
              </w:rPr>
              <w:fldChar w:fldCharType="begin" w:fldLock="1"/>
            </w:r>
            <w:r>
              <w:rPr>
                <w:rFonts w:ascii="Arial" w:eastAsia="微软雅黑" w:hAnsi="Arial" w:cs="Times New Roman"/>
                <w:kern w:val="0"/>
                <w:sz w:val="18"/>
                <w:szCs w:val="18"/>
              </w:rPr>
              <w:instrText>ADDIN CSL_CITATION {"citationItems":[{"id":"ITEM-1","itemData":{"DOI":"10.1056/NEJMoa1707358","ISBN":"2010023218","ISSN":"0028-4793","PMID":"29141164","abstract":"BACKGROUND Bevacizumab is approved for the treatment of patients with progressive glioblastoma on the basis of uncontrolled data. Data from a phase 2 trial suggested that the addition of bevacizumab to lomustine might improve overall survival as compared with monotherapies. We sought to determine whether the combination would result in longer overall survival than lomustine alone among patients at first progression of glioblastoma. METHODS We randomly assigned patients with progression after chemoradiation in a 2:1 ratio to receive lomustine plus bevacizumab (combination group, 288 patients) or lomustine alone (monotherapy group, 149 patients). The methylation status of the promoter of O6-methylguanine-DNA methyltransferase (MGMT) was assessed. Health-related quality of life and neurocognitive function were evaluated at baseline and every 12 weeks. The primary end point of the trial was overall survival. RESULTS A total of 437 patients underwent randomization. The median number of 6-week treatment cycles was three in the combination group and one in the monotherapy group. With 329 overall survival events (75.3%), the combination therapy did not provide a survival advantage; the median overall survival was 9.1 months (95% confidence interval [CI], 8.1 to 10.1) in the combination group and 8.6 months (95% CI, 7.6 to 10.4) in the monotherapy group (hazard ratio for death, 0.95; 95% CI, 0.74 to 1.21; P=0.65). Locally assessed progression-free survival was 2.7 months longer in the combination group than in the monotherapy group: 4.2 months versus 1.5 months (hazard ratio for disease progression or death, 0.49; 95% CI, 0.39 to 0.61; P&lt;0.001). Grade 3 to 5 adverse events occurred in 63.6% of the patients in the combination group and 38.1% of the patients in the monotherapy group. The addition of bevacizumab to lomustine affected neither health-related quality of life nor neurocognitive function. The MGMT status was prognostic. CONCLUSIONS Despite somewhat prolonged progression-free survival, treatment with lomustine plus bevacizumab did not confer a survival advantage over treatment with lomustine alone in patients with progressive glioblastoma. (Funded by an unrestricted educational grant from F. Hoffmann-La Roche and by the EORTC Cancer Research Fund; EORTC 26101 ClinicalTrials.gov number, NCT01290939 ; Eudra-CT number, 2010-023218-30 .).","author":[{"dropping-particle":"","family":"Wick","given":"Wolfgang","non-dropping-particle":"","parse-names":false,"suffix":""},{"dropping-particle":"","family":"Gorlia","given":"Thierry","non-dropping-particle":"","parse-names":false,"suffix":""},{"dropping-particle":"","family":"Bendszus","given":"Martin","non-dropping-particle":"","parse-names":false,"suffix":""},{"dropping-particle":"","family":"Taphoorn","given":"Martin","non-dropping-particle":"","parse-names":false,"suffix":""},{"dropping-particle":"","family":"Sahm","given":"Felix","non-dropping-particle":"","parse-names":false,"suffix":""},{"dropping-particle":"","family":"Harting","given":"Inga","non-dropping-particle":"","parse-names":false,"suffix":""},{"dropping-particle":"","family":"Brandes","given":"Alba A.","non-dropping-particle":"","parse-names":false,"suffix":""},{"dropping-particle":"","family":"Taal","given":"Walter","non-dropping-particle":"","parse-names":false,"suffix":""},{"dropping-particle":"","family":"Domont","given":"Julien","non-dropping-particle":"","parse-names":false,"suffix":""},{"dropping-particle":"","family":"Idbaih","given":"Ahmed","non-dropping-particle":"","parse-names":false,"suffix":""},{"dropping-particle":"","family":"Campone","given":"Mario","non-dropping-particle":"","parse-names":false,"suffix":""},{"dropping-particle":"","family":"Clement","given":"Paul M.","non-dropping-particle":"","parse-names":false,"suffix":""},{"dropping-particle":"","family":"Stupp","given":"Roger","non-dropping-particle":"","parse-names":false,"suffix":""},{"dropping-particle":"","family":"Fabbro","given":"Michel","non-dropping-particle":"","parse-names":false,"suffix":""},{"dropping-particle":"","family":"Rhun","given":"Emilie","non-dropping-particle":"Le","parse-names":false,"suffix":""},{"dropping-particle":"","family":"Dubois","given":"Francois","non-dropping-particle":"","parse-names":false,"suffix":""},{"dropping-particle":"","family":"Weller","given":"Michael","non-dropping-particle":"","parse-names":false,"suffix":""},{"dropping-particle":"","family":"Deimling","given":"Andreas","non-dropping-particle":"von","parse-names":false,"suffix":""},{"dropping-particle":"","family":"Golfinopoulos","given":"Vassilis","non-dropping-particle":"","parse-names":false,"suffix":""},{"dropping-particle":"","family":"Bromberg","given":"Jacoline C.","non-dropping-particle":"","parse-names":false,"suffix":""},{"dropping-particle":"","family":"Platten","given":"Michael","non-dropping-particle":"","parse-names":false,"suffix":""},{"dropping-particle":"","family":"Klein","given":"Martin","non-dropping-particle":"","parse-names":false,"suffix":""},{"dropping-particle":"","family":"Bent","given":"Martin J.","non-dropping-particle":"van den","parse-names":false,"suffix":""}],"container-title":"New England Journal of Medicine","id":"ITEM-1","issue":"20","issued":{"date-parts":[["2017"]]},"page":"1954-1963","title":"Lomustine and Bevacizumab in Progressive Glioblastoma","type":"article-journal","volume":"377"},"uris":["http://www.mendeley.com/documents/?uuid=fa18fc72-8a7c-41bc-a951-dcd75dbae9cf"]}],"mendeley":{"formattedCitation":"[19]","plainTextFormattedCitation":"[19]","previouslyFormattedCitation":"[14]"},"properties":{"noteIndex":0},"schema":"https://github.com/citation-style-language/schema/raw/master/csl-citation.json"}</w:instrText>
            </w:r>
            <w:r>
              <w:rPr>
                <w:rFonts w:ascii="Arial" w:eastAsia="微软雅黑" w:hAnsi="Arial" w:cs="Times New Roman"/>
                <w:kern w:val="0"/>
                <w:sz w:val="18"/>
                <w:szCs w:val="18"/>
              </w:rPr>
              <w:fldChar w:fldCharType="separate"/>
            </w:r>
            <w:r w:rsidRPr="00B261A6">
              <w:rPr>
                <w:rFonts w:ascii="Arial" w:eastAsia="微软雅黑" w:hAnsi="Arial" w:cs="Times New Roman"/>
                <w:noProof/>
                <w:kern w:val="0"/>
                <w:sz w:val="18"/>
                <w:szCs w:val="18"/>
              </w:rPr>
              <w:t>[19]</w:t>
            </w:r>
            <w:r>
              <w:rPr>
                <w:rFonts w:ascii="Arial" w:eastAsia="微软雅黑" w:hAnsi="Arial" w:cs="Times New Roman"/>
                <w:kern w:val="0"/>
                <w:sz w:val="18"/>
                <w:szCs w:val="18"/>
              </w:rPr>
              <w:fldChar w:fldCharType="end"/>
            </w:r>
          </w:p>
        </w:tc>
        <w:tc>
          <w:tcPr>
            <w:tcW w:w="1417" w:type="dxa"/>
            <w:tcBorders>
              <w:bottom w:val="single" w:sz="4" w:space="0" w:color="auto"/>
            </w:tcBorders>
            <w:shd w:val="clear" w:color="auto" w:fill="auto"/>
            <w:vAlign w:val="center"/>
          </w:tcPr>
          <w:p w:rsidR="00447B79" w:rsidRDefault="00447B79" w:rsidP="00447B79">
            <w:pPr>
              <w:rPr>
                <w:rFonts w:ascii="Arial" w:hAnsi="Arial"/>
                <w:sz w:val="18"/>
                <w:szCs w:val="18"/>
              </w:rPr>
            </w:pPr>
            <w:r>
              <w:rPr>
                <w:rFonts w:ascii="Arial" w:hAnsi="Arial"/>
                <w:sz w:val="18"/>
                <w:szCs w:val="18"/>
              </w:rPr>
              <w:t>Germany &amp;Europe</w:t>
            </w:r>
          </w:p>
        </w:tc>
        <w:tc>
          <w:tcPr>
            <w:tcW w:w="1843" w:type="dxa"/>
            <w:tcBorders>
              <w:bottom w:val="single" w:sz="4" w:space="0" w:color="auto"/>
            </w:tcBorders>
            <w:shd w:val="clear" w:color="auto" w:fill="auto"/>
            <w:vAlign w:val="center"/>
          </w:tcPr>
          <w:p w:rsidR="00447B79" w:rsidRDefault="00447B79" w:rsidP="00447B79">
            <w:pPr>
              <w:rPr>
                <w:rFonts w:ascii="Arial" w:hAnsi="Arial"/>
                <w:sz w:val="18"/>
                <w:szCs w:val="18"/>
              </w:rPr>
            </w:pPr>
            <w:r>
              <w:rPr>
                <w:rFonts w:ascii="Arial" w:hAnsi="Arial"/>
                <w:sz w:val="18"/>
                <w:szCs w:val="18"/>
              </w:rPr>
              <w:t>GBM</w:t>
            </w:r>
          </w:p>
        </w:tc>
        <w:tc>
          <w:tcPr>
            <w:tcW w:w="1559" w:type="dxa"/>
            <w:tcBorders>
              <w:bottom w:val="single" w:sz="4" w:space="0" w:color="auto"/>
            </w:tcBorders>
            <w:shd w:val="clear" w:color="auto" w:fill="auto"/>
            <w:vAlign w:val="center"/>
          </w:tcPr>
          <w:p w:rsidR="00447B79" w:rsidRDefault="00447B79" w:rsidP="00447B79">
            <w:pPr>
              <w:rPr>
                <w:rFonts w:ascii="Arial" w:hAnsi="Arial"/>
                <w:sz w:val="18"/>
                <w:szCs w:val="18"/>
              </w:rPr>
            </w:pPr>
            <w:r>
              <w:rPr>
                <w:rFonts w:ascii="Arial" w:hAnsi="Arial"/>
                <w:sz w:val="18"/>
                <w:szCs w:val="18"/>
              </w:rPr>
              <w:t>37 months</w:t>
            </w:r>
          </w:p>
        </w:tc>
        <w:tc>
          <w:tcPr>
            <w:tcW w:w="1877" w:type="dxa"/>
            <w:tcBorders>
              <w:bottom w:val="single" w:sz="4" w:space="0" w:color="auto"/>
            </w:tcBorders>
            <w:shd w:val="clear" w:color="auto" w:fill="auto"/>
            <w:vAlign w:val="center"/>
          </w:tcPr>
          <w:p w:rsidR="00447B79" w:rsidRDefault="00447B79" w:rsidP="00447B79">
            <w:pPr>
              <w:jc w:val="left"/>
              <w:rPr>
                <w:rFonts w:ascii="Arial" w:hAnsi="Arial"/>
                <w:sz w:val="18"/>
                <w:szCs w:val="18"/>
              </w:rPr>
            </w:pPr>
            <w:r>
              <w:rPr>
                <w:rFonts w:ascii="Arial" w:hAnsi="Arial"/>
                <w:sz w:val="18"/>
                <w:szCs w:val="18"/>
              </w:rPr>
              <w:t>39/36.9</w:t>
            </w:r>
          </w:p>
        </w:tc>
      </w:tr>
    </w:tbl>
    <w:p w:rsidR="000609B0" w:rsidRDefault="000609B0" w:rsidP="000609B0">
      <w:pPr>
        <w:widowControl/>
        <w:jc w:val="left"/>
        <w:rPr>
          <w:rFonts w:ascii="Arial" w:hAnsi="Arial"/>
          <w:sz w:val="18"/>
          <w:szCs w:val="18"/>
        </w:rPr>
      </w:pPr>
      <w:r>
        <w:rPr>
          <w:rFonts w:ascii="Arial" w:hAnsi="Arial" w:hint="eastAsia"/>
          <w:sz w:val="18"/>
          <w:szCs w:val="18"/>
        </w:rPr>
        <w:t>a:</w:t>
      </w:r>
      <w:r>
        <w:rPr>
          <w:rFonts w:ascii="Arial" w:hAnsi="Arial"/>
          <w:sz w:val="18"/>
          <w:szCs w:val="18"/>
        </w:rPr>
        <w:t xml:space="preserve"> E, experimental group; C, control group</w:t>
      </w:r>
    </w:p>
    <w:p w:rsidR="000609B0" w:rsidRPr="00F603EF" w:rsidRDefault="000609B0" w:rsidP="000609B0">
      <w:pPr>
        <w:widowControl/>
        <w:jc w:val="left"/>
        <w:rPr>
          <w:rFonts w:ascii="Arial" w:hAnsi="Arial"/>
          <w:sz w:val="18"/>
          <w:szCs w:val="18"/>
        </w:rPr>
      </w:pPr>
      <w:r>
        <w:rPr>
          <w:rFonts w:ascii="Arial" w:hAnsi="Arial"/>
          <w:sz w:val="18"/>
          <w:szCs w:val="18"/>
        </w:rPr>
        <w:t xml:space="preserve">b: </w:t>
      </w:r>
      <w:r w:rsidRPr="00532FD9">
        <w:rPr>
          <w:rFonts w:ascii="Arial" w:hAnsi="Arial"/>
          <w:sz w:val="18"/>
          <w:szCs w:val="18"/>
        </w:rPr>
        <w:t>Dendritic cell vaccine</w:t>
      </w:r>
    </w:p>
    <w:p w:rsidR="000609B0" w:rsidRDefault="000609B0" w:rsidP="000609B0">
      <w:pPr>
        <w:widowControl/>
        <w:jc w:val="left"/>
        <w:rPr>
          <w:rFonts w:ascii="Arial" w:hAnsi="Arial"/>
          <w:b/>
        </w:rPr>
      </w:pPr>
      <w:r>
        <w:rPr>
          <w:rFonts w:ascii="Arial" w:hAnsi="Arial"/>
          <w:sz w:val="18"/>
          <w:szCs w:val="18"/>
        </w:rPr>
        <w:t>c:</w:t>
      </w:r>
      <w:r w:rsidRPr="005E68AE">
        <w:t xml:space="preserve"> </w:t>
      </w:r>
      <w:r w:rsidRPr="005E68AE">
        <w:rPr>
          <w:rFonts w:ascii="Arial" w:hAnsi="Arial"/>
          <w:sz w:val="18"/>
          <w:szCs w:val="18"/>
        </w:rPr>
        <w:t>PVSRIPO</w:t>
      </w:r>
      <w:r>
        <w:rPr>
          <w:rFonts w:ascii="Arial" w:hAnsi="Arial"/>
          <w:sz w:val="18"/>
          <w:szCs w:val="18"/>
        </w:rPr>
        <w:t xml:space="preserve">, </w:t>
      </w:r>
      <w:r w:rsidRPr="005E68AE">
        <w:rPr>
          <w:rFonts w:ascii="Arial" w:hAnsi="Arial"/>
          <w:sz w:val="18"/>
          <w:szCs w:val="18"/>
        </w:rPr>
        <w:t>recombinant nonpathogenic polio–rhinovirus chimera</w:t>
      </w:r>
    </w:p>
    <w:p w:rsidR="00F22633" w:rsidRPr="000609B0" w:rsidRDefault="00F22633">
      <w:pPr>
        <w:rPr>
          <w:rFonts w:ascii="Arial" w:hAnsi="Arial" w:cs="Arial"/>
        </w:rPr>
        <w:sectPr w:rsidR="00F22633" w:rsidRPr="000609B0" w:rsidSect="001E4849">
          <w:pgSz w:w="11906" w:h="16838"/>
          <w:pgMar w:top="1440" w:right="1800" w:bottom="1440" w:left="1800" w:header="851" w:footer="992" w:gutter="0"/>
          <w:cols w:space="425"/>
          <w:docGrid w:type="lines" w:linePitch="312"/>
        </w:sectPr>
      </w:pPr>
    </w:p>
    <w:p w:rsidR="007745F1" w:rsidRDefault="007745F1" w:rsidP="007745F1">
      <w:pPr>
        <w:pStyle w:val="Arial"/>
        <w:jc w:val="center"/>
        <w:rPr>
          <w:sz w:val="24"/>
          <w:szCs w:val="24"/>
        </w:rPr>
      </w:pPr>
      <w:r w:rsidRPr="0009656D">
        <w:rPr>
          <w:sz w:val="24"/>
          <w:szCs w:val="24"/>
        </w:rPr>
        <w:lastRenderedPageBreak/>
        <w:t xml:space="preserve">Supplementary Table </w:t>
      </w:r>
      <w:r w:rsidR="001C2FB4">
        <w:rPr>
          <w:sz w:val="24"/>
          <w:szCs w:val="24"/>
        </w:rPr>
        <w:t>4</w:t>
      </w:r>
      <w:r>
        <w:rPr>
          <w:sz w:val="24"/>
          <w:szCs w:val="24"/>
        </w:rPr>
        <w:t>. Meta-</w:t>
      </w:r>
      <w:r w:rsidRPr="0009656D">
        <w:rPr>
          <w:sz w:val="24"/>
          <w:szCs w:val="24"/>
        </w:rPr>
        <w:t>regression according 6 categories</w:t>
      </w:r>
    </w:p>
    <w:tbl>
      <w:tblPr>
        <w:tblW w:w="0" w:type="auto"/>
        <w:tblBorders>
          <w:top w:val="single" w:sz="4" w:space="0" w:color="auto"/>
          <w:bottom w:val="single" w:sz="4" w:space="0" w:color="auto"/>
        </w:tblBorders>
        <w:tblLook w:val="04A0" w:firstRow="1" w:lastRow="0" w:firstColumn="1" w:lastColumn="0" w:noHBand="0" w:noVBand="1"/>
      </w:tblPr>
      <w:tblGrid>
        <w:gridCol w:w="5072"/>
        <w:gridCol w:w="3234"/>
      </w:tblGrid>
      <w:tr w:rsidR="007745F1" w:rsidRPr="006D5E55" w:rsidTr="006F3374">
        <w:tc>
          <w:tcPr>
            <w:tcW w:w="5211" w:type="dxa"/>
            <w:tcBorders>
              <w:top w:val="single" w:sz="4" w:space="0" w:color="auto"/>
              <w:bottom w:val="nil"/>
              <w:right w:val="single" w:sz="4" w:space="0" w:color="auto"/>
            </w:tcBorders>
            <w:shd w:val="clear" w:color="auto" w:fill="BFBFBF"/>
            <w:vAlign w:val="bottom"/>
          </w:tcPr>
          <w:p w:rsidR="007745F1" w:rsidRPr="00BC4799" w:rsidRDefault="007745F1" w:rsidP="006F3374">
            <w:pPr>
              <w:widowControl/>
              <w:jc w:val="left"/>
              <w:rPr>
                <w:rFonts w:ascii="Arial" w:eastAsia="等线" w:hAnsi="Arial"/>
                <w:color w:val="000000"/>
                <w:kern w:val="0"/>
                <w:sz w:val="18"/>
                <w:szCs w:val="18"/>
              </w:rPr>
            </w:pPr>
            <w:r w:rsidRPr="00BC4799">
              <w:rPr>
                <w:rFonts w:ascii="Arial" w:eastAsia="等线" w:hAnsi="Arial"/>
                <w:color w:val="000000"/>
                <w:sz w:val="18"/>
                <w:szCs w:val="18"/>
              </w:rPr>
              <w:t>Meta-regression</w:t>
            </w:r>
          </w:p>
        </w:tc>
        <w:tc>
          <w:tcPr>
            <w:tcW w:w="3311" w:type="dxa"/>
            <w:tcBorders>
              <w:left w:val="single" w:sz="4" w:space="0" w:color="auto"/>
            </w:tcBorders>
            <w:shd w:val="clear" w:color="auto" w:fill="auto"/>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Number of obs =19</w:t>
            </w:r>
          </w:p>
        </w:tc>
      </w:tr>
      <w:tr w:rsidR="007745F1" w:rsidRPr="006D5E55" w:rsidTr="006F3374">
        <w:tc>
          <w:tcPr>
            <w:tcW w:w="5211" w:type="dxa"/>
            <w:tcBorders>
              <w:top w:val="nil"/>
              <w:bottom w:val="nil"/>
              <w:right w:val="single" w:sz="4" w:space="0" w:color="auto"/>
            </w:tcBorders>
            <w:shd w:val="clear" w:color="auto" w:fill="BFBFBF"/>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REML estimate of between-study variance</w:t>
            </w:r>
          </w:p>
        </w:tc>
        <w:tc>
          <w:tcPr>
            <w:tcW w:w="3311" w:type="dxa"/>
            <w:tcBorders>
              <w:left w:val="single" w:sz="4" w:space="0" w:color="auto"/>
            </w:tcBorders>
            <w:shd w:val="clear" w:color="auto" w:fill="auto"/>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tau</w:t>
            </w:r>
            <w:r w:rsidRPr="00BC4799">
              <w:rPr>
                <w:rFonts w:ascii="Arial" w:eastAsia="等线" w:hAnsi="Arial"/>
                <w:color w:val="000000"/>
                <w:sz w:val="18"/>
                <w:szCs w:val="18"/>
                <w:vertAlign w:val="superscript"/>
              </w:rPr>
              <w:t>2</w:t>
            </w:r>
            <w:r w:rsidRPr="00BC4799">
              <w:rPr>
                <w:rFonts w:ascii="Arial" w:eastAsia="等线" w:hAnsi="Arial"/>
                <w:color w:val="000000"/>
                <w:sz w:val="18"/>
                <w:szCs w:val="18"/>
              </w:rPr>
              <w:t xml:space="preserve"> =0.02135</w:t>
            </w:r>
          </w:p>
        </w:tc>
      </w:tr>
      <w:tr w:rsidR="007745F1" w:rsidRPr="006D5E55" w:rsidTr="006F3374">
        <w:tc>
          <w:tcPr>
            <w:tcW w:w="5211" w:type="dxa"/>
            <w:tcBorders>
              <w:top w:val="nil"/>
              <w:bottom w:val="nil"/>
              <w:right w:val="single" w:sz="4" w:space="0" w:color="auto"/>
            </w:tcBorders>
            <w:shd w:val="clear" w:color="auto" w:fill="BFBFBF"/>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residual variation due to heterogeneity%</w:t>
            </w:r>
          </w:p>
        </w:tc>
        <w:tc>
          <w:tcPr>
            <w:tcW w:w="3311" w:type="dxa"/>
            <w:tcBorders>
              <w:left w:val="single" w:sz="4" w:space="0" w:color="auto"/>
            </w:tcBorders>
            <w:shd w:val="clear" w:color="auto" w:fill="auto"/>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I-squared_res =3.34%</w:t>
            </w:r>
          </w:p>
        </w:tc>
      </w:tr>
      <w:tr w:rsidR="007745F1" w:rsidRPr="006D5E55" w:rsidTr="006F3374">
        <w:tc>
          <w:tcPr>
            <w:tcW w:w="5211" w:type="dxa"/>
            <w:tcBorders>
              <w:top w:val="nil"/>
              <w:bottom w:val="nil"/>
              <w:right w:val="single" w:sz="4" w:space="0" w:color="auto"/>
            </w:tcBorders>
            <w:shd w:val="clear" w:color="auto" w:fill="BFBFBF"/>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Proportion of between-study variance explained</w:t>
            </w:r>
          </w:p>
        </w:tc>
        <w:tc>
          <w:tcPr>
            <w:tcW w:w="3311" w:type="dxa"/>
            <w:tcBorders>
              <w:left w:val="single" w:sz="4" w:space="0" w:color="auto"/>
            </w:tcBorders>
            <w:shd w:val="clear" w:color="auto" w:fill="auto"/>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Adj R-squared =62.32%</w:t>
            </w:r>
          </w:p>
        </w:tc>
      </w:tr>
      <w:tr w:rsidR="007745F1" w:rsidRPr="006D5E55" w:rsidTr="006F3374">
        <w:tc>
          <w:tcPr>
            <w:tcW w:w="5211" w:type="dxa"/>
            <w:tcBorders>
              <w:top w:val="nil"/>
              <w:bottom w:val="nil"/>
              <w:right w:val="single" w:sz="4" w:space="0" w:color="auto"/>
            </w:tcBorders>
            <w:shd w:val="clear" w:color="auto" w:fill="BFBFBF"/>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Joint test for all covariates</w:t>
            </w:r>
          </w:p>
        </w:tc>
        <w:tc>
          <w:tcPr>
            <w:tcW w:w="3311" w:type="dxa"/>
            <w:tcBorders>
              <w:left w:val="single" w:sz="4" w:space="0" w:color="auto"/>
            </w:tcBorders>
            <w:shd w:val="clear" w:color="auto" w:fill="auto"/>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Model F(7,11) =2.22</w:t>
            </w:r>
          </w:p>
        </w:tc>
      </w:tr>
      <w:tr w:rsidR="007745F1" w:rsidRPr="006D5E55" w:rsidTr="006F3374">
        <w:tc>
          <w:tcPr>
            <w:tcW w:w="5211" w:type="dxa"/>
            <w:tcBorders>
              <w:top w:val="nil"/>
              <w:bottom w:val="single" w:sz="4" w:space="0" w:color="auto"/>
              <w:right w:val="single" w:sz="4" w:space="0" w:color="auto"/>
            </w:tcBorders>
            <w:shd w:val="clear" w:color="auto" w:fill="BFBFBF"/>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With Knapp-Hartung modification</w:t>
            </w:r>
          </w:p>
        </w:tc>
        <w:tc>
          <w:tcPr>
            <w:tcW w:w="3311" w:type="dxa"/>
            <w:tcBorders>
              <w:left w:val="single" w:sz="4" w:space="0" w:color="auto"/>
            </w:tcBorders>
            <w:shd w:val="clear" w:color="auto" w:fill="auto"/>
            <w:vAlign w:val="bottom"/>
          </w:tcPr>
          <w:p w:rsidR="007745F1" w:rsidRPr="00BC4799" w:rsidRDefault="007745F1" w:rsidP="006F3374">
            <w:pPr>
              <w:rPr>
                <w:rFonts w:ascii="Arial" w:eastAsia="等线" w:hAnsi="Arial"/>
                <w:color w:val="000000"/>
                <w:sz w:val="18"/>
                <w:szCs w:val="18"/>
              </w:rPr>
            </w:pPr>
            <w:r w:rsidRPr="00BC4799">
              <w:rPr>
                <w:rFonts w:ascii="Arial" w:eastAsia="等线" w:hAnsi="Arial"/>
                <w:color w:val="000000"/>
                <w:sz w:val="18"/>
                <w:szCs w:val="18"/>
              </w:rPr>
              <w:t>Prob &gt; F =0.1139</w:t>
            </w:r>
          </w:p>
        </w:tc>
      </w:tr>
    </w:tbl>
    <w:p w:rsidR="007745F1" w:rsidRPr="000715B6" w:rsidRDefault="007745F1" w:rsidP="007745F1">
      <w:pPr>
        <w:widowControl/>
        <w:jc w:val="left"/>
      </w:pPr>
    </w:p>
    <w:tbl>
      <w:tblPr>
        <w:tblW w:w="8625" w:type="dxa"/>
        <w:tblBorders>
          <w:top w:val="single" w:sz="4" w:space="0" w:color="auto"/>
          <w:bottom w:val="single" w:sz="4" w:space="0" w:color="auto"/>
        </w:tblBorders>
        <w:tblLook w:val="04A0" w:firstRow="1" w:lastRow="0" w:firstColumn="1" w:lastColumn="0" w:noHBand="0" w:noVBand="1"/>
      </w:tblPr>
      <w:tblGrid>
        <w:gridCol w:w="1809"/>
        <w:gridCol w:w="1435"/>
        <w:gridCol w:w="1247"/>
        <w:gridCol w:w="720"/>
        <w:gridCol w:w="851"/>
        <w:gridCol w:w="1496"/>
        <w:gridCol w:w="1067"/>
      </w:tblGrid>
      <w:tr w:rsidR="007745F1" w:rsidRPr="00C50EAD" w:rsidTr="006F3374">
        <w:trPr>
          <w:trHeight w:val="285"/>
        </w:trPr>
        <w:tc>
          <w:tcPr>
            <w:tcW w:w="1809" w:type="dxa"/>
            <w:tcBorders>
              <w:top w:val="single" w:sz="4" w:space="0" w:color="auto"/>
              <w:bottom w:val="single" w:sz="4" w:space="0" w:color="auto"/>
            </w:tcBorders>
            <w:shd w:val="clear" w:color="auto" w:fill="BFBFBF"/>
            <w:noWrap/>
            <w:vAlign w:val="bottom"/>
            <w:hideMark/>
          </w:tcPr>
          <w:p w:rsidR="007745F1" w:rsidRPr="00C50EAD" w:rsidRDefault="007745F1" w:rsidP="006F3374">
            <w:pPr>
              <w:widowControl/>
              <w:jc w:val="left"/>
              <w:rPr>
                <w:rFonts w:ascii="Arial" w:eastAsia="等线" w:hAnsi="Arial"/>
                <w:b/>
                <w:color w:val="000000"/>
                <w:kern w:val="0"/>
                <w:sz w:val="18"/>
                <w:szCs w:val="18"/>
              </w:rPr>
            </w:pPr>
            <w:r w:rsidRPr="00C50EAD">
              <w:rPr>
                <w:rFonts w:ascii="Arial" w:eastAsia="等线" w:hAnsi="Arial"/>
                <w:b/>
                <w:color w:val="000000"/>
                <w:kern w:val="0"/>
                <w:sz w:val="18"/>
                <w:szCs w:val="18"/>
              </w:rPr>
              <w:t>Variables</w:t>
            </w:r>
          </w:p>
        </w:tc>
        <w:tc>
          <w:tcPr>
            <w:tcW w:w="1435" w:type="dxa"/>
            <w:tcBorders>
              <w:top w:val="single" w:sz="4" w:space="0" w:color="auto"/>
              <w:bottom w:val="single" w:sz="4" w:space="0" w:color="auto"/>
            </w:tcBorders>
            <w:shd w:val="clear" w:color="auto" w:fill="BFBFBF"/>
            <w:noWrap/>
            <w:vAlign w:val="bottom"/>
            <w:hideMark/>
          </w:tcPr>
          <w:p w:rsidR="007745F1" w:rsidRPr="00C50EAD" w:rsidRDefault="007745F1" w:rsidP="006F3374">
            <w:pPr>
              <w:widowControl/>
              <w:jc w:val="left"/>
              <w:rPr>
                <w:rFonts w:ascii="Arial" w:eastAsia="等线" w:hAnsi="Arial"/>
                <w:b/>
                <w:color w:val="000000"/>
                <w:kern w:val="0"/>
                <w:sz w:val="18"/>
                <w:szCs w:val="18"/>
              </w:rPr>
            </w:pPr>
            <w:r w:rsidRPr="00C50EAD">
              <w:rPr>
                <w:rFonts w:ascii="Arial" w:eastAsia="等线" w:hAnsi="Arial"/>
                <w:b/>
                <w:color w:val="000000"/>
                <w:kern w:val="0"/>
                <w:sz w:val="18"/>
                <w:szCs w:val="18"/>
              </w:rPr>
              <w:t>Coefficient</w:t>
            </w:r>
          </w:p>
        </w:tc>
        <w:tc>
          <w:tcPr>
            <w:tcW w:w="1247" w:type="dxa"/>
            <w:tcBorders>
              <w:top w:val="single" w:sz="4" w:space="0" w:color="auto"/>
              <w:bottom w:val="single" w:sz="4" w:space="0" w:color="auto"/>
            </w:tcBorders>
            <w:shd w:val="clear" w:color="auto" w:fill="BFBFBF"/>
            <w:noWrap/>
            <w:vAlign w:val="bottom"/>
            <w:hideMark/>
          </w:tcPr>
          <w:p w:rsidR="007745F1" w:rsidRPr="00C50EAD" w:rsidRDefault="007745F1" w:rsidP="006F3374">
            <w:pPr>
              <w:widowControl/>
              <w:jc w:val="left"/>
              <w:rPr>
                <w:rFonts w:ascii="Arial" w:eastAsia="等线" w:hAnsi="Arial"/>
                <w:b/>
                <w:color w:val="000000"/>
                <w:kern w:val="0"/>
                <w:sz w:val="18"/>
                <w:szCs w:val="18"/>
              </w:rPr>
            </w:pPr>
            <w:r w:rsidRPr="00C50EAD">
              <w:rPr>
                <w:rFonts w:ascii="Arial" w:eastAsia="等线" w:hAnsi="Arial"/>
                <w:b/>
                <w:color w:val="000000"/>
                <w:kern w:val="0"/>
                <w:sz w:val="18"/>
                <w:szCs w:val="18"/>
              </w:rPr>
              <w:t>SE</w:t>
            </w:r>
          </w:p>
        </w:tc>
        <w:tc>
          <w:tcPr>
            <w:tcW w:w="720" w:type="dxa"/>
            <w:tcBorders>
              <w:top w:val="single" w:sz="4" w:space="0" w:color="auto"/>
              <w:bottom w:val="single" w:sz="4" w:space="0" w:color="auto"/>
            </w:tcBorders>
            <w:shd w:val="clear" w:color="auto" w:fill="BFBFBF"/>
            <w:noWrap/>
            <w:vAlign w:val="bottom"/>
            <w:hideMark/>
          </w:tcPr>
          <w:p w:rsidR="007745F1" w:rsidRPr="00C50EAD" w:rsidRDefault="007745F1" w:rsidP="006F3374">
            <w:pPr>
              <w:widowControl/>
              <w:jc w:val="left"/>
              <w:rPr>
                <w:rFonts w:ascii="Arial" w:eastAsia="等线" w:hAnsi="Arial"/>
                <w:b/>
                <w:color w:val="000000"/>
                <w:kern w:val="0"/>
                <w:sz w:val="18"/>
                <w:szCs w:val="18"/>
              </w:rPr>
            </w:pPr>
            <w:r w:rsidRPr="00C50EAD">
              <w:rPr>
                <w:rFonts w:ascii="Arial" w:eastAsia="等线" w:hAnsi="Arial"/>
                <w:b/>
                <w:color w:val="000000"/>
                <w:kern w:val="0"/>
                <w:sz w:val="18"/>
                <w:szCs w:val="18"/>
              </w:rPr>
              <w:t>t</w:t>
            </w:r>
          </w:p>
        </w:tc>
        <w:tc>
          <w:tcPr>
            <w:tcW w:w="851" w:type="dxa"/>
            <w:tcBorders>
              <w:top w:val="single" w:sz="4" w:space="0" w:color="auto"/>
              <w:bottom w:val="single" w:sz="4" w:space="0" w:color="auto"/>
            </w:tcBorders>
            <w:shd w:val="clear" w:color="auto" w:fill="BFBFBF"/>
            <w:noWrap/>
            <w:vAlign w:val="bottom"/>
            <w:hideMark/>
          </w:tcPr>
          <w:p w:rsidR="007745F1" w:rsidRPr="00C50EAD" w:rsidRDefault="007745F1" w:rsidP="006F3374">
            <w:pPr>
              <w:widowControl/>
              <w:jc w:val="left"/>
              <w:rPr>
                <w:rFonts w:ascii="Arial" w:eastAsia="等线" w:hAnsi="Arial"/>
                <w:b/>
                <w:i/>
                <w:color w:val="000000"/>
                <w:kern w:val="0"/>
                <w:sz w:val="18"/>
                <w:szCs w:val="18"/>
              </w:rPr>
            </w:pPr>
            <w:r w:rsidRPr="00C50EAD">
              <w:rPr>
                <w:rFonts w:ascii="Arial" w:eastAsia="等线" w:hAnsi="Arial"/>
                <w:b/>
                <w:i/>
                <w:color w:val="000000"/>
                <w:kern w:val="0"/>
                <w:sz w:val="18"/>
                <w:szCs w:val="18"/>
              </w:rPr>
              <w:t>p</w:t>
            </w:r>
          </w:p>
        </w:tc>
        <w:tc>
          <w:tcPr>
            <w:tcW w:w="2563" w:type="dxa"/>
            <w:gridSpan w:val="2"/>
            <w:tcBorders>
              <w:top w:val="single" w:sz="4" w:space="0" w:color="auto"/>
              <w:bottom w:val="single" w:sz="4" w:space="0" w:color="auto"/>
            </w:tcBorders>
            <w:shd w:val="clear" w:color="auto" w:fill="BFBFBF"/>
            <w:noWrap/>
            <w:vAlign w:val="bottom"/>
            <w:hideMark/>
          </w:tcPr>
          <w:p w:rsidR="007745F1" w:rsidRPr="00C50EAD" w:rsidRDefault="007745F1" w:rsidP="006F3374">
            <w:pPr>
              <w:widowControl/>
              <w:jc w:val="left"/>
              <w:rPr>
                <w:rFonts w:ascii="Arial" w:eastAsia="等线" w:hAnsi="Arial"/>
                <w:b/>
                <w:color w:val="000000"/>
                <w:kern w:val="0"/>
                <w:sz w:val="18"/>
                <w:szCs w:val="18"/>
              </w:rPr>
            </w:pPr>
            <w:r w:rsidRPr="00C50EAD">
              <w:rPr>
                <w:rFonts w:ascii="Arial" w:eastAsia="等线" w:hAnsi="Arial"/>
                <w:b/>
                <w:color w:val="000000"/>
                <w:kern w:val="0"/>
                <w:sz w:val="18"/>
                <w:szCs w:val="18"/>
              </w:rPr>
              <w:t>95% Confidence interval</w:t>
            </w:r>
          </w:p>
        </w:tc>
      </w:tr>
      <w:tr w:rsidR="007745F1" w:rsidRPr="00307965" w:rsidTr="006F3374">
        <w:trPr>
          <w:trHeight w:val="285"/>
        </w:trPr>
        <w:tc>
          <w:tcPr>
            <w:tcW w:w="1809" w:type="dxa"/>
            <w:tcBorders>
              <w:top w:val="single" w:sz="4" w:space="0" w:color="auto"/>
            </w:tcBorders>
            <w:shd w:val="clear" w:color="auto" w:fill="auto"/>
            <w:noWrap/>
            <w:vAlign w:val="bottom"/>
            <w:hideMark/>
          </w:tcPr>
          <w:p w:rsidR="007745F1" w:rsidRPr="00D1185E" w:rsidRDefault="007745F1" w:rsidP="006F3374">
            <w:pPr>
              <w:widowControl/>
              <w:jc w:val="left"/>
              <w:rPr>
                <w:rFonts w:ascii="Arial" w:eastAsia="等线" w:hAnsi="Arial"/>
                <w:color w:val="000000"/>
                <w:kern w:val="0"/>
                <w:sz w:val="18"/>
                <w:szCs w:val="18"/>
              </w:rPr>
            </w:pPr>
            <w:r>
              <w:rPr>
                <w:rFonts w:ascii="Arial" w:eastAsia="等线" w:hAnsi="Arial"/>
                <w:color w:val="000000"/>
                <w:kern w:val="0"/>
                <w:sz w:val="18"/>
                <w:szCs w:val="18"/>
              </w:rPr>
              <w:t>Follow-up time</w:t>
            </w:r>
          </w:p>
        </w:tc>
        <w:tc>
          <w:tcPr>
            <w:tcW w:w="1435" w:type="dxa"/>
            <w:tcBorders>
              <w:top w:val="single" w:sz="4" w:space="0" w:color="auto"/>
            </w:tcBorders>
            <w:shd w:val="clear" w:color="auto" w:fill="auto"/>
            <w:noWrap/>
            <w:vAlign w:val="bottom"/>
          </w:tcPr>
          <w:p w:rsidR="007745F1" w:rsidRPr="00F906B1" w:rsidRDefault="007745F1" w:rsidP="006F3374">
            <w:pPr>
              <w:widowControl/>
              <w:jc w:val="right"/>
              <w:rPr>
                <w:rFonts w:ascii="Arial" w:eastAsia="等线" w:hAnsi="Arial"/>
                <w:color w:val="000000"/>
                <w:kern w:val="0"/>
                <w:sz w:val="18"/>
                <w:szCs w:val="18"/>
              </w:rPr>
            </w:pPr>
            <w:r w:rsidRPr="00F906B1">
              <w:rPr>
                <w:rFonts w:ascii="Arial" w:eastAsia="等线" w:hAnsi="Arial"/>
                <w:color w:val="000000"/>
                <w:sz w:val="18"/>
                <w:szCs w:val="18"/>
              </w:rPr>
              <w:t>-0.0037014</w:t>
            </w:r>
          </w:p>
        </w:tc>
        <w:tc>
          <w:tcPr>
            <w:tcW w:w="1247" w:type="dxa"/>
            <w:tcBorders>
              <w:top w:val="single" w:sz="4" w:space="0" w:color="auto"/>
            </w:tcBorders>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0.0055221</w:t>
            </w:r>
          </w:p>
        </w:tc>
        <w:tc>
          <w:tcPr>
            <w:tcW w:w="720" w:type="dxa"/>
            <w:tcBorders>
              <w:top w:val="single" w:sz="4" w:space="0" w:color="auto"/>
            </w:tcBorders>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-0.67</w:t>
            </w:r>
          </w:p>
        </w:tc>
        <w:tc>
          <w:tcPr>
            <w:tcW w:w="851" w:type="dxa"/>
            <w:tcBorders>
              <w:top w:val="single" w:sz="4" w:space="0" w:color="auto"/>
            </w:tcBorders>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0.516</w:t>
            </w:r>
          </w:p>
        </w:tc>
        <w:tc>
          <w:tcPr>
            <w:tcW w:w="1496" w:type="dxa"/>
            <w:tcBorders>
              <w:top w:val="single" w:sz="4" w:space="0" w:color="auto"/>
            </w:tcBorders>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-0.0158555</w:t>
            </w:r>
          </w:p>
        </w:tc>
        <w:tc>
          <w:tcPr>
            <w:tcW w:w="1067" w:type="dxa"/>
            <w:tcBorders>
              <w:top w:val="single" w:sz="4" w:space="0" w:color="auto"/>
            </w:tcBorders>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0.0084527</w:t>
            </w:r>
          </w:p>
        </w:tc>
      </w:tr>
      <w:tr w:rsidR="007745F1" w:rsidRPr="00307965" w:rsidTr="006F3374">
        <w:trPr>
          <w:trHeight w:val="285"/>
        </w:trPr>
        <w:tc>
          <w:tcPr>
            <w:tcW w:w="1809" w:type="dxa"/>
            <w:shd w:val="clear" w:color="auto" w:fill="auto"/>
            <w:noWrap/>
            <w:vAlign w:val="bottom"/>
          </w:tcPr>
          <w:p w:rsidR="007745F1" w:rsidRPr="00D1185E" w:rsidRDefault="007745F1" w:rsidP="006F3374">
            <w:pPr>
              <w:widowControl/>
              <w:jc w:val="left"/>
              <w:rPr>
                <w:rFonts w:ascii="Arial" w:eastAsia="等线" w:hAnsi="Arial"/>
                <w:color w:val="000000"/>
                <w:kern w:val="0"/>
                <w:sz w:val="18"/>
                <w:szCs w:val="18"/>
              </w:rPr>
            </w:pPr>
            <w:r w:rsidRPr="00D1185E">
              <w:rPr>
                <w:rFonts w:ascii="Arial" w:eastAsia="等线" w:hAnsi="Arial"/>
                <w:color w:val="000000"/>
                <w:kern w:val="0"/>
                <w:sz w:val="18"/>
                <w:szCs w:val="18"/>
              </w:rPr>
              <w:t>Stage</w:t>
            </w:r>
          </w:p>
        </w:tc>
        <w:tc>
          <w:tcPr>
            <w:tcW w:w="1435"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0.0038295</w:t>
            </w:r>
          </w:p>
        </w:tc>
        <w:tc>
          <w:tcPr>
            <w:tcW w:w="124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0.0696558</w:t>
            </w:r>
          </w:p>
        </w:tc>
        <w:tc>
          <w:tcPr>
            <w:tcW w:w="720"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0.05</w:t>
            </w:r>
          </w:p>
        </w:tc>
        <w:tc>
          <w:tcPr>
            <w:tcW w:w="851"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0.957</w:t>
            </w:r>
          </w:p>
        </w:tc>
        <w:tc>
          <w:tcPr>
            <w:tcW w:w="1496"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-0.1494818</w:t>
            </w:r>
          </w:p>
        </w:tc>
        <w:tc>
          <w:tcPr>
            <w:tcW w:w="106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0.1571409</w:t>
            </w:r>
          </w:p>
        </w:tc>
      </w:tr>
      <w:tr w:rsidR="007745F1" w:rsidRPr="00307965" w:rsidTr="006F3374">
        <w:trPr>
          <w:trHeight w:val="285"/>
        </w:trPr>
        <w:tc>
          <w:tcPr>
            <w:tcW w:w="1809" w:type="dxa"/>
            <w:shd w:val="clear" w:color="auto" w:fill="auto"/>
            <w:noWrap/>
            <w:vAlign w:val="bottom"/>
            <w:hideMark/>
          </w:tcPr>
          <w:p w:rsidR="007745F1" w:rsidRPr="00D1185E" w:rsidRDefault="007745F1" w:rsidP="006F3374">
            <w:pPr>
              <w:widowControl/>
              <w:jc w:val="left"/>
              <w:rPr>
                <w:rFonts w:ascii="Arial" w:eastAsia="等线" w:hAnsi="Arial"/>
                <w:color w:val="000000"/>
                <w:kern w:val="0"/>
                <w:sz w:val="18"/>
                <w:szCs w:val="18"/>
              </w:rPr>
            </w:pPr>
            <w:r w:rsidRPr="00D1185E">
              <w:rPr>
                <w:rFonts w:ascii="Arial" w:eastAsia="等线" w:hAnsi="Arial"/>
                <w:color w:val="000000"/>
                <w:kern w:val="0"/>
                <w:sz w:val="18"/>
                <w:szCs w:val="18"/>
              </w:rPr>
              <w:t>Randomized or not</w:t>
            </w:r>
          </w:p>
        </w:tc>
        <w:tc>
          <w:tcPr>
            <w:tcW w:w="1435"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0.3355576</w:t>
            </w:r>
          </w:p>
        </w:tc>
        <w:tc>
          <w:tcPr>
            <w:tcW w:w="124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0.1862825</w:t>
            </w:r>
          </w:p>
        </w:tc>
        <w:tc>
          <w:tcPr>
            <w:tcW w:w="720"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1.8</w:t>
            </w:r>
          </w:p>
        </w:tc>
        <w:tc>
          <w:tcPr>
            <w:tcW w:w="851"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0.099</w:t>
            </w:r>
          </w:p>
        </w:tc>
        <w:tc>
          <w:tcPr>
            <w:tcW w:w="1496"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-0.0744474</w:t>
            </w:r>
          </w:p>
        </w:tc>
        <w:tc>
          <w:tcPr>
            <w:tcW w:w="106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0.7455626</w:t>
            </w:r>
          </w:p>
        </w:tc>
      </w:tr>
      <w:tr w:rsidR="007745F1" w:rsidRPr="00307965" w:rsidTr="006F3374">
        <w:trPr>
          <w:trHeight w:val="285"/>
        </w:trPr>
        <w:tc>
          <w:tcPr>
            <w:tcW w:w="1809" w:type="dxa"/>
            <w:shd w:val="clear" w:color="auto" w:fill="auto"/>
            <w:noWrap/>
            <w:vAlign w:val="bottom"/>
            <w:hideMark/>
          </w:tcPr>
          <w:p w:rsidR="007745F1" w:rsidRPr="00D1185E" w:rsidRDefault="007745F1" w:rsidP="006F3374">
            <w:pPr>
              <w:widowControl/>
              <w:jc w:val="left"/>
              <w:rPr>
                <w:rFonts w:ascii="Arial" w:eastAsia="等线" w:hAnsi="Arial"/>
                <w:color w:val="000000"/>
                <w:kern w:val="0"/>
                <w:sz w:val="18"/>
                <w:szCs w:val="18"/>
              </w:rPr>
            </w:pPr>
            <w:r w:rsidRPr="00D1185E">
              <w:rPr>
                <w:rFonts w:ascii="Arial" w:eastAsia="等线" w:hAnsi="Arial"/>
                <w:color w:val="000000"/>
                <w:kern w:val="0"/>
                <w:sz w:val="18"/>
                <w:szCs w:val="18"/>
              </w:rPr>
              <w:t>therapy scheme</w:t>
            </w:r>
          </w:p>
        </w:tc>
        <w:tc>
          <w:tcPr>
            <w:tcW w:w="1435"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0.0451049</w:t>
            </w:r>
          </w:p>
        </w:tc>
        <w:tc>
          <w:tcPr>
            <w:tcW w:w="124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0.112317</w:t>
            </w:r>
          </w:p>
        </w:tc>
        <w:tc>
          <w:tcPr>
            <w:tcW w:w="720"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0.4</w:t>
            </w:r>
          </w:p>
        </w:tc>
        <w:tc>
          <w:tcPr>
            <w:tcW w:w="851"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0.696</w:t>
            </w:r>
          </w:p>
        </w:tc>
        <w:tc>
          <w:tcPr>
            <w:tcW w:w="1496"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-0.2021031</w:t>
            </w:r>
          </w:p>
        </w:tc>
        <w:tc>
          <w:tcPr>
            <w:tcW w:w="106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0.2923129</w:t>
            </w:r>
          </w:p>
        </w:tc>
      </w:tr>
      <w:tr w:rsidR="007745F1" w:rsidRPr="00307965" w:rsidTr="006F3374">
        <w:trPr>
          <w:trHeight w:val="285"/>
        </w:trPr>
        <w:tc>
          <w:tcPr>
            <w:tcW w:w="1809" w:type="dxa"/>
            <w:shd w:val="clear" w:color="auto" w:fill="auto"/>
            <w:noWrap/>
            <w:vAlign w:val="bottom"/>
            <w:hideMark/>
          </w:tcPr>
          <w:p w:rsidR="007745F1" w:rsidRPr="00D1185E" w:rsidRDefault="007745F1" w:rsidP="006F3374">
            <w:pPr>
              <w:widowControl/>
              <w:jc w:val="left"/>
              <w:rPr>
                <w:rFonts w:ascii="Arial" w:eastAsia="等线" w:hAnsi="Arial"/>
                <w:color w:val="000000"/>
                <w:kern w:val="0"/>
                <w:sz w:val="18"/>
                <w:szCs w:val="18"/>
              </w:rPr>
            </w:pPr>
            <w:r w:rsidRPr="00D1185E">
              <w:rPr>
                <w:rFonts w:ascii="Arial" w:eastAsia="等线" w:hAnsi="Arial"/>
                <w:color w:val="000000"/>
                <w:kern w:val="0"/>
                <w:sz w:val="18"/>
                <w:szCs w:val="18"/>
              </w:rPr>
              <w:t>Recruit area</w:t>
            </w:r>
          </w:p>
        </w:tc>
        <w:tc>
          <w:tcPr>
            <w:tcW w:w="1435"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0.1247652</w:t>
            </w:r>
          </w:p>
        </w:tc>
        <w:tc>
          <w:tcPr>
            <w:tcW w:w="124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0.0362808</w:t>
            </w:r>
          </w:p>
        </w:tc>
        <w:tc>
          <w:tcPr>
            <w:tcW w:w="720"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3.44</w:t>
            </w:r>
          </w:p>
        </w:tc>
        <w:tc>
          <w:tcPr>
            <w:tcW w:w="851"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0.006</w:t>
            </w:r>
          </w:p>
        </w:tc>
        <w:tc>
          <w:tcPr>
            <w:tcW w:w="1496"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0.0449116</w:t>
            </w:r>
          </w:p>
        </w:tc>
        <w:tc>
          <w:tcPr>
            <w:tcW w:w="106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0.2046188</w:t>
            </w:r>
          </w:p>
        </w:tc>
      </w:tr>
      <w:tr w:rsidR="007745F1" w:rsidRPr="00307965" w:rsidTr="006F3374">
        <w:trPr>
          <w:trHeight w:val="285"/>
        </w:trPr>
        <w:tc>
          <w:tcPr>
            <w:tcW w:w="1809" w:type="dxa"/>
            <w:shd w:val="clear" w:color="auto" w:fill="auto"/>
            <w:noWrap/>
            <w:vAlign w:val="bottom"/>
          </w:tcPr>
          <w:p w:rsidR="007745F1" w:rsidRPr="00D1185E" w:rsidRDefault="007745F1" w:rsidP="006F3374">
            <w:pPr>
              <w:widowControl/>
              <w:jc w:val="left"/>
              <w:rPr>
                <w:rFonts w:ascii="Arial" w:eastAsia="等线" w:hAnsi="Arial"/>
                <w:color w:val="000000"/>
                <w:kern w:val="0"/>
                <w:sz w:val="18"/>
                <w:szCs w:val="18"/>
              </w:rPr>
            </w:pPr>
            <w:r w:rsidRPr="00D1185E">
              <w:rPr>
                <w:rFonts w:ascii="Arial" w:eastAsia="等线" w:hAnsi="Arial"/>
                <w:color w:val="000000"/>
                <w:kern w:val="0"/>
                <w:sz w:val="18"/>
                <w:szCs w:val="18"/>
              </w:rPr>
              <w:t>Blinding or not</w:t>
            </w:r>
          </w:p>
        </w:tc>
        <w:tc>
          <w:tcPr>
            <w:tcW w:w="1435"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-0.2681328</w:t>
            </w:r>
          </w:p>
        </w:tc>
        <w:tc>
          <w:tcPr>
            <w:tcW w:w="124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0.2221015</w:t>
            </w:r>
          </w:p>
        </w:tc>
        <w:tc>
          <w:tcPr>
            <w:tcW w:w="720"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-1.21</w:t>
            </w:r>
          </w:p>
        </w:tc>
        <w:tc>
          <w:tcPr>
            <w:tcW w:w="851"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0.253</w:t>
            </w:r>
          </w:p>
        </w:tc>
        <w:tc>
          <w:tcPr>
            <w:tcW w:w="1496"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-0.7569748</w:t>
            </w:r>
          </w:p>
        </w:tc>
        <w:tc>
          <w:tcPr>
            <w:tcW w:w="106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0.2207092</w:t>
            </w:r>
          </w:p>
        </w:tc>
      </w:tr>
      <w:tr w:rsidR="007745F1" w:rsidRPr="00307965" w:rsidTr="006F3374">
        <w:trPr>
          <w:trHeight w:val="285"/>
        </w:trPr>
        <w:tc>
          <w:tcPr>
            <w:tcW w:w="1809" w:type="dxa"/>
            <w:shd w:val="clear" w:color="auto" w:fill="auto"/>
            <w:noWrap/>
            <w:vAlign w:val="bottom"/>
            <w:hideMark/>
          </w:tcPr>
          <w:p w:rsidR="007745F1" w:rsidRPr="00D1185E" w:rsidRDefault="007745F1" w:rsidP="006F3374">
            <w:pPr>
              <w:widowControl/>
              <w:jc w:val="left"/>
              <w:rPr>
                <w:rFonts w:ascii="Arial" w:eastAsia="等线" w:hAnsi="Arial"/>
                <w:color w:val="000000"/>
                <w:kern w:val="0"/>
                <w:sz w:val="18"/>
                <w:szCs w:val="18"/>
              </w:rPr>
            </w:pPr>
            <w:r w:rsidRPr="00D1185E">
              <w:rPr>
                <w:rFonts w:ascii="Arial" w:eastAsia="等线" w:hAnsi="Arial"/>
                <w:color w:val="000000"/>
                <w:kern w:val="0"/>
                <w:sz w:val="18"/>
                <w:szCs w:val="18"/>
              </w:rPr>
              <w:t>constant</w:t>
            </w:r>
          </w:p>
        </w:tc>
        <w:tc>
          <w:tcPr>
            <w:tcW w:w="1435"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-0.8400753</w:t>
            </w:r>
          </w:p>
        </w:tc>
        <w:tc>
          <w:tcPr>
            <w:tcW w:w="124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0.6098717</w:t>
            </w:r>
          </w:p>
        </w:tc>
        <w:tc>
          <w:tcPr>
            <w:tcW w:w="720"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-1.38</w:t>
            </w:r>
          </w:p>
        </w:tc>
        <w:tc>
          <w:tcPr>
            <w:tcW w:w="851"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0.196</w:t>
            </w:r>
          </w:p>
        </w:tc>
        <w:tc>
          <w:tcPr>
            <w:tcW w:w="1496"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-2.182394</w:t>
            </w:r>
          </w:p>
        </w:tc>
        <w:tc>
          <w:tcPr>
            <w:tcW w:w="1067" w:type="dxa"/>
            <w:shd w:val="clear" w:color="auto" w:fill="auto"/>
            <w:noWrap/>
            <w:vAlign w:val="bottom"/>
          </w:tcPr>
          <w:p w:rsidR="007745F1" w:rsidRPr="00F906B1" w:rsidRDefault="007745F1" w:rsidP="006F3374">
            <w:pPr>
              <w:jc w:val="right"/>
              <w:rPr>
                <w:rFonts w:ascii="Arial" w:eastAsia="等线" w:hAnsi="Arial"/>
                <w:color w:val="000000"/>
                <w:sz w:val="18"/>
                <w:szCs w:val="18"/>
              </w:rPr>
            </w:pPr>
            <w:r w:rsidRPr="00F906B1">
              <w:rPr>
                <w:rFonts w:ascii="Arial" w:eastAsia="等线" w:hAnsi="Arial"/>
                <w:color w:val="000000"/>
                <w:sz w:val="18"/>
                <w:szCs w:val="18"/>
              </w:rPr>
              <w:t>0.5022434</w:t>
            </w:r>
          </w:p>
        </w:tc>
      </w:tr>
    </w:tbl>
    <w:p w:rsidR="00BB6ED8" w:rsidRPr="009A4284" w:rsidRDefault="00BB6ED8" w:rsidP="009A4284">
      <w:pPr>
        <w:pStyle w:val="Arial"/>
        <w:rPr>
          <w:rFonts w:hint="eastAsia"/>
          <w:sz w:val="22"/>
        </w:rPr>
      </w:pPr>
    </w:p>
    <w:sectPr w:rsidR="00BB6ED8" w:rsidRPr="009A4284" w:rsidSect="001E48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034E" w:rsidRDefault="0024034E" w:rsidP="00BF7AEC">
      <w:r>
        <w:separator/>
      </w:r>
    </w:p>
  </w:endnote>
  <w:endnote w:type="continuationSeparator" w:id="0">
    <w:p w:rsidR="0024034E" w:rsidRDefault="0024034E" w:rsidP="00BF7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034E" w:rsidRDefault="0024034E" w:rsidP="00BF7AEC">
      <w:r>
        <w:separator/>
      </w:r>
    </w:p>
  </w:footnote>
  <w:footnote w:type="continuationSeparator" w:id="0">
    <w:p w:rsidR="0024034E" w:rsidRDefault="0024034E" w:rsidP="00BF7A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ED8"/>
    <w:rsid w:val="0002560A"/>
    <w:rsid w:val="000609B0"/>
    <w:rsid w:val="000A3840"/>
    <w:rsid w:val="001C2FB4"/>
    <w:rsid w:val="001E4849"/>
    <w:rsid w:val="001F6F3B"/>
    <w:rsid w:val="002066C3"/>
    <w:rsid w:val="0024034E"/>
    <w:rsid w:val="002E5A02"/>
    <w:rsid w:val="002F3DA8"/>
    <w:rsid w:val="003521D5"/>
    <w:rsid w:val="00447B79"/>
    <w:rsid w:val="006F3374"/>
    <w:rsid w:val="00731F8E"/>
    <w:rsid w:val="007638BE"/>
    <w:rsid w:val="007745F1"/>
    <w:rsid w:val="009A4284"/>
    <w:rsid w:val="00BB6ED8"/>
    <w:rsid w:val="00BF7AEC"/>
    <w:rsid w:val="00F22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9274B"/>
  <w15:chartTrackingRefBased/>
  <w15:docId w15:val="{2D059F7F-788D-443D-84E4-198842581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B6ED8"/>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BF7AE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F7AEC"/>
    <w:rPr>
      <w:sz w:val="18"/>
      <w:szCs w:val="18"/>
    </w:rPr>
  </w:style>
  <w:style w:type="paragraph" w:styleId="a6">
    <w:name w:val="footer"/>
    <w:basedOn w:val="a"/>
    <w:link w:val="a7"/>
    <w:uiPriority w:val="99"/>
    <w:unhideWhenUsed/>
    <w:rsid w:val="00BF7AEC"/>
    <w:pPr>
      <w:tabs>
        <w:tab w:val="center" w:pos="4153"/>
        <w:tab w:val="right" w:pos="8306"/>
      </w:tabs>
      <w:snapToGrid w:val="0"/>
      <w:jc w:val="left"/>
    </w:pPr>
    <w:rPr>
      <w:sz w:val="18"/>
      <w:szCs w:val="18"/>
    </w:rPr>
  </w:style>
  <w:style w:type="character" w:customStyle="1" w:styleId="a7">
    <w:name w:val="页脚 字符"/>
    <w:basedOn w:val="a0"/>
    <w:link w:val="a6"/>
    <w:uiPriority w:val="99"/>
    <w:rsid w:val="00BF7AEC"/>
    <w:rPr>
      <w:sz w:val="18"/>
      <w:szCs w:val="18"/>
    </w:rPr>
  </w:style>
  <w:style w:type="paragraph" w:styleId="a8">
    <w:name w:val="No Spacing"/>
    <w:qFormat/>
    <w:rsid w:val="00F22633"/>
    <w:pPr>
      <w:adjustRightInd w:val="0"/>
      <w:snapToGrid w:val="0"/>
    </w:pPr>
    <w:rPr>
      <w:rFonts w:ascii="Tahoma" w:eastAsia="微软雅黑" w:hAnsi="Tahoma" w:cs="Times New Roman"/>
      <w:kern w:val="0"/>
      <w:sz w:val="22"/>
    </w:rPr>
  </w:style>
  <w:style w:type="paragraph" w:customStyle="1" w:styleId="Arial">
    <w:name w:val="Arial"/>
    <w:basedOn w:val="a"/>
    <w:rsid w:val="007745F1"/>
    <w:pPr>
      <w:spacing w:before="240" w:line="360" w:lineRule="auto"/>
    </w:pPr>
    <w:rPr>
      <w:rFonts w:ascii="Arial" w:eastAsia="等线" w:hAnsi="Arial" w:cs="Times New Roman"/>
      <w:b/>
      <w:bCs/>
      <w:color w:val="231F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216465">
      <w:bodyDiv w:val="1"/>
      <w:marLeft w:val="0"/>
      <w:marRight w:val="0"/>
      <w:marTop w:val="0"/>
      <w:marBottom w:val="0"/>
      <w:divBdr>
        <w:top w:val="none" w:sz="0" w:space="0" w:color="auto"/>
        <w:left w:val="none" w:sz="0" w:space="0" w:color="auto"/>
        <w:bottom w:val="none" w:sz="0" w:space="0" w:color="auto"/>
        <w:right w:val="none" w:sz="0" w:space="0" w:color="auto"/>
      </w:divBdr>
    </w:div>
    <w:div w:id="859245508">
      <w:bodyDiv w:val="1"/>
      <w:marLeft w:val="0"/>
      <w:marRight w:val="0"/>
      <w:marTop w:val="0"/>
      <w:marBottom w:val="0"/>
      <w:divBdr>
        <w:top w:val="none" w:sz="0" w:space="0" w:color="auto"/>
        <w:left w:val="none" w:sz="0" w:space="0" w:color="auto"/>
        <w:bottom w:val="none" w:sz="0" w:space="0" w:color="auto"/>
        <w:right w:val="none" w:sz="0" w:space="0" w:color="auto"/>
      </w:divBdr>
    </w:div>
    <w:div w:id="1149135640">
      <w:bodyDiv w:val="1"/>
      <w:marLeft w:val="0"/>
      <w:marRight w:val="0"/>
      <w:marTop w:val="0"/>
      <w:marBottom w:val="0"/>
      <w:divBdr>
        <w:top w:val="none" w:sz="0" w:space="0" w:color="auto"/>
        <w:left w:val="none" w:sz="0" w:space="0" w:color="auto"/>
        <w:bottom w:val="none" w:sz="0" w:space="0" w:color="auto"/>
        <w:right w:val="none" w:sz="0" w:space="0" w:color="auto"/>
      </w:divBdr>
    </w:div>
    <w:div w:id="209617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7</Pages>
  <Words>47730</Words>
  <Characters>272067</Characters>
  <Application>Microsoft Office Word</Application>
  <DocSecurity>0</DocSecurity>
  <Lines>2267</Lines>
  <Paragraphs>638</Paragraphs>
  <ScaleCrop>false</ScaleCrop>
  <Company/>
  <LinksUpToDate>false</LinksUpToDate>
  <CharactersWithSpaces>319159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胜男</dc:creator>
  <cp:keywords/>
  <dc:description/>
  <cp:lastModifiedBy>张 胜男</cp:lastModifiedBy>
  <cp:revision>3</cp:revision>
  <dcterms:created xsi:type="dcterms:W3CDTF">2019-05-07T09:16:00Z</dcterms:created>
  <dcterms:modified xsi:type="dcterms:W3CDTF">2019-05-24T04:55:00Z</dcterms:modified>
</cp:coreProperties>
</file>