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1" w:firstLineChars="100"/>
        <w:jc w:val="left"/>
        <w:outlineLvl w:val="0"/>
        <w:rPr>
          <w:rFonts w:hint="eastAsia" w:eastAsia="宋体"/>
          <w:szCs w:val="21"/>
          <w:lang w:val="en-US" w:eastAsia="zh-CN"/>
        </w:rPr>
      </w:pPr>
      <w:r>
        <w:rPr>
          <w:rFonts w:eastAsia="宋体"/>
          <w:b/>
          <w:szCs w:val="21"/>
        </w:rPr>
        <w:t xml:space="preserve"> </w:t>
      </w:r>
      <w:bookmarkStart w:id="0" w:name="OLE_LINK7"/>
      <w:bookmarkStart w:id="1" w:name="OLE_LINK8"/>
      <w:r>
        <w:rPr>
          <w:rFonts w:eastAsia="宋体"/>
          <w:b/>
          <w:szCs w:val="21"/>
        </w:rPr>
        <w:t>S</w:t>
      </w:r>
      <w:r>
        <w:rPr>
          <w:rFonts w:hint="eastAsia" w:eastAsia="宋体"/>
          <w:b/>
          <w:szCs w:val="21"/>
        </w:rPr>
        <w:t xml:space="preserve">upplementary </w:t>
      </w:r>
      <w:r>
        <w:rPr>
          <w:rFonts w:eastAsia="宋体"/>
          <w:b/>
          <w:szCs w:val="21"/>
        </w:rPr>
        <w:t>T</w:t>
      </w:r>
      <w:r>
        <w:rPr>
          <w:rFonts w:hint="eastAsia" w:eastAsia="宋体"/>
          <w:b/>
          <w:szCs w:val="21"/>
        </w:rPr>
        <w:t xml:space="preserve">able </w:t>
      </w:r>
      <w:r>
        <w:rPr>
          <w:rFonts w:hint="eastAsia" w:eastAsia="宋体"/>
          <w:b/>
          <w:szCs w:val="21"/>
          <w:lang w:val="en-US" w:eastAsia="zh-CN"/>
        </w:rPr>
        <w:t>2</w:t>
      </w:r>
      <w:r>
        <w:rPr>
          <w:rFonts w:hint="eastAsia" w:eastAsia="宋体"/>
          <w:b/>
          <w:szCs w:val="21"/>
        </w:rPr>
        <w:t>.</w:t>
      </w:r>
      <w:r>
        <w:rPr>
          <w:rFonts w:hint="eastAsia" w:eastAsia="宋体"/>
          <w:szCs w:val="21"/>
        </w:rPr>
        <w:t xml:space="preserve"> </w:t>
      </w:r>
      <w:bookmarkStart w:id="7" w:name="_GoBack"/>
      <w:r>
        <w:rPr>
          <w:rFonts w:hint="eastAsia" w:eastAsia="宋体"/>
          <w:szCs w:val="21"/>
        </w:rPr>
        <w:t>Quality assessment of studies included</w:t>
      </w:r>
      <w:r>
        <w:rPr>
          <w:rFonts w:hint="eastAsia" w:eastAsia="宋体"/>
          <w:szCs w:val="21"/>
          <w:lang w:val="en-US" w:eastAsia="zh-CN"/>
        </w:rPr>
        <w:t>.</w:t>
      </w:r>
      <w:bookmarkEnd w:id="7"/>
    </w:p>
    <w:bookmarkEnd w:id="0"/>
    <w:bookmarkEnd w:id="1"/>
    <w:tbl>
      <w:tblPr>
        <w:tblStyle w:val="5"/>
        <w:tblpPr w:leftFromText="180" w:rightFromText="180" w:vertAnchor="page" w:horzAnchor="margin" w:tblpXSpec="center" w:tblpY="2251"/>
        <w:tblW w:w="16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5"/>
        <w:gridCol w:w="258"/>
        <w:gridCol w:w="1134"/>
        <w:gridCol w:w="850"/>
        <w:gridCol w:w="567"/>
        <w:gridCol w:w="1134"/>
        <w:gridCol w:w="284"/>
        <w:gridCol w:w="1134"/>
        <w:gridCol w:w="425"/>
        <w:gridCol w:w="1276"/>
        <w:gridCol w:w="992"/>
        <w:gridCol w:w="1559"/>
        <w:gridCol w:w="1418"/>
        <w:gridCol w:w="1134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521" w:type="dxa"/>
          <w:trHeight w:val="274" w:hRule="atLeast"/>
        </w:trPr>
        <w:tc>
          <w:tcPr>
            <w:tcW w:w="1835" w:type="dxa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 xml:space="preserve">Author, year, </w:t>
            </w:r>
          </w:p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Study (RCT)</w:t>
            </w:r>
          </w:p>
        </w:tc>
        <w:tc>
          <w:tcPr>
            <w:tcW w:w="1392" w:type="dxa"/>
            <w:gridSpan w:val="2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Sequence</w:t>
            </w:r>
          </w:p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Generation</w:t>
            </w:r>
          </w:p>
        </w:tc>
        <w:tc>
          <w:tcPr>
            <w:tcW w:w="1417" w:type="dxa"/>
            <w:gridSpan w:val="2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Allocation</w:t>
            </w:r>
          </w:p>
          <w:p>
            <w:pPr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Concealment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bookmarkStart w:id="2" w:name="OLE_LINK15"/>
            <w:bookmarkStart w:id="3" w:name="OLE_LINK14"/>
            <w:bookmarkStart w:id="4" w:name="OLE_LINK13"/>
            <w:r>
              <w:rPr>
                <w:rFonts w:hint="default" w:ascii="Calibri" w:hAnsi="Calibri" w:eastAsia="宋体" w:cs="Calibri"/>
                <w:sz w:val="21"/>
                <w:szCs w:val="21"/>
              </w:rPr>
              <w:t>Blinding</w:t>
            </w:r>
            <w:bookmarkEnd w:id="2"/>
            <w:bookmarkEnd w:id="3"/>
            <w:bookmarkEnd w:id="4"/>
          </w:p>
        </w:tc>
        <w:tc>
          <w:tcPr>
            <w:tcW w:w="1418" w:type="dxa"/>
            <w:gridSpan w:val="2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 xml:space="preserve">Incomplete </w:t>
            </w:r>
          </w:p>
          <w:p>
            <w:pPr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outcome data</w:t>
            </w:r>
          </w:p>
        </w:tc>
        <w:tc>
          <w:tcPr>
            <w:tcW w:w="1701" w:type="dxa"/>
            <w:gridSpan w:val="2"/>
          </w:tcPr>
          <w:p>
            <w:pPr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 xml:space="preserve">Selective </w:t>
            </w:r>
          </w:p>
          <w:p>
            <w:pPr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outcome reporting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 xml:space="preserve">Free of </w:t>
            </w:r>
          </w:p>
          <w:p>
            <w:pPr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other bias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521" w:type="dxa"/>
          <w:trHeight w:val="153" w:hRule="atLeast"/>
        </w:trPr>
        <w:tc>
          <w:tcPr>
            <w:tcW w:w="1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Wang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</w:t>
            </w:r>
          </w:p>
        </w:tc>
        <w:tc>
          <w:tcPr>
            <w:tcW w:w="1392" w:type="dxa"/>
            <w:gridSpan w:val="2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low risk</w:t>
            </w:r>
          </w:p>
        </w:tc>
        <w:tc>
          <w:tcPr>
            <w:tcW w:w="1417" w:type="dxa"/>
            <w:gridSpan w:val="2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low risk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unclear risk</w:t>
            </w:r>
          </w:p>
        </w:tc>
        <w:tc>
          <w:tcPr>
            <w:tcW w:w="1418" w:type="dxa"/>
            <w:gridSpan w:val="2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low risk</w:t>
            </w:r>
          </w:p>
        </w:tc>
        <w:tc>
          <w:tcPr>
            <w:tcW w:w="1701" w:type="dxa"/>
            <w:gridSpan w:val="2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Low risk</w:t>
            </w:r>
          </w:p>
        </w:tc>
        <w:tc>
          <w:tcPr>
            <w:tcW w:w="992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521" w:type="dxa"/>
          <w:trHeight w:val="153" w:hRule="atLeast"/>
        </w:trPr>
        <w:tc>
          <w:tcPr>
            <w:tcW w:w="1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231F2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Sprenger</w:t>
            </w:r>
            <w:r>
              <w:rPr>
                <w:rFonts w:hint="eastAsia" w:ascii="Calibri" w:hAnsi="Calibri" w:eastAsia="宋体" w:cs="Calibri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default" w:ascii="Calibri" w:hAnsi="Calibri" w:eastAsia="宋体" w:cs="Calibri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018</w:t>
            </w:r>
          </w:p>
        </w:tc>
        <w:tc>
          <w:tcPr>
            <w:tcW w:w="1392" w:type="dxa"/>
            <w:gridSpan w:val="2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low risk</w:t>
            </w:r>
          </w:p>
        </w:tc>
        <w:tc>
          <w:tcPr>
            <w:tcW w:w="1417" w:type="dxa"/>
            <w:gridSpan w:val="2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low risk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unclear risk</w:t>
            </w:r>
          </w:p>
        </w:tc>
        <w:tc>
          <w:tcPr>
            <w:tcW w:w="1418" w:type="dxa"/>
            <w:gridSpan w:val="2"/>
          </w:tcPr>
          <w:p>
            <w:pPr>
              <w:jc w:val="left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low risk</w:t>
            </w:r>
          </w:p>
        </w:tc>
        <w:tc>
          <w:tcPr>
            <w:tcW w:w="1701" w:type="dxa"/>
            <w:gridSpan w:val="2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low risk</w:t>
            </w:r>
          </w:p>
        </w:tc>
        <w:tc>
          <w:tcPr>
            <w:tcW w:w="992" w:type="dxa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521" w:type="dxa"/>
          <w:trHeight w:val="153" w:hRule="atLeast"/>
        </w:trPr>
        <w:tc>
          <w:tcPr>
            <w:tcW w:w="1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Peeters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 2007</w:t>
            </w:r>
          </w:p>
        </w:tc>
        <w:tc>
          <w:tcPr>
            <w:tcW w:w="1392" w:type="dxa"/>
            <w:gridSpan w:val="2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low risk</w:t>
            </w:r>
          </w:p>
        </w:tc>
        <w:tc>
          <w:tcPr>
            <w:tcW w:w="1417" w:type="dxa"/>
            <w:gridSpan w:val="2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low risk</w:t>
            </w:r>
          </w:p>
        </w:tc>
        <w:tc>
          <w:tcPr>
            <w:tcW w:w="1134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unclear risk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Low risk</w:t>
            </w:r>
          </w:p>
        </w:tc>
        <w:tc>
          <w:tcPr>
            <w:tcW w:w="1701" w:type="dxa"/>
            <w:gridSpan w:val="2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Low risk</w:t>
            </w:r>
          </w:p>
        </w:tc>
        <w:tc>
          <w:tcPr>
            <w:tcW w:w="992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521" w:type="dxa"/>
          <w:trHeight w:val="153" w:hRule="atLeast"/>
        </w:trPr>
        <w:tc>
          <w:tcPr>
            <w:tcW w:w="1835" w:type="dxa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Folkesson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 2005</w:t>
            </w:r>
          </w:p>
        </w:tc>
        <w:tc>
          <w:tcPr>
            <w:tcW w:w="1392" w:type="dxa"/>
            <w:gridSpan w:val="2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Low risk</w:t>
            </w:r>
          </w:p>
        </w:tc>
        <w:tc>
          <w:tcPr>
            <w:tcW w:w="1417" w:type="dxa"/>
            <w:gridSpan w:val="2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Low risk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unclear risk</w:t>
            </w:r>
          </w:p>
        </w:tc>
        <w:tc>
          <w:tcPr>
            <w:tcW w:w="1418" w:type="dxa"/>
            <w:gridSpan w:val="2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Low risk</w:t>
            </w:r>
          </w:p>
        </w:tc>
        <w:tc>
          <w:tcPr>
            <w:tcW w:w="1701" w:type="dxa"/>
            <w:gridSpan w:val="2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Low risk</w:t>
            </w:r>
          </w:p>
        </w:tc>
        <w:tc>
          <w:tcPr>
            <w:tcW w:w="992" w:type="dxa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521" w:type="dxa"/>
        </w:trPr>
        <w:tc>
          <w:tcPr>
            <w:tcW w:w="1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Sebag-Montefiore,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</w:t>
            </w:r>
          </w:p>
        </w:tc>
        <w:tc>
          <w:tcPr>
            <w:tcW w:w="1392" w:type="dxa"/>
            <w:gridSpan w:val="2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宋体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low risk</w:t>
            </w:r>
          </w:p>
        </w:tc>
        <w:tc>
          <w:tcPr>
            <w:tcW w:w="1417" w:type="dxa"/>
            <w:gridSpan w:val="2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low risk</w:t>
            </w:r>
          </w:p>
        </w:tc>
        <w:tc>
          <w:tcPr>
            <w:tcW w:w="1134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unclear risk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Low risk</w:t>
            </w:r>
          </w:p>
        </w:tc>
        <w:tc>
          <w:tcPr>
            <w:tcW w:w="1701" w:type="dxa"/>
            <w:gridSpan w:val="2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Low risk</w:t>
            </w:r>
          </w:p>
        </w:tc>
        <w:tc>
          <w:tcPr>
            <w:tcW w:w="992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521" w:type="dxa"/>
        </w:trPr>
        <w:tc>
          <w:tcPr>
            <w:tcW w:w="9889" w:type="dxa"/>
            <w:gridSpan w:val="11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Merge w:val="restart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Author, year,</w:t>
            </w:r>
          </w:p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Study (Observational)</w:t>
            </w:r>
          </w:p>
        </w:tc>
        <w:tc>
          <w:tcPr>
            <w:tcW w:w="7796" w:type="dxa"/>
            <w:gridSpan w:val="9"/>
          </w:tcPr>
          <w:p>
            <w:pPr>
              <w:jc w:val="center"/>
              <w:rPr>
                <w:rFonts w:hint="default" w:ascii="Calibri" w:hAnsi="Calibri" w:cs="Calibri"/>
                <w:b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sz w:val="21"/>
                <w:szCs w:val="21"/>
              </w:rPr>
              <w:t>Selection (Out of 4)</w:t>
            </w:r>
          </w:p>
        </w:tc>
        <w:tc>
          <w:tcPr>
            <w:tcW w:w="1559" w:type="dxa"/>
            <w:vMerge w:val="restart"/>
          </w:tcPr>
          <w:p>
            <w:pPr>
              <w:jc w:val="left"/>
              <w:rPr>
                <w:rFonts w:hint="default" w:ascii="Calibri" w:hAnsi="Calibri" w:cs="Calibri"/>
                <w:b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sz w:val="21"/>
                <w:szCs w:val="21"/>
              </w:rPr>
              <w:t>Comparability</w:t>
            </w:r>
          </w:p>
          <w:p>
            <w:pPr>
              <w:jc w:val="left"/>
              <w:rPr>
                <w:rFonts w:hint="default" w:ascii="Calibri" w:hAnsi="Calibri" w:cs="Calibri" w:eastAsiaTheme="minorEastAsia"/>
                <w:b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sz w:val="21"/>
                <w:szCs w:val="21"/>
              </w:rPr>
              <w:t>(Out of 2)</w:t>
            </w:r>
          </w:p>
        </w:tc>
        <w:tc>
          <w:tcPr>
            <w:tcW w:w="3828" w:type="dxa"/>
            <w:gridSpan w:val="3"/>
          </w:tcPr>
          <w:p>
            <w:pPr>
              <w:jc w:val="center"/>
              <w:rPr>
                <w:rFonts w:hint="default" w:ascii="Calibri" w:hAnsi="Calibri" w:cs="Calibri"/>
                <w:b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sz w:val="21"/>
                <w:szCs w:val="21"/>
              </w:rPr>
              <w:t>Outcomes(Out of 3)</w:t>
            </w:r>
          </w:p>
        </w:tc>
        <w:tc>
          <w:tcPr>
            <w:tcW w:w="1134" w:type="dxa"/>
            <w:vMerge w:val="restart"/>
          </w:tcPr>
          <w:p>
            <w:pPr>
              <w:jc w:val="center"/>
              <w:rPr>
                <w:rFonts w:hint="default" w:ascii="Calibri" w:hAnsi="Calibri" w:cs="Calibri"/>
                <w:b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sz w:val="21"/>
                <w:szCs w:val="21"/>
              </w:rPr>
              <w:t>Total</w:t>
            </w:r>
          </w:p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sz w:val="21"/>
                <w:szCs w:val="21"/>
              </w:rPr>
              <w:t>(Out of 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Merge w:val="continue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984" w:type="dxa"/>
            <w:gridSpan w:val="2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bookmarkStart w:id="5" w:name="OLE_LINK34"/>
            <w:bookmarkStart w:id="6" w:name="OLE_LINK35"/>
            <w:r>
              <w:rPr>
                <w:rFonts w:hint="default" w:ascii="Calibri" w:hAnsi="Calibri" w:eastAsia="宋体" w:cs="Calibri"/>
                <w:sz w:val="21"/>
                <w:szCs w:val="21"/>
              </w:rPr>
              <w:t>Representativeness of exposed cohort</w:t>
            </w:r>
            <w:bookmarkEnd w:id="5"/>
            <w:bookmarkEnd w:id="6"/>
          </w:p>
          <w:p>
            <w:pPr>
              <w:jc w:val="left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85" w:type="dxa"/>
            <w:gridSpan w:val="3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Selection of nonexposed cohort</w:t>
            </w:r>
          </w:p>
          <w:p>
            <w:pPr>
              <w:jc w:val="left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59" w:type="dxa"/>
            <w:gridSpan w:val="2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Ascertainment</w:t>
            </w:r>
          </w:p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of exposure</w:t>
            </w:r>
          </w:p>
          <w:p>
            <w:pPr>
              <w:jc w:val="left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268" w:type="dxa"/>
            <w:gridSpan w:val="2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Outcome not present at the start of the study</w:t>
            </w:r>
          </w:p>
          <w:p>
            <w:pPr>
              <w:jc w:val="left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559" w:type="dxa"/>
            <w:vMerge w:val="continue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418" w:type="dxa"/>
          </w:tcPr>
          <w:p>
            <w:pPr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Assessment of outcomes</w:t>
            </w:r>
          </w:p>
          <w:p>
            <w:pPr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Length of follow-up</w:t>
            </w:r>
          </w:p>
          <w:p>
            <w:pPr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76" w:type="dxa"/>
          </w:tcPr>
          <w:p>
            <w:pPr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Adequacy of follow-up</w:t>
            </w:r>
          </w:p>
          <w:p>
            <w:pPr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Tabchouri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2020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Sorrentino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2019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 Camargo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2020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Räsänen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2019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  <w:lang w:val="en-US" w:eastAsia="zh-CN"/>
              </w:rPr>
              <w:t>Jawitz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2019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Rades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2018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Sun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2017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559" w:type="dxa"/>
          </w:tcPr>
          <w:p>
            <w:pPr>
              <w:jc w:val="both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 xml:space="preserve">      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Zhang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2017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Cho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2017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u w:val="single"/>
                <w:lang w:val="en-US" w:eastAsia="zh-CN"/>
              </w:rPr>
              <w:t>0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Sun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2017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Nagasaki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2017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Joye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2016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Sineshaw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2016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Li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2016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van Erning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2015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Kulu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2016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Hwang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2015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Williamson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2014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Saito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2014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Maas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2013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Lange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2013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Zhan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2013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Shapiro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2013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Bębenek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2012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Spitale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2012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Tiefenthal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2011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Kao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2010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Ferenschild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2009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den Dulk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2008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Cheung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2009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Huh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2008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Tsujinaka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2008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Delaney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2002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Watanabe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2002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Read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2001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Fucini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2010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Han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2016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Laurent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2006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Allaix</w:t>
            </w:r>
            <w:r>
              <w:rPr>
                <w:rFonts w:hint="eastAsia" w:ascii="Calibri" w:hAnsi="Calibri" w:eastAsia="等线" w:cs="Calibr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, </w:t>
            </w:r>
            <w:r>
              <w:rPr>
                <w:rFonts w:hint="eastAsia" w:ascii="Calibri" w:hAnsi="Calibri" w:eastAsia="等线" w:cs="Calibri"/>
                <w:color w:val="000000"/>
                <w:sz w:val="21"/>
                <w:szCs w:val="21"/>
              </w:rPr>
              <w:t>2012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gridSpan w:val="3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8</w:t>
            </w:r>
          </w:p>
        </w:tc>
      </w:tr>
    </w:tbl>
    <w:p>
      <w:pPr>
        <w:jc w:val="left"/>
        <w:outlineLvl w:val="0"/>
        <w:rPr>
          <w:szCs w:val="21"/>
        </w:rPr>
      </w:pPr>
      <w:r>
        <w:rPr>
          <w:rFonts w:eastAsia="宋体"/>
        </w:rPr>
        <w:t xml:space="preserve">The RCTs and </w:t>
      </w:r>
      <w:r>
        <w:rPr>
          <w:rFonts w:ascii="Calibri" w:hAnsi="Calibri" w:eastAsia="宋体" w:cs="Times"/>
          <w:color w:val="101010"/>
          <w:kern w:val="0"/>
          <w:szCs w:val="21"/>
        </w:rPr>
        <w:t>observational</w:t>
      </w:r>
      <w:r>
        <w:rPr>
          <w:rFonts w:hint="eastAsia" w:eastAsia="宋体"/>
        </w:rPr>
        <w:t xml:space="preserve"> studies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were</w:t>
      </w:r>
      <w:r>
        <w:rPr>
          <w:rFonts w:eastAsia="宋体"/>
        </w:rPr>
        <w:t xml:space="preserve"> assessed by the Cochrane Collaboration’s tool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and Newcastle-Ottawa Quality Assessment Scale, respectively</w:t>
      </w:r>
      <w:r>
        <w:rPr>
          <w:rFonts w:hint="eastAsia" w:eastAsia="宋体"/>
        </w:rPr>
        <w:t>.</w:t>
      </w:r>
    </w:p>
    <w:p>
      <w:pPr>
        <w:jc w:val="left"/>
        <w:outlineLvl w:val="0"/>
        <w:rPr>
          <w:szCs w:val="21"/>
        </w:rPr>
      </w:pPr>
      <w:r>
        <w:rPr>
          <w:rFonts w:eastAsia="宋体"/>
          <w:szCs w:val="21"/>
        </w:rPr>
        <w:t>Risk of bias was assessed as “low risk”, “high risk”</w:t>
      </w:r>
      <w:r>
        <w:rPr>
          <w:rFonts w:hint="eastAsia" w:eastAsia="宋体"/>
          <w:szCs w:val="21"/>
        </w:rPr>
        <w:t xml:space="preserve"> </w:t>
      </w:r>
      <w:r>
        <w:rPr>
          <w:rFonts w:eastAsia="宋体"/>
          <w:szCs w:val="21"/>
        </w:rPr>
        <w:t>or</w:t>
      </w:r>
      <w:r>
        <w:rPr>
          <w:rFonts w:hint="eastAsia" w:eastAsia="宋体"/>
          <w:szCs w:val="21"/>
        </w:rPr>
        <w:t xml:space="preserve"> </w:t>
      </w:r>
      <w:r>
        <w:rPr>
          <w:rFonts w:eastAsia="宋体"/>
          <w:szCs w:val="21"/>
        </w:rPr>
        <w:t>“</w:t>
      </w:r>
      <w:r>
        <w:rPr>
          <w:rFonts w:eastAsia="宋体"/>
        </w:rPr>
        <w:t>unclear risk</w:t>
      </w:r>
      <w:r>
        <w:rPr>
          <w:rFonts w:eastAsia="宋体"/>
          <w:szCs w:val="21"/>
        </w:rPr>
        <w:t>”</w:t>
      </w:r>
      <w:r>
        <w:rPr>
          <w:rFonts w:hint="eastAsia" w:eastAsia="宋体"/>
          <w:szCs w:val="21"/>
        </w:rPr>
        <w:t>.</w:t>
      </w: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hideSpellingErrors/>
  <w:hideGrammatical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2B3"/>
    <w:rsid w:val="00014593"/>
    <w:rsid w:val="000212B3"/>
    <w:rsid w:val="00022FD9"/>
    <w:rsid w:val="000401DB"/>
    <w:rsid w:val="00051E48"/>
    <w:rsid w:val="00052F43"/>
    <w:rsid w:val="00063304"/>
    <w:rsid w:val="00073EA4"/>
    <w:rsid w:val="00083C7A"/>
    <w:rsid w:val="000A55B4"/>
    <w:rsid w:val="000B1B6A"/>
    <w:rsid w:val="000D0C94"/>
    <w:rsid w:val="000F69A8"/>
    <w:rsid w:val="00112ACD"/>
    <w:rsid w:val="00133A16"/>
    <w:rsid w:val="00133F23"/>
    <w:rsid w:val="00150086"/>
    <w:rsid w:val="00153A9D"/>
    <w:rsid w:val="00155556"/>
    <w:rsid w:val="00162839"/>
    <w:rsid w:val="001744B4"/>
    <w:rsid w:val="001871A6"/>
    <w:rsid w:val="001C1C2E"/>
    <w:rsid w:val="001C286C"/>
    <w:rsid w:val="001D430C"/>
    <w:rsid w:val="001E7D85"/>
    <w:rsid w:val="00222AD4"/>
    <w:rsid w:val="00222C25"/>
    <w:rsid w:val="00223575"/>
    <w:rsid w:val="00224338"/>
    <w:rsid w:val="00242269"/>
    <w:rsid w:val="002455EF"/>
    <w:rsid w:val="00253F09"/>
    <w:rsid w:val="00260F6B"/>
    <w:rsid w:val="002903CF"/>
    <w:rsid w:val="002B3E88"/>
    <w:rsid w:val="002F0016"/>
    <w:rsid w:val="00301A71"/>
    <w:rsid w:val="0031122F"/>
    <w:rsid w:val="0031371A"/>
    <w:rsid w:val="00314C2A"/>
    <w:rsid w:val="00320FDC"/>
    <w:rsid w:val="00370046"/>
    <w:rsid w:val="00370153"/>
    <w:rsid w:val="003720D6"/>
    <w:rsid w:val="003A3018"/>
    <w:rsid w:val="003A4E4B"/>
    <w:rsid w:val="003C0AFA"/>
    <w:rsid w:val="003C2980"/>
    <w:rsid w:val="003C3DE9"/>
    <w:rsid w:val="003D581C"/>
    <w:rsid w:val="003F5EC0"/>
    <w:rsid w:val="00417BA0"/>
    <w:rsid w:val="00430121"/>
    <w:rsid w:val="00432769"/>
    <w:rsid w:val="004331A5"/>
    <w:rsid w:val="00472595"/>
    <w:rsid w:val="00496913"/>
    <w:rsid w:val="004A6767"/>
    <w:rsid w:val="004D0428"/>
    <w:rsid w:val="004D0C7E"/>
    <w:rsid w:val="004D22F7"/>
    <w:rsid w:val="004D4D60"/>
    <w:rsid w:val="004E0C8D"/>
    <w:rsid w:val="004E3948"/>
    <w:rsid w:val="004E69D2"/>
    <w:rsid w:val="004F4129"/>
    <w:rsid w:val="004F7328"/>
    <w:rsid w:val="00506729"/>
    <w:rsid w:val="00516D7F"/>
    <w:rsid w:val="0053424D"/>
    <w:rsid w:val="00540C40"/>
    <w:rsid w:val="00571ED3"/>
    <w:rsid w:val="005A59ED"/>
    <w:rsid w:val="005C40AC"/>
    <w:rsid w:val="005D0B21"/>
    <w:rsid w:val="005E59BD"/>
    <w:rsid w:val="00607668"/>
    <w:rsid w:val="00620D3C"/>
    <w:rsid w:val="0064465F"/>
    <w:rsid w:val="00647345"/>
    <w:rsid w:val="00653D1F"/>
    <w:rsid w:val="00662894"/>
    <w:rsid w:val="00662FC1"/>
    <w:rsid w:val="006642F4"/>
    <w:rsid w:val="006722BA"/>
    <w:rsid w:val="006831E4"/>
    <w:rsid w:val="006932CA"/>
    <w:rsid w:val="006A270C"/>
    <w:rsid w:val="006B5761"/>
    <w:rsid w:val="006D45C2"/>
    <w:rsid w:val="007063BE"/>
    <w:rsid w:val="007122C2"/>
    <w:rsid w:val="00734829"/>
    <w:rsid w:val="007A35B5"/>
    <w:rsid w:val="007D655C"/>
    <w:rsid w:val="007E7E17"/>
    <w:rsid w:val="007F1D5D"/>
    <w:rsid w:val="007F26C7"/>
    <w:rsid w:val="007F513F"/>
    <w:rsid w:val="00802407"/>
    <w:rsid w:val="008037B2"/>
    <w:rsid w:val="00843919"/>
    <w:rsid w:val="00854853"/>
    <w:rsid w:val="00860347"/>
    <w:rsid w:val="0086645D"/>
    <w:rsid w:val="00881A71"/>
    <w:rsid w:val="008823D3"/>
    <w:rsid w:val="00883656"/>
    <w:rsid w:val="00885B4A"/>
    <w:rsid w:val="00892E13"/>
    <w:rsid w:val="008A5B17"/>
    <w:rsid w:val="008C1D6A"/>
    <w:rsid w:val="008D5885"/>
    <w:rsid w:val="008F36C2"/>
    <w:rsid w:val="0096027F"/>
    <w:rsid w:val="0097232B"/>
    <w:rsid w:val="00977F8C"/>
    <w:rsid w:val="009830C8"/>
    <w:rsid w:val="009A16B7"/>
    <w:rsid w:val="009B6CFE"/>
    <w:rsid w:val="009D1E0F"/>
    <w:rsid w:val="009D7A20"/>
    <w:rsid w:val="009E4348"/>
    <w:rsid w:val="009E4F18"/>
    <w:rsid w:val="009E6F93"/>
    <w:rsid w:val="00A166C7"/>
    <w:rsid w:val="00A2053E"/>
    <w:rsid w:val="00A21B3D"/>
    <w:rsid w:val="00A26368"/>
    <w:rsid w:val="00A32633"/>
    <w:rsid w:val="00A36C45"/>
    <w:rsid w:val="00A73AE2"/>
    <w:rsid w:val="00B004D3"/>
    <w:rsid w:val="00B20C04"/>
    <w:rsid w:val="00B30BA9"/>
    <w:rsid w:val="00B45C7A"/>
    <w:rsid w:val="00B527C2"/>
    <w:rsid w:val="00B91BEF"/>
    <w:rsid w:val="00BA2A47"/>
    <w:rsid w:val="00BA4E96"/>
    <w:rsid w:val="00BD2AD8"/>
    <w:rsid w:val="00BD6F84"/>
    <w:rsid w:val="00BE4F31"/>
    <w:rsid w:val="00BE777B"/>
    <w:rsid w:val="00C25A89"/>
    <w:rsid w:val="00C32436"/>
    <w:rsid w:val="00C531D3"/>
    <w:rsid w:val="00C636DB"/>
    <w:rsid w:val="00C67F46"/>
    <w:rsid w:val="00C7163E"/>
    <w:rsid w:val="00CB2E09"/>
    <w:rsid w:val="00CC4C95"/>
    <w:rsid w:val="00CF1A49"/>
    <w:rsid w:val="00CF2AA1"/>
    <w:rsid w:val="00CF535C"/>
    <w:rsid w:val="00D215A8"/>
    <w:rsid w:val="00D33A96"/>
    <w:rsid w:val="00D443C1"/>
    <w:rsid w:val="00D778AE"/>
    <w:rsid w:val="00D7796E"/>
    <w:rsid w:val="00D838DE"/>
    <w:rsid w:val="00D9426A"/>
    <w:rsid w:val="00DA0273"/>
    <w:rsid w:val="00DA14E9"/>
    <w:rsid w:val="00DC22B7"/>
    <w:rsid w:val="00DD2A59"/>
    <w:rsid w:val="00DF1FD9"/>
    <w:rsid w:val="00E04977"/>
    <w:rsid w:val="00E214BF"/>
    <w:rsid w:val="00E277E9"/>
    <w:rsid w:val="00E31772"/>
    <w:rsid w:val="00E46551"/>
    <w:rsid w:val="00E53987"/>
    <w:rsid w:val="00E77D3F"/>
    <w:rsid w:val="00EB2498"/>
    <w:rsid w:val="00EE5203"/>
    <w:rsid w:val="00EF262B"/>
    <w:rsid w:val="00EF71DD"/>
    <w:rsid w:val="00F160BA"/>
    <w:rsid w:val="00F23AE4"/>
    <w:rsid w:val="00F35FD8"/>
    <w:rsid w:val="00F438A0"/>
    <w:rsid w:val="00F74DA0"/>
    <w:rsid w:val="00F86274"/>
    <w:rsid w:val="00FA2830"/>
    <w:rsid w:val="00FA463B"/>
    <w:rsid w:val="00FB7F3E"/>
    <w:rsid w:val="00FD3C83"/>
    <w:rsid w:val="00FE67E1"/>
    <w:rsid w:val="00FE7B20"/>
    <w:rsid w:val="01AA7C3A"/>
    <w:rsid w:val="02421A49"/>
    <w:rsid w:val="041750CE"/>
    <w:rsid w:val="05C72178"/>
    <w:rsid w:val="06167993"/>
    <w:rsid w:val="066712F0"/>
    <w:rsid w:val="07035367"/>
    <w:rsid w:val="09FC16E6"/>
    <w:rsid w:val="0D536BEF"/>
    <w:rsid w:val="0EBF5F85"/>
    <w:rsid w:val="0FAD7E19"/>
    <w:rsid w:val="118049D5"/>
    <w:rsid w:val="160E650D"/>
    <w:rsid w:val="178D356D"/>
    <w:rsid w:val="1A3F5F0A"/>
    <w:rsid w:val="1E907342"/>
    <w:rsid w:val="1FA54E43"/>
    <w:rsid w:val="22174022"/>
    <w:rsid w:val="2327492B"/>
    <w:rsid w:val="23822D1A"/>
    <w:rsid w:val="2C350740"/>
    <w:rsid w:val="2C783545"/>
    <w:rsid w:val="33E80E32"/>
    <w:rsid w:val="3C9F3676"/>
    <w:rsid w:val="42DA7175"/>
    <w:rsid w:val="447D0F6A"/>
    <w:rsid w:val="45012E99"/>
    <w:rsid w:val="45343C88"/>
    <w:rsid w:val="45BF4FC9"/>
    <w:rsid w:val="469E4889"/>
    <w:rsid w:val="48CB01D1"/>
    <w:rsid w:val="49AC4BE8"/>
    <w:rsid w:val="4A1B7B92"/>
    <w:rsid w:val="4B1D1A0D"/>
    <w:rsid w:val="4BA52423"/>
    <w:rsid w:val="4BC119AA"/>
    <w:rsid w:val="4CC66E93"/>
    <w:rsid w:val="522F1CC9"/>
    <w:rsid w:val="547C6E71"/>
    <w:rsid w:val="57B44823"/>
    <w:rsid w:val="597023CF"/>
    <w:rsid w:val="5BD00929"/>
    <w:rsid w:val="5D2A2043"/>
    <w:rsid w:val="5D720997"/>
    <w:rsid w:val="5D767E3D"/>
    <w:rsid w:val="5D7A03ED"/>
    <w:rsid w:val="61D949E6"/>
    <w:rsid w:val="62C030EF"/>
    <w:rsid w:val="6532215D"/>
    <w:rsid w:val="69D33F36"/>
    <w:rsid w:val="70F449B1"/>
    <w:rsid w:val="7A993988"/>
    <w:rsid w:val="7BFD592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254</Words>
  <Characters>1454</Characters>
  <Lines>12</Lines>
  <Paragraphs>3</Paragraphs>
  <TotalTime>36</TotalTime>
  <ScaleCrop>false</ScaleCrop>
  <LinksUpToDate>false</LinksUpToDate>
  <CharactersWithSpaces>1705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2020-05-25T13:16:00Z</dcterms:created>
  <dc:creator>asus</dc:creator>
  <cp:lastModifiedBy>ThinkPad</cp:lastModifiedBy>
  <dcterms:modified xsi:type="dcterms:W3CDTF">2021-01-01T13:27:24Z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