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C74E2" w14:textId="4494EC51" w:rsidR="002E254A" w:rsidRPr="00A209BF" w:rsidRDefault="00CD4775" w:rsidP="00A209BF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A209BF">
        <w:rPr>
          <w:rFonts w:ascii="Arial" w:hAnsi="Arial" w:cs="Arial"/>
          <w:b/>
          <w:bCs/>
          <w:sz w:val="20"/>
          <w:szCs w:val="20"/>
        </w:rPr>
        <w:t>Learning points</w:t>
      </w:r>
    </w:p>
    <w:p w14:paraId="203AC8A1" w14:textId="52C7E728" w:rsidR="00CD4775" w:rsidRPr="00A209BF" w:rsidRDefault="00CD4775" w:rsidP="00A209BF">
      <w:p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 xml:space="preserve">What is already known about this subject: </w:t>
      </w:r>
    </w:p>
    <w:p w14:paraId="46506DC5" w14:textId="38B40C6F" w:rsidR="00CD4775" w:rsidRPr="00A209BF" w:rsidRDefault="00CD4775" w:rsidP="00A209B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>TNFR1, TNFR2, and KIM-1 are biomarkers that have been found to participate in acute kidney injury (AKI) and to promote chronic kidney disease (CKD) via pro-inflammatory and apoptotic pathways.</w:t>
      </w:r>
    </w:p>
    <w:p w14:paraId="20E5824C" w14:textId="33E519A1" w:rsidR="00CD4775" w:rsidRPr="00A209BF" w:rsidRDefault="00CD4775" w:rsidP="00A209B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 xml:space="preserve">TNFR1, TNFR2 and KIM-1 have been found to independently prognosticate adverse kidney and clinical outcomes in patients with established CKD with and without diabetes mellitus. </w:t>
      </w:r>
    </w:p>
    <w:p w14:paraId="7714FC5E" w14:textId="59FBDE0B" w:rsidR="00CD4775" w:rsidRPr="00A209BF" w:rsidRDefault="00CD4775" w:rsidP="00A209B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>Post-operative TNFR levels have been found to predict death and CKD events in cardiac surgery patients.</w:t>
      </w:r>
    </w:p>
    <w:p w14:paraId="2E2BDBEE" w14:textId="1BD3AD01" w:rsidR="00CD4775" w:rsidRPr="00A209BF" w:rsidRDefault="00CD4775" w:rsidP="00A209BF">
      <w:p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>What this study adds:</w:t>
      </w:r>
    </w:p>
    <w:p w14:paraId="22A0B5EA" w14:textId="4094436B" w:rsidR="00CD4775" w:rsidRPr="00A209BF" w:rsidRDefault="00CD4775" w:rsidP="00A209B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>Pre-operative TNFR1, TNFR2, and KIM-1 can independently predict longitudinal clinical events such as death, CKD events, and cardiovascular outcomes in patients who survived a cardiac surgery hospitalization.</w:t>
      </w:r>
    </w:p>
    <w:p w14:paraId="3BCB8395" w14:textId="621A60D0" w:rsidR="00CD4775" w:rsidRPr="00A209BF" w:rsidRDefault="00CD4775" w:rsidP="00A209B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>These associations were seen in high-risk individuals at risk for kidney and clinical events. Diabetes mellitus did not modify the association between biomarkers and clinical events.</w:t>
      </w:r>
    </w:p>
    <w:p w14:paraId="290103D3" w14:textId="75DC8930" w:rsidR="00CD4775" w:rsidRPr="00A209BF" w:rsidRDefault="00CD4775" w:rsidP="00A209B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 xml:space="preserve">When biomarkers were incorporated </w:t>
      </w:r>
      <w:r w:rsidR="00383D83" w:rsidRPr="00A209BF">
        <w:rPr>
          <w:rFonts w:ascii="Arial" w:hAnsi="Arial" w:cs="Arial"/>
          <w:sz w:val="20"/>
          <w:szCs w:val="20"/>
        </w:rPr>
        <w:t>into</w:t>
      </w:r>
      <w:r w:rsidRPr="00A209BF">
        <w:rPr>
          <w:rFonts w:ascii="Arial" w:hAnsi="Arial" w:cs="Arial"/>
          <w:sz w:val="20"/>
          <w:szCs w:val="20"/>
        </w:rPr>
        <w:t xml:space="preserve"> a clinical model, they did not significantly </w:t>
      </w:r>
      <w:r w:rsidR="00383D83" w:rsidRPr="00A209BF">
        <w:rPr>
          <w:rFonts w:ascii="Arial" w:hAnsi="Arial" w:cs="Arial"/>
          <w:sz w:val="20"/>
          <w:szCs w:val="20"/>
        </w:rPr>
        <w:t>increase</w:t>
      </w:r>
      <w:r w:rsidRPr="00A209BF">
        <w:rPr>
          <w:rFonts w:ascii="Arial" w:hAnsi="Arial" w:cs="Arial"/>
          <w:sz w:val="20"/>
          <w:szCs w:val="20"/>
        </w:rPr>
        <w:t xml:space="preserve"> the </w:t>
      </w:r>
      <w:r w:rsidR="00383D83" w:rsidRPr="00A209BF">
        <w:rPr>
          <w:rFonts w:ascii="Arial" w:hAnsi="Arial" w:cs="Arial"/>
          <w:sz w:val="20"/>
          <w:szCs w:val="20"/>
        </w:rPr>
        <w:t xml:space="preserve">discrimination of outcomes; perhaps due to the multifactorial nature of those. </w:t>
      </w:r>
    </w:p>
    <w:p w14:paraId="3EE81D2F" w14:textId="19A0DA6F" w:rsidR="00CD4775" w:rsidRPr="00A209BF" w:rsidRDefault="00CD4775" w:rsidP="00A209BF">
      <w:p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>What impact may</w:t>
      </w:r>
      <w:r w:rsidR="00383D83" w:rsidRPr="00A209BF">
        <w:rPr>
          <w:rFonts w:ascii="Arial" w:hAnsi="Arial" w:cs="Arial"/>
          <w:sz w:val="20"/>
          <w:szCs w:val="20"/>
        </w:rPr>
        <w:t xml:space="preserve"> have on practice:</w:t>
      </w:r>
    </w:p>
    <w:p w14:paraId="7ED4F3F3" w14:textId="4BFE8B2F" w:rsidR="00383D83" w:rsidRPr="00A209BF" w:rsidRDefault="00383D83" w:rsidP="00A209B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>These biomarkers may serve to understand key pathways implicated in the excess risk of clinical events after a major clinical stressor such as cardiac injury.</w:t>
      </w:r>
    </w:p>
    <w:p w14:paraId="7F2E64A9" w14:textId="3D85F785" w:rsidR="00383D83" w:rsidRPr="00A209BF" w:rsidRDefault="00383D83" w:rsidP="00A209B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0"/>
          <w:szCs w:val="20"/>
        </w:rPr>
      </w:pPr>
      <w:r w:rsidRPr="00A209BF">
        <w:rPr>
          <w:rFonts w:ascii="Arial" w:hAnsi="Arial" w:cs="Arial"/>
          <w:sz w:val="20"/>
          <w:szCs w:val="20"/>
        </w:rPr>
        <w:t>Further studies should explore if repeated measurements (pre and post) could serve in the risk-stratification of patients undergoing cardiac surgery</w:t>
      </w:r>
    </w:p>
    <w:sectPr w:rsidR="00383D83" w:rsidRPr="00A20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E0C13"/>
    <w:multiLevelType w:val="hybridMultilevel"/>
    <w:tmpl w:val="0A20B890"/>
    <w:lvl w:ilvl="0" w:tplc="E49852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75"/>
    <w:rsid w:val="002E254A"/>
    <w:rsid w:val="00383D83"/>
    <w:rsid w:val="00A209BF"/>
    <w:rsid w:val="00C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A39C6"/>
  <w15:chartTrackingRefBased/>
  <w15:docId w15:val="{DDF27961-16DA-4E49-9E4A-A84FDE70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2</cp:revision>
  <dcterms:created xsi:type="dcterms:W3CDTF">2021-12-14T02:12:00Z</dcterms:created>
  <dcterms:modified xsi:type="dcterms:W3CDTF">2022-03-13T21:10:00Z</dcterms:modified>
</cp:coreProperties>
</file>