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6E7" w:rsidRDefault="00802787" w:rsidP="006A6C7E">
      <w:pPr>
        <w:spacing w:beforeLines="50" w:before="156" w:afterLines="50" w:after="1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b/>
          <w:sz w:val="20"/>
          <w:szCs w:val="20"/>
          <w:lang w:bidi="ar"/>
        </w:rPr>
        <w:t>T</w:t>
      </w:r>
      <w:r w:rsidR="00FB7A6B">
        <w:rPr>
          <w:rFonts w:ascii="Times New Roman" w:eastAsia="宋体" w:hAnsi="Times New Roman" w:cs="Times New Roman" w:hint="eastAsia"/>
          <w:b/>
          <w:sz w:val="20"/>
          <w:szCs w:val="20"/>
          <w:lang w:bidi="ar"/>
        </w:rPr>
        <w:t>able</w:t>
      </w:r>
      <w:bookmarkStart w:id="0" w:name="_GoBack"/>
      <w:bookmarkEnd w:id="0"/>
      <w:r>
        <w:rPr>
          <w:rFonts w:ascii="Times New Roman" w:eastAsia="宋体" w:hAnsi="Times New Roman" w:cs="Times New Roman"/>
          <w:b/>
          <w:sz w:val="20"/>
          <w:szCs w:val="20"/>
          <w:lang w:bidi="ar"/>
        </w:rPr>
        <w:t xml:space="preserve"> S2 </w:t>
      </w:r>
      <w:r>
        <w:rPr>
          <w:rFonts w:ascii="Times New Roman" w:eastAsia="宋体" w:hAnsi="Times New Roman" w:cs="Times New Roman"/>
          <w:sz w:val="20"/>
          <w:szCs w:val="20"/>
          <w:lang w:bidi="ar"/>
        </w:rPr>
        <w:t>Variance inflation factor (VIF) of soil variables for fungal community before selection</w:t>
      </w:r>
    </w:p>
    <w:tbl>
      <w:tblPr>
        <w:tblStyle w:val="a3"/>
        <w:tblW w:w="9312" w:type="dxa"/>
        <w:tblBorders>
          <w:left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5"/>
        <w:gridCol w:w="2329"/>
        <w:gridCol w:w="2329"/>
        <w:gridCol w:w="2329"/>
      </w:tblGrid>
      <w:tr w:rsidR="001126E7" w:rsidTr="001126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dxa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auto"/>
            <w:noWrap/>
          </w:tcPr>
          <w:p w:rsidR="001126E7" w:rsidRDefault="00802787">
            <w:pPr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Soil variables</w:t>
            </w:r>
          </w:p>
        </w:tc>
        <w:tc>
          <w:tcPr>
            <w:tcW w:w="232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noWrap/>
          </w:tcPr>
          <w:p w:rsidR="001126E7" w:rsidRDefault="008027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VIF</w:t>
            </w:r>
          </w:p>
        </w:tc>
        <w:tc>
          <w:tcPr>
            <w:tcW w:w="2328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126E7" w:rsidRDefault="008027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Soil variables</w:t>
            </w:r>
          </w:p>
        </w:tc>
        <w:tc>
          <w:tcPr>
            <w:tcW w:w="2328" w:type="dxa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auto"/>
            <w:noWrap/>
          </w:tcPr>
          <w:p w:rsidR="001126E7" w:rsidRDefault="008027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　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VIF</w:t>
            </w:r>
          </w:p>
        </w:tc>
      </w:tr>
      <w:tr w:rsidR="001126E7" w:rsidTr="001126E7">
        <w:trPr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126E7" w:rsidRDefault="00802787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pH</w:t>
            </w:r>
          </w:p>
        </w:tc>
        <w:tc>
          <w:tcPr>
            <w:tcW w:w="2328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126E7" w:rsidRDefault="00802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18.74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26E7" w:rsidRDefault="00802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URE (mg/g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•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3h)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1126E7" w:rsidRDefault="00802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35.98</w:t>
            </w:r>
          </w:p>
        </w:tc>
      </w:tr>
      <w:tr w:rsidR="001126E7" w:rsidTr="001126E7">
        <w:trPr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26E7" w:rsidRDefault="00802787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SOC (g/kg)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26E7" w:rsidRDefault="00802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101.01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26E7" w:rsidRDefault="00802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ACP (mg/g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•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24h)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26E7" w:rsidRDefault="00802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3.77</w:t>
            </w:r>
          </w:p>
        </w:tc>
      </w:tr>
      <w:tr w:rsidR="001126E7" w:rsidTr="001126E7">
        <w:trPr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26E7" w:rsidRDefault="00802787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TN (g/kg)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26E7" w:rsidRDefault="00802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119.12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26E7" w:rsidRDefault="00802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CAT (ml/g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•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h)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26E7" w:rsidRDefault="00802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15.98</w:t>
            </w:r>
          </w:p>
        </w:tc>
      </w:tr>
      <w:tr w:rsidR="001126E7" w:rsidTr="001126E7">
        <w:trPr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26E7" w:rsidRDefault="00802787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TP (g/kg)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26E7" w:rsidRDefault="00802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33.61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26E7" w:rsidRDefault="00802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INV (mg/g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•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24h)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26E7" w:rsidRDefault="00802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17.29</w:t>
            </w:r>
          </w:p>
        </w:tc>
      </w:tr>
      <w:tr w:rsidR="001126E7" w:rsidTr="001126E7">
        <w:trPr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26E7" w:rsidRDefault="00802787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TK (g/kg)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26E7" w:rsidRDefault="00802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15.78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26E7" w:rsidRDefault="00802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MBC (mg/kg)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26E7" w:rsidRDefault="00802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26.28</w:t>
            </w:r>
          </w:p>
        </w:tc>
      </w:tr>
      <w:tr w:rsidR="001126E7" w:rsidTr="001126E7">
        <w:trPr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26E7" w:rsidRDefault="00DC68A1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>NO</w:t>
            </w:r>
            <w:r w:rsidRPr="001663A7">
              <w:rPr>
                <w:rFonts w:ascii="Times New Roman" w:hAnsi="Times New Roman" w:cs="Times New Roman" w:hint="eastAsia"/>
                <w:sz w:val="20"/>
                <w:szCs w:val="18"/>
                <w:vertAlign w:val="subscript"/>
              </w:rPr>
              <w:t>3</w:t>
            </w:r>
            <w:r w:rsidRPr="001663A7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  <w:vertAlign w:val="superscript"/>
              </w:rPr>
              <w:t>−</w:t>
            </w:r>
            <w:r>
              <w:rPr>
                <w:rFonts w:ascii="Times New Roman" w:eastAsia="宋体" w:hAnsi="Times New Roman" w:cs="Times New Roman" w:hint="eastAsia"/>
                <w:color w:val="131413"/>
                <w:kern w:val="0"/>
                <w:sz w:val="20"/>
                <w:szCs w:val="32"/>
              </w:rPr>
              <w:t>-N</w:t>
            </w:r>
            <w:r w:rsidR="00802787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 (mg/kg)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26E7" w:rsidRDefault="00802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49.59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26E7" w:rsidRDefault="00802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MBN (mg/kg)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26E7" w:rsidRDefault="00802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13.61</w:t>
            </w:r>
          </w:p>
        </w:tc>
      </w:tr>
      <w:tr w:rsidR="001126E7" w:rsidTr="001126E7">
        <w:trPr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26E7" w:rsidRDefault="00DC68A1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NH</w:t>
            </w:r>
            <w:r w:rsidRPr="001663A7">
              <w:rPr>
                <w:rFonts w:ascii="Times New Roman" w:eastAsia="宋体" w:hAnsi="Times New Roman" w:cs="Times New Roman" w:hint="eastAsia"/>
                <w:color w:val="131413"/>
                <w:kern w:val="0"/>
                <w:sz w:val="20"/>
                <w:szCs w:val="20"/>
                <w:vertAlign w:val="subscript"/>
              </w:rPr>
              <w:t>4</w:t>
            </w:r>
            <w:r w:rsidRPr="001663A7">
              <w:rPr>
                <w:rFonts w:ascii="Times New Roman" w:eastAsia="宋体" w:hAnsi="Times New Roman" w:cs="Times New Roman" w:hint="eastAsia"/>
                <w:color w:val="131413"/>
                <w:kern w:val="0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-N</w:t>
            </w:r>
            <w:r w:rsidR="00802787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 xml:space="preserve"> </w:t>
            </w:r>
            <w:r w:rsidR="00802787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(mg/kg)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26E7" w:rsidRDefault="00802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42.07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126E7" w:rsidRDefault="00802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MBP (mg/kg)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26E7" w:rsidRDefault="00802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6.71</w:t>
            </w:r>
          </w:p>
        </w:tc>
      </w:tr>
      <w:tr w:rsidR="001126E7" w:rsidTr="001126E7">
        <w:trPr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26E7" w:rsidRDefault="00802787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AP (mg/kg)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26E7" w:rsidRDefault="00802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3.44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26E7" w:rsidRDefault="00802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AB (mg/kg)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126E7" w:rsidRDefault="00802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18.57</w:t>
            </w:r>
          </w:p>
        </w:tc>
      </w:tr>
      <w:tr w:rsidR="001126E7" w:rsidTr="001126E7">
        <w:trPr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126E7" w:rsidRDefault="00802787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AK (mg/kg)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126E7" w:rsidRDefault="008027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48.29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126E7" w:rsidRDefault="001126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126E7" w:rsidRDefault="001126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1126E7" w:rsidRDefault="00802787">
      <w:pPr>
        <w:widowControl/>
        <w:jc w:val="left"/>
      </w:pPr>
      <w:r>
        <w:rPr>
          <w:rFonts w:ascii="Times New Roman" w:eastAsia="宋体" w:hAnsi="Times New Roman" w:cs="Times New Roman"/>
          <w:sz w:val="20"/>
          <w:szCs w:val="22"/>
          <w:lang w:bidi="ar"/>
        </w:rPr>
        <w:t xml:space="preserve">Variance inflation factor (VIF) is used to test the </w:t>
      </w:r>
      <w:proofErr w:type="spellStart"/>
      <w:r>
        <w:rPr>
          <w:rFonts w:ascii="Times New Roman" w:eastAsia="宋体" w:hAnsi="Times New Roman" w:cs="Times New Roman"/>
          <w:sz w:val="20"/>
          <w:szCs w:val="22"/>
          <w:lang w:bidi="ar"/>
        </w:rPr>
        <w:t>collinearity</w:t>
      </w:r>
      <w:proofErr w:type="spellEnd"/>
      <w:r>
        <w:rPr>
          <w:rFonts w:ascii="Times New Roman" w:eastAsia="宋体" w:hAnsi="Times New Roman" w:cs="Times New Roman"/>
          <w:sz w:val="20"/>
          <w:szCs w:val="22"/>
          <w:lang w:bidi="ar"/>
        </w:rPr>
        <w:t xml:space="preserve"> between variables; a VIF &gt; 10 means strong </w:t>
      </w:r>
      <w:proofErr w:type="spellStart"/>
      <w:r>
        <w:rPr>
          <w:rFonts w:ascii="Times New Roman" w:eastAsia="宋体" w:hAnsi="Times New Roman" w:cs="Times New Roman"/>
          <w:sz w:val="20"/>
          <w:szCs w:val="22"/>
          <w:lang w:bidi="ar"/>
        </w:rPr>
        <w:t>collinearity</w:t>
      </w:r>
      <w:proofErr w:type="spellEnd"/>
      <w:r>
        <w:rPr>
          <w:rFonts w:ascii="Times New Roman" w:eastAsia="宋体" w:hAnsi="Times New Roman" w:cs="Times New Roman"/>
          <w:sz w:val="20"/>
          <w:szCs w:val="22"/>
          <w:lang w:bidi="ar"/>
        </w:rPr>
        <w:t xml:space="preserve"> between variables.</w:t>
      </w:r>
    </w:p>
    <w:p w:rsidR="001126E7" w:rsidRDefault="001126E7"/>
    <w:sectPr w:rsidR="001126E7"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D19" w:rsidRDefault="00DF4D19" w:rsidP="006A6C7E">
      <w:r>
        <w:separator/>
      </w:r>
    </w:p>
  </w:endnote>
  <w:endnote w:type="continuationSeparator" w:id="0">
    <w:p w:rsidR="00DF4D19" w:rsidRDefault="00DF4D19" w:rsidP="006A6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D19" w:rsidRDefault="00DF4D19" w:rsidP="006A6C7E">
      <w:r>
        <w:separator/>
      </w:r>
    </w:p>
  </w:footnote>
  <w:footnote w:type="continuationSeparator" w:id="0">
    <w:p w:rsidR="00DF4D19" w:rsidRDefault="00DF4D19" w:rsidP="006A6C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E16634"/>
    <w:rsid w:val="001126E7"/>
    <w:rsid w:val="005A424D"/>
    <w:rsid w:val="006A6C7E"/>
    <w:rsid w:val="00802787"/>
    <w:rsid w:val="00B14628"/>
    <w:rsid w:val="00DC68A1"/>
    <w:rsid w:val="00DF4D19"/>
    <w:rsid w:val="00EE7449"/>
    <w:rsid w:val="00FB7A6B"/>
    <w:rsid w:val="15E1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Pr>
      <w:rFonts w:cs="Times New Roman"/>
      <w:color w:val="000000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8" w:space="0" w:color="000000"/>
        <w:left w:val="nil"/>
        <w:bottom w:val="single" w:sz="8" w:space="0" w:color="000000"/>
        <w:right w:val="nil"/>
      </w:tcBorders>
    </w:tcPr>
    <w:tblStylePr w:type="firstRow">
      <w:pPr>
        <w:spacing w:before="0" w:beforeAutospacing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</w:tcBorders>
      </w:tcPr>
    </w:tblStylePr>
    <w:tblStylePr w:type="lastRow">
      <w:pPr>
        <w:spacing w:before="0" w:beforeAutospacing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</w:tcBorders>
        <w:shd w:val="clear" w:color="auto" w:fill="C0C0C0"/>
      </w:tcPr>
    </w:tblStylePr>
  </w:style>
  <w:style w:type="paragraph" w:styleId="a4">
    <w:name w:val="header"/>
    <w:basedOn w:val="a"/>
    <w:link w:val="Char"/>
    <w:rsid w:val="006A6C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A6C7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6A6C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A6C7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Light Shading"/>
    <w:basedOn w:val="a1"/>
    <w:uiPriority w:val="60"/>
    <w:rPr>
      <w:rFonts w:cs="Times New Roman"/>
      <w:color w:val="000000"/>
    </w:rPr>
    <w:tblPr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8" w:space="0" w:color="000000"/>
        <w:left w:val="nil"/>
        <w:bottom w:val="single" w:sz="8" w:space="0" w:color="000000"/>
        <w:right w:val="nil"/>
      </w:tcBorders>
    </w:tcPr>
    <w:tblStylePr w:type="firstRow">
      <w:pPr>
        <w:spacing w:before="0" w:beforeAutospacing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</w:tcBorders>
      </w:tcPr>
    </w:tblStylePr>
    <w:tblStylePr w:type="lastRow">
      <w:pPr>
        <w:spacing w:before="0" w:beforeAutospacing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</w:tcBorders>
        <w:shd w:val="clear" w:color="auto" w:fill="C0C0C0"/>
      </w:tcPr>
    </w:tblStylePr>
  </w:style>
  <w:style w:type="paragraph" w:styleId="a4">
    <w:name w:val="header"/>
    <w:basedOn w:val="a"/>
    <w:link w:val="Char"/>
    <w:rsid w:val="006A6C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A6C7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6A6C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A6C7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</dc:creator>
  <cp:lastModifiedBy>Windows 用户</cp:lastModifiedBy>
  <cp:revision>5</cp:revision>
  <dcterms:created xsi:type="dcterms:W3CDTF">2021-11-07T09:52:00Z</dcterms:created>
  <dcterms:modified xsi:type="dcterms:W3CDTF">2021-12-21T06:09:00Z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E91F6E09C6984A58A90952A98BCA3D18</vt:lpwstr>
  </property>
</Properties>
</file>