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48E501" w14:textId="4CF6EC64" w:rsidR="00C83211" w:rsidRPr="00EA2870" w:rsidRDefault="00B255F0" w:rsidP="00C83211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Supplementary </w:t>
      </w:r>
      <w:r w:rsidR="00C83211">
        <w:rPr>
          <w:b/>
          <w:sz w:val="28"/>
          <w:szCs w:val="28"/>
          <w:u w:val="single"/>
        </w:rPr>
        <w:t>Table - 3</w:t>
      </w:r>
    </w:p>
    <w:p w14:paraId="0A48E502" w14:textId="77777777" w:rsidR="00C83211" w:rsidRPr="00EA2870" w:rsidRDefault="00C83211" w:rsidP="00C83211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both"/>
        <w:rPr>
          <w:b/>
          <w:sz w:val="28"/>
          <w:szCs w:val="28"/>
        </w:rPr>
      </w:pPr>
      <w:r w:rsidRPr="00EA2870">
        <w:rPr>
          <w:b/>
          <w:sz w:val="28"/>
          <w:szCs w:val="28"/>
          <w:u w:val="single"/>
        </w:rPr>
        <w:t xml:space="preserve">List of </w:t>
      </w:r>
      <w:r w:rsidRPr="00EA2870">
        <w:rPr>
          <w:b/>
          <w:noProof/>
          <w:sz w:val="28"/>
          <w:szCs w:val="28"/>
          <w:u w:val="single"/>
        </w:rPr>
        <w:t>inflammation-related gene</w:t>
      </w:r>
      <w:r>
        <w:rPr>
          <w:b/>
          <w:noProof/>
          <w:sz w:val="28"/>
          <w:szCs w:val="28"/>
          <w:u w:val="single"/>
        </w:rPr>
        <w:t xml:space="preserve">s </w:t>
      </w:r>
    </w:p>
    <w:p w14:paraId="0A48E503" w14:textId="77777777" w:rsidR="00C83211" w:rsidRPr="00EA2870" w:rsidRDefault="00C83211" w:rsidP="00C83211">
      <w:pPr>
        <w:spacing w:line="360" w:lineRule="auto"/>
        <w:jc w:val="both"/>
        <w:rPr>
          <w:sz w:val="28"/>
          <w:szCs w:val="28"/>
        </w:rPr>
      </w:pPr>
      <w:r w:rsidRPr="00EA2870">
        <w:rPr>
          <w:sz w:val="28"/>
          <w:szCs w:val="28"/>
        </w:rPr>
        <w:fldChar w:fldCharType="begin"/>
      </w:r>
      <w:r w:rsidRPr="00EA2870">
        <w:rPr>
          <w:sz w:val="28"/>
          <w:szCs w:val="28"/>
        </w:rPr>
        <w:instrText xml:space="preserve"> LINK Excel.Sheet.12 "D:\\D Drive\\STEMPEUTICS_charan\\Papers working\\Preclinical paper\\CLI preclinical Microarray\\8.10.15_Angiogenesis IMP 1 and 1A vs HFF.xlsx" "list of genes !R29C1:R63C5" \a \f 5 \h  \* MERGEFORMAT </w:instrText>
      </w:r>
      <w:r w:rsidRPr="00EA2870">
        <w:rPr>
          <w:sz w:val="28"/>
          <w:szCs w:val="28"/>
        </w:rPr>
        <w:fldChar w:fldCharType="separate"/>
      </w: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1285"/>
        <w:gridCol w:w="4344"/>
        <w:gridCol w:w="1983"/>
        <w:gridCol w:w="2193"/>
      </w:tblGrid>
      <w:tr w:rsidR="00C83211" w:rsidRPr="00EA2870" w14:paraId="0A48E508" w14:textId="77777777" w:rsidTr="004D012F">
        <w:trPr>
          <w:trHeight w:val="300"/>
        </w:trPr>
        <w:tc>
          <w:tcPr>
            <w:tcW w:w="1285" w:type="dxa"/>
            <w:noWrap/>
            <w:hideMark/>
          </w:tcPr>
          <w:p w14:paraId="0A48E504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Gene symbol</w:t>
            </w:r>
          </w:p>
        </w:tc>
        <w:tc>
          <w:tcPr>
            <w:tcW w:w="4344" w:type="dxa"/>
            <w:noWrap/>
            <w:hideMark/>
          </w:tcPr>
          <w:p w14:paraId="0A48E505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Name</w:t>
            </w:r>
          </w:p>
        </w:tc>
        <w:tc>
          <w:tcPr>
            <w:tcW w:w="1983" w:type="dxa"/>
            <w:noWrap/>
            <w:hideMark/>
          </w:tcPr>
          <w:p w14:paraId="0A48E506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Stempeucel®-</w:t>
            </w:r>
            <w:r w:rsidRPr="00EA2870">
              <w:rPr>
                <w:color w:val="000000" w:themeColor="text1"/>
                <w:sz w:val="28"/>
                <w:szCs w:val="28"/>
              </w:rPr>
              <w:t>1 vs HFF</w:t>
            </w:r>
          </w:p>
        </w:tc>
        <w:tc>
          <w:tcPr>
            <w:tcW w:w="2193" w:type="dxa"/>
            <w:noWrap/>
            <w:hideMark/>
          </w:tcPr>
          <w:p w14:paraId="0A48E507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Stempeucel®-</w:t>
            </w:r>
            <w:r w:rsidRPr="00EA2870">
              <w:rPr>
                <w:color w:val="000000" w:themeColor="text1"/>
                <w:sz w:val="28"/>
                <w:szCs w:val="28"/>
              </w:rPr>
              <w:t>1A vs HFF</w:t>
            </w:r>
          </w:p>
        </w:tc>
      </w:tr>
      <w:tr w:rsidR="00C83211" w:rsidRPr="00EA2870" w14:paraId="0A48E50D" w14:textId="77777777" w:rsidTr="004D012F">
        <w:trPr>
          <w:trHeight w:val="300"/>
        </w:trPr>
        <w:tc>
          <w:tcPr>
            <w:tcW w:w="1285" w:type="dxa"/>
            <w:noWrap/>
            <w:hideMark/>
          </w:tcPr>
          <w:p w14:paraId="0A48E509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IDO</w:t>
            </w:r>
          </w:p>
        </w:tc>
        <w:tc>
          <w:tcPr>
            <w:tcW w:w="4344" w:type="dxa"/>
            <w:noWrap/>
            <w:hideMark/>
          </w:tcPr>
          <w:p w14:paraId="0A48E50A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Indoleamine 2,3-Dioxygenase 1</w:t>
            </w:r>
          </w:p>
        </w:tc>
        <w:tc>
          <w:tcPr>
            <w:tcW w:w="1983" w:type="dxa"/>
            <w:noWrap/>
            <w:hideMark/>
          </w:tcPr>
          <w:p w14:paraId="0A48E50B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5.9</w:t>
            </w:r>
          </w:p>
        </w:tc>
        <w:tc>
          <w:tcPr>
            <w:tcW w:w="2193" w:type="dxa"/>
            <w:noWrap/>
            <w:hideMark/>
          </w:tcPr>
          <w:p w14:paraId="0A48E50C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5.41</w:t>
            </w:r>
          </w:p>
        </w:tc>
      </w:tr>
      <w:tr w:rsidR="00C83211" w:rsidRPr="00EA2870" w14:paraId="0A48E512" w14:textId="77777777" w:rsidTr="004D012F">
        <w:trPr>
          <w:trHeight w:val="300"/>
        </w:trPr>
        <w:tc>
          <w:tcPr>
            <w:tcW w:w="1285" w:type="dxa"/>
            <w:noWrap/>
            <w:hideMark/>
          </w:tcPr>
          <w:p w14:paraId="0A48E50E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IL-10</w:t>
            </w:r>
          </w:p>
        </w:tc>
        <w:tc>
          <w:tcPr>
            <w:tcW w:w="4344" w:type="dxa"/>
            <w:noWrap/>
            <w:hideMark/>
          </w:tcPr>
          <w:p w14:paraId="0A48E50F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Interleukin 10</w:t>
            </w:r>
          </w:p>
        </w:tc>
        <w:tc>
          <w:tcPr>
            <w:tcW w:w="1983" w:type="dxa"/>
            <w:noWrap/>
            <w:hideMark/>
          </w:tcPr>
          <w:p w14:paraId="0A48E510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5.87</w:t>
            </w:r>
          </w:p>
        </w:tc>
        <w:tc>
          <w:tcPr>
            <w:tcW w:w="2193" w:type="dxa"/>
            <w:noWrap/>
            <w:hideMark/>
          </w:tcPr>
          <w:p w14:paraId="0A48E511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5.01</w:t>
            </w:r>
          </w:p>
        </w:tc>
      </w:tr>
      <w:tr w:rsidR="00C83211" w:rsidRPr="00EA2870" w14:paraId="0A48E517" w14:textId="77777777" w:rsidTr="004D012F">
        <w:trPr>
          <w:trHeight w:val="300"/>
        </w:trPr>
        <w:tc>
          <w:tcPr>
            <w:tcW w:w="1285" w:type="dxa"/>
            <w:shd w:val="clear" w:color="auto" w:fill="auto"/>
            <w:noWrap/>
            <w:hideMark/>
          </w:tcPr>
          <w:p w14:paraId="0A48E513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ICAM-1</w:t>
            </w:r>
          </w:p>
        </w:tc>
        <w:tc>
          <w:tcPr>
            <w:tcW w:w="4344" w:type="dxa"/>
            <w:shd w:val="clear" w:color="auto" w:fill="auto"/>
            <w:noWrap/>
            <w:hideMark/>
          </w:tcPr>
          <w:p w14:paraId="0A48E514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Intercellular Adhesion Molecule 1</w:t>
            </w:r>
          </w:p>
        </w:tc>
        <w:tc>
          <w:tcPr>
            <w:tcW w:w="1983" w:type="dxa"/>
            <w:shd w:val="clear" w:color="auto" w:fill="auto"/>
            <w:noWrap/>
            <w:hideMark/>
          </w:tcPr>
          <w:p w14:paraId="0A48E515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4.1</w:t>
            </w:r>
          </w:p>
        </w:tc>
        <w:tc>
          <w:tcPr>
            <w:tcW w:w="2193" w:type="dxa"/>
            <w:shd w:val="clear" w:color="auto" w:fill="auto"/>
            <w:noWrap/>
            <w:hideMark/>
          </w:tcPr>
          <w:p w14:paraId="0A48E516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4.8</w:t>
            </w:r>
          </w:p>
        </w:tc>
      </w:tr>
      <w:tr w:rsidR="00C83211" w:rsidRPr="00EA2870" w14:paraId="0A48E51C" w14:textId="77777777" w:rsidTr="004D012F">
        <w:trPr>
          <w:trHeight w:val="300"/>
        </w:trPr>
        <w:tc>
          <w:tcPr>
            <w:tcW w:w="1285" w:type="dxa"/>
            <w:noWrap/>
            <w:hideMark/>
          </w:tcPr>
          <w:p w14:paraId="0A48E518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VCAM-1</w:t>
            </w:r>
          </w:p>
        </w:tc>
        <w:tc>
          <w:tcPr>
            <w:tcW w:w="4344" w:type="dxa"/>
            <w:hideMark/>
          </w:tcPr>
          <w:p w14:paraId="0A48E519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Vascular Cell Adhesion Molecule 1</w:t>
            </w:r>
          </w:p>
        </w:tc>
        <w:tc>
          <w:tcPr>
            <w:tcW w:w="1983" w:type="dxa"/>
            <w:noWrap/>
            <w:hideMark/>
          </w:tcPr>
          <w:p w14:paraId="0A48E51A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5.6</w:t>
            </w:r>
          </w:p>
        </w:tc>
        <w:tc>
          <w:tcPr>
            <w:tcW w:w="2193" w:type="dxa"/>
            <w:noWrap/>
            <w:hideMark/>
          </w:tcPr>
          <w:p w14:paraId="0A48E51B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5.4</w:t>
            </w:r>
          </w:p>
        </w:tc>
      </w:tr>
      <w:tr w:rsidR="00C83211" w:rsidRPr="00EA2870" w14:paraId="0A48E521" w14:textId="77777777" w:rsidTr="004D012F">
        <w:trPr>
          <w:trHeight w:val="300"/>
        </w:trPr>
        <w:tc>
          <w:tcPr>
            <w:tcW w:w="1285" w:type="dxa"/>
            <w:shd w:val="clear" w:color="auto" w:fill="auto"/>
            <w:noWrap/>
            <w:hideMark/>
          </w:tcPr>
          <w:p w14:paraId="0A48E51D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noProof/>
                <w:color w:val="000000" w:themeColor="text1"/>
                <w:sz w:val="28"/>
                <w:szCs w:val="28"/>
              </w:rPr>
              <w:t>VEGF A</w:t>
            </w:r>
          </w:p>
        </w:tc>
        <w:tc>
          <w:tcPr>
            <w:tcW w:w="4344" w:type="dxa"/>
            <w:shd w:val="clear" w:color="auto" w:fill="auto"/>
            <w:noWrap/>
            <w:hideMark/>
          </w:tcPr>
          <w:p w14:paraId="0A48E51E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vascular endothelial growth factor A</w:t>
            </w:r>
          </w:p>
        </w:tc>
        <w:tc>
          <w:tcPr>
            <w:tcW w:w="1983" w:type="dxa"/>
            <w:shd w:val="clear" w:color="auto" w:fill="auto"/>
            <w:noWrap/>
            <w:hideMark/>
          </w:tcPr>
          <w:p w14:paraId="0A48E51F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2.27</w:t>
            </w:r>
          </w:p>
        </w:tc>
        <w:tc>
          <w:tcPr>
            <w:tcW w:w="2193" w:type="dxa"/>
            <w:shd w:val="clear" w:color="auto" w:fill="auto"/>
            <w:noWrap/>
            <w:hideMark/>
          </w:tcPr>
          <w:p w14:paraId="0A48E520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2.38</w:t>
            </w:r>
          </w:p>
        </w:tc>
      </w:tr>
      <w:tr w:rsidR="00C83211" w:rsidRPr="00EA2870" w14:paraId="0A48E526" w14:textId="77777777" w:rsidTr="004D012F">
        <w:trPr>
          <w:trHeight w:val="300"/>
        </w:trPr>
        <w:tc>
          <w:tcPr>
            <w:tcW w:w="1285" w:type="dxa"/>
            <w:shd w:val="clear" w:color="auto" w:fill="auto"/>
            <w:noWrap/>
            <w:hideMark/>
          </w:tcPr>
          <w:p w14:paraId="0A48E522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CCL2</w:t>
            </w:r>
          </w:p>
        </w:tc>
        <w:tc>
          <w:tcPr>
            <w:tcW w:w="4344" w:type="dxa"/>
            <w:shd w:val="clear" w:color="auto" w:fill="auto"/>
            <w:noWrap/>
            <w:hideMark/>
          </w:tcPr>
          <w:p w14:paraId="0A48E523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Chemokine (C-C Motif) Ligand 2</w:t>
            </w:r>
          </w:p>
        </w:tc>
        <w:tc>
          <w:tcPr>
            <w:tcW w:w="1983" w:type="dxa"/>
            <w:shd w:val="clear" w:color="auto" w:fill="auto"/>
            <w:noWrap/>
            <w:hideMark/>
          </w:tcPr>
          <w:p w14:paraId="0A48E524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2.96</w:t>
            </w:r>
          </w:p>
        </w:tc>
        <w:tc>
          <w:tcPr>
            <w:tcW w:w="2193" w:type="dxa"/>
            <w:shd w:val="clear" w:color="auto" w:fill="auto"/>
            <w:noWrap/>
            <w:hideMark/>
          </w:tcPr>
          <w:p w14:paraId="0A48E525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5.45</w:t>
            </w:r>
          </w:p>
        </w:tc>
      </w:tr>
      <w:tr w:rsidR="00C83211" w:rsidRPr="00EA2870" w14:paraId="0A48E52B" w14:textId="77777777" w:rsidTr="004D012F">
        <w:trPr>
          <w:trHeight w:val="300"/>
        </w:trPr>
        <w:tc>
          <w:tcPr>
            <w:tcW w:w="1285" w:type="dxa"/>
            <w:shd w:val="clear" w:color="auto" w:fill="auto"/>
            <w:noWrap/>
            <w:hideMark/>
          </w:tcPr>
          <w:p w14:paraId="0A48E527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TGF b1</w:t>
            </w:r>
          </w:p>
        </w:tc>
        <w:tc>
          <w:tcPr>
            <w:tcW w:w="4344" w:type="dxa"/>
            <w:shd w:val="clear" w:color="auto" w:fill="auto"/>
            <w:noWrap/>
            <w:hideMark/>
          </w:tcPr>
          <w:p w14:paraId="0A48E528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Transforming growth factor beta 1</w:t>
            </w:r>
          </w:p>
        </w:tc>
        <w:tc>
          <w:tcPr>
            <w:tcW w:w="1983" w:type="dxa"/>
            <w:shd w:val="clear" w:color="auto" w:fill="auto"/>
            <w:noWrap/>
            <w:hideMark/>
          </w:tcPr>
          <w:p w14:paraId="0A48E529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2.01</w:t>
            </w:r>
          </w:p>
        </w:tc>
        <w:tc>
          <w:tcPr>
            <w:tcW w:w="2193" w:type="dxa"/>
            <w:shd w:val="clear" w:color="auto" w:fill="auto"/>
            <w:noWrap/>
            <w:hideMark/>
          </w:tcPr>
          <w:p w14:paraId="0A48E52A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6.76</w:t>
            </w:r>
          </w:p>
        </w:tc>
      </w:tr>
      <w:tr w:rsidR="00C83211" w:rsidRPr="00EA2870" w14:paraId="0A48E530" w14:textId="77777777" w:rsidTr="004D012F">
        <w:trPr>
          <w:trHeight w:val="300"/>
        </w:trPr>
        <w:tc>
          <w:tcPr>
            <w:tcW w:w="1285" w:type="dxa"/>
            <w:shd w:val="clear" w:color="auto" w:fill="auto"/>
            <w:noWrap/>
            <w:hideMark/>
          </w:tcPr>
          <w:p w14:paraId="0A48E52C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ITGB-3</w:t>
            </w:r>
          </w:p>
        </w:tc>
        <w:tc>
          <w:tcPr>
            <w:tcW w:w="4344" w:type="dxa"/>
            <w:shd w:val="clear" w:color="auto" w:fill="auto"/>
            <w:noWrap/>
            <w:hideMark/>
          </w:tcPr>
          <w:p w14:paraId="0A48E52D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integrin, beta 3</w:t>
            </w:r>
          </w:p>
        </w:tc>
        <w:tc>
          <w:tcPr>
            <w:tcW w:w="1983" w:type="dxa"/>
            <w:shd w:val="clear" w:color="auto" w:fill="auto"/>
            <w:noWrap/>
            <w:hideMark/>
          </w:tcPr>
          <w:p w14:paraId="0A48E52E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2.56</w:t>
            </w:r>
          </w:p>
        </w:tc>
        <w:tc>
          <w:tcPr>
            <w:tcW w:w="2193" w:type="dxa"/>
            <w:shd w:val="clear" w:color="auto" w:fill="auto"/>
            <w:noWrap/>
            <w:hideMark/>
          </w:tcPr>
          <w:p w14:paraId="0A48E52F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3.12</w:t>
            </w:r>
          </w:p>
        </w:tc>
      </w:tr>
      <w:tr w:rsidR="00C83211" w:rsidRPr="00EA2870" w14:paraId="0A48E535" w14:textId="77777777" w:rsidTr="004D012F">
        <w:trPr>
          <w:trHeight w:val="300"/>
        </w:trPr>
        <w:tc>
          <w:tcPr>
            <w:tcW w:w="1285" w:type="dxa"/>
            <w:shd w:val="clear" w:color="auto" w:fill="auto"/>
            <w:noWrap/>
            <w:hideMark/>
          </w:tcPr>
          <w:p w14:paraId="0A48E531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noProof/>
                <w:color w:val="000000" w:themeColor="text1"/>
                <w:sz w:val="28"/>
                <w:szCs w:val="28"/>
              </w:rPr>
              <w:t>PDGF C</w:t>
            </w:r>
          </w:p>
        </w:tc>
        <w:tc>
          <w:tcPr>
            <w:tcW w:w="4344" w:type="dxa"/>
            <w:shd w:val="clear" w:color="auto" w:fill="auto"/>
            <w:noWrap/>
            <w:hideMark/>
          </w:tcPr>
          <w:p w14:paraId="0A48E532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Platelet Derived Growth Factor C</w:t>
            </w:r>
          </w:p>
        </w:tc>
        <w:tc>
          <w:tcPr>
            <w:tcW w:w="1983" w:type="dxa"/>
            <w:shd w:val="clear" w:color="auto" w:fill="auto"/>
            <w:noWrap/>
            <w:hideMark/>
          </w:tcPr>
          <w:p w14:paraId="0A48E533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2.39</w:t>
            </w:r>
          </w:p>
        </w:tc>
        <w:tc>
          <w:tcPr>
            <w:tcW w:w="2193" w:type="dxa"/>
            <w:shd w:val="clear" w:color="auto" w:fill="auto"/>
            <w:noWrap/>
            <w:hideMark/>
          </w:tcPr>
          <w:p w14:paraId="0A48E534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2.76</w:t>
            </w:r>
          </w:p>
        </w:tc>
      </w:tr>
      <w:tr w:rsidR="00C83211" w:rsidRPr="00EA2870" w14:paraId="0A48E53A" w14:textId="77777777" w:rsidTr="004D012F">
        <w:trPr>
          <w:trHeight w:val="300"/>
        </w:trPr>
        <w:tc>
          <w:tcPr>
            <w:tcW w:w="1285" w:type="dxa"/>
            <w:shd w:val="clear" w:color="auto" w:fill="auto"/>
            <w:noWrap/>
            <w:hideMark/>
          </w:tcPr>
          <w:p w14:paraId="0A48E536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CXCR-4</w:t>
            </w:r>
          </w:p>
        </w:tc>
        <w:tc>
          <w:tcPr>
            <w:tcW w:w="4344" w:type="dxa"/>
            <w:shd w:val="clear" w:color="auto" w:fill="auto"/>
            <w:noWrap/>
            <w:hideMark/>
          </w:tcPr>
          <w:p w14:paraId="0A48E537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Chemokine (C-X-C Motif) Receptor 4</w:t>
            </w:r>
          </w:p>
        </w:tc>
        <w:tc>
          <w:tcPr>
            <w:tcW w:w="1983" w:type="dxa"/>
            <w:shd w:val="clear" w:color="auto" w:fill="auto"/>
            <w:noWrap/>
            <w:hideMark/>
          </w:tcPr>
          <w:p w14:paraId="0A48E538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2.27</w:t>
            </w:r>
          </w:p>
        </w:tc>
        <w:tc>
          <w:tcPr>
            <w:tcW w:w="2193" w:type="dxa"/>
            <w:shd w:val="clear" w:color="auto" w:fill="auto"/>
            <w:noWrap/>
            <w:hideMark/>
          </w:tcPr>
          <w:p w14:paraId="0A48E539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2.12</w:t>
            </w:r>
          </w:p>
        </w:tc>
      </w:tr>
      <w:tr w:rsidR="00C83211" w:rsidRPr="00EA2870" w14:paraId="0A48E53F" w14:textId="77777777" w:rsidTr="004D012F">
        <w:trPr>
          <w:trHeight w:val="300"/>
        </w:trPr>
        <w:tc>
          <w:tcPr>
            <w:tcW w:w="1285" w:type="dxa"/>
            <w:shd w:val="clear" w:color="auto" w:fill="auto"/>
            <w:noWrap/>
            <w:hideMark/>
          </w:tcPr>
          <w:p w14:paraId="0A48E53B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CXCR-1</w:t>
            </w:r>
          </w:p>
        </w:tc>
        <w:tc>
          <w:tcPr>
            <w:tcW w:w="4344" w:type="dxa"/>
            <w:shd w:val="clear" w:color="auto" w:fill="auto"/>
            <w:noWrap/>
            <w:hideMark/>
          </w:tcPr>
          <w:p w14:paraId="0A48E53C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Chemokine (C-X-C Motif) Receptor 1</w:t>
            </w:r>
          </w:p>
        </w:tc>
        <w:tc>
          <w:tcPr>
            <w:tcW w:w="1983" w:type="dxa"/>
            <w:shd w:val="clear" w:color="auto" w:fill="auto"/>
            <w:noWrap/>
            <w:hideMark/>
          </w:tcPr>
          <w:p w14:paraId="0A48E53D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2.15</w:t>
            </w:r>
          </w:p>
        </w:tc>
        <w:tc>
          <w:tcPr>
            <w:tcW w:w="2193" w:type="dxa"/>
            <w:shd w:val="clear" w:color="auto" w:fill="auto"/>
            <w:noWrap/>
            <w:hideMark/>
          </w:tcPr>
          <w:p w14:paraId="0A48E53E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2.1</w:t>
            </w:r>
          </w:p>
        </w:tc>
      </w:tr>
      <w:tr w:rsidR="00C83211" w:rsidRPr="00EA2870" w14:paraId="0A48E544" w14:textId="77777777" w:rsidTr="004D012F">
        <w:trPr>
          <w:trHeight w:val="300"/>
        </w:trPr>
        <w:tc>
          <w:tcPr>
            <w:tcW w:w="1285" w:type="dxa"/>
            <w:noWrap/>
            <w:hideMark/>
          </w:tcPr>
          <w:p w14:paraId="0A48E540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lastRenderedPageBreak/>
              <w:t>CCR-7</w:t>
            </w:r>
          </w:p>
        </w:tc>
        <w:tc>
          <w:tcPr>
            <w:tcW w:w="4344" w:type="dxa"/>
            <w:hideMark/>
          </w:tcPr>
          <w:p w14:paraId="0A48E541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Chemokine (C-C Motif) Receptor 7</w:t>
            </w:r>
          </w:p>
        </w:tc>
        <w:tc>
          <w:tcPr>
            <w:tcW w:w="1983" w:type="dxa"/>
            <w:noWrap/>
            <w:hideMark/>
          </w:tcPr>
          <w:p w14:paraId="0A48E542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3.67</w:t>
            </w:r>
          </w:p>
        </w:tc>
        <w:tc>
          <w:tcPr>
            <w:tcW w:w="2193" w:type="dxa"/>
            <w:noWrap/>
            <w:hideMark/>
          </w:tcPr>
          <w:p w14:paraId="0A48E543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5.2</w:t>
            </w:r>
          </w:p>
        </w:tc>
      </w:tr>
      <w:tr w:rsidR="00C83211" w:rsidRPr="00EA2870" w14:paraId="0A48E549" w14:textId="77777777" w:rsidTr="004D012F">
        <w:trPr>
          <w:trHeight w:val="300"/>
        </w:trPr>
        <w:tc>
          <w:tcPr>
            <w:tcW w:w="1285" w:type="dxa"/>
            <w:noWrap/>
            <w:hideMark/>
          </w:tcPr>
          <w:p w14:paraId="0A48E545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FLG</w:t>
            </w:r>
          </w:p>
        </w:tc>
        <w:tc>
          <w:tcPr>
            <w:tcW w:w="4344" w:type="dxa"/>
            <w:hideMark/>
          </w:tcPr>
          <w:p w14:paraId="0A48E546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Filaggrin</w:t>
            </w:r>
          </w:p>
        </w:tc>
        <w:tc>
          <w:tcPr>
            <w:tcW w:w="1983" w:type="dxa"/>
            <w:noWrap/>
            <w:hideMark/>
          </w:tcPr>
          <w:p w14:paraId="0A48E547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6.28</w:t>
            </w:r>
          </w:p>
        </w:tc>
        <w:tc>
          <w:tcPr>
            <w:tcW w:w="2193" w:type="dxa"/>
            <w:noWrap/>
            <w:hideMark/>
          </w:tcPr>
          <w:p w14:paraId="0A48E548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6.8</w:t>
            </w:r>
          </w:p>
        </w:tc>
      </w:tr>
      <w:tr w:rsidR="00C83211" w:rsidRPr="00EA2870" w14:paraId="0A48E54E" w14:textId="77777777" w:rsidTr="004D012F">
        <w:trPr>
          <w:trHeight w:val="300"/>
        </w:trPr>
        <w:tc>
          <w:tcPr>
            <w:tcW w:w="1285" w:type="dxa"/>
            <w:noWrap/>
            <w:hideMark/>
          </w:tcPr>
          <w:p w14:paraId="0A48E54A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IL-8</w:t>
            </w:r>
          </w:p>
        </w:tc>
        <w:tc>
          <w:tcPr>
            <w:tcW w:w="4344" w:type="dxa"/>
            <w:hideMark/>
          </w:tcPr>
          <w:p w14:paraId="0A48E54B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Interleukin 8</w:t>
            </w:r>
          </w:p>
        </w:tc>
        <w:tc>
          <w:tcPr>
            <w:tcW w:w="1983" w:type="dxa"/>
            <w:noWrap/>
            <w:hideMark/>
          </w:tcPr>
          <w:p w14:paraId="0A48E54C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4.8</w:t>
            </w:r>
          </w:p>
        </w:tc>
        <w:tc>
          <w:tcPr>
            <w:tcW w:w="2193" w:type="dxa"/>
            <w:noWrap/>
            <w:hideMark/>
          </w:tcPr>
          <w:p w14:paraId="0A48E54D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4.23</w:t>
            </w:r>
          </w:p>
        </w:tc>
      </w:tr>
      <w:tr w:rsidR="00C83211" w:rsidRPr="00EA2870" w14:paraId="0A48E553" w14:textId="77777777" w:rsidTr="004D012F">
        <w:trPr>
          <w:trHeight w:val="300"/>
        </w:trPr>
        <w:tc>
          <w:tcPr>
            <w:tcW w:w="1285" w:type="dxa"/>
            <w:shd w:val="clear" w:color="auto" w:fill="auto"/>
            <w:noWrap/>
            <w:hideMark/>
          </w:tcPr>
          <w:p w14:paraId="0A48E54F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CD-74</w:t>
            </w:r>
          </w:p>
        </w:tc>
        <w:tc>
          <w:tcPr>
            <w:tcW w:w="4344" w:type="dxa"/>
            <w:shd w:val="clear" w:color="auto" w:fill="auto"/>
            <w:noWrap/>
            <w:hideMark/>
          </w:tcPr>
          <w:p w14:paraId="0A48E550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CD74 Molecule, Major Histocompatibility Complex, Class II Invariant Chain</w:t>
            </w:r>
          </w:p>
        </w:tc>
        <w:tc>
          <w:tcPr>
            <w:tcW w:w="1983" w:type="dxa"/>
            <w:shd w:val="clear" w:color="auto" w:fill="auto"/>
            <w:noWrap/>
            <w:hideMark/>
          </w:tcPr>
          <w:p w14:paraId="0A48E551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4.43</w:t>
            </w:r>
          </w:p>
        </w:tc>
        <w:tc>
          <w:tcPr>
            <w:tcW w:w="2193" w:type="dxa"/>
            <w:shd w:val="clear" w:color="auto" w:fill="auto"/>
            <w:noWrap/>
            <w:hideMark/>
          </w:tcPr>
          <w:p w14:paraId="0A48E552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4.61</w:t>
            </w:r>
          </w:p>
        </w:tc>
      </w:tr>
      <w:tr w:rsidR="00C83211" w:rsidRPr="00EA2870" w14:paraId="0A48E558" w14:textId="77777777" w:rsidTr="004D012F">
        <w:trPr>
          <w:trHeight w:val="300"/>
        </w:trPr>
        <w:tc>
          <w:tcPr>
            <w:tcW w:w="1285" w:type="dxa"/>
            <w:shd w:val="clear" w:color="auto" w:fill="auto"/>
            <w:noWrap/>
            <w:hideMark/>
          </w:tcPr>
          <w:p w14:paraId="0A48E554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EDN-1</w:t>
            </w:r>
          </w:p>
        </w:tc>
        <w:tc>
          <w:tcPr>
            <w:tcW w:w="4344" w:type="dxa"/>
            <w:shd w:val="clear" w:color="auto" w:fill="auto"/>
            <w:noWrap/>
            <w:hideMark/>
          </w:tcPr>
          <w:p w14:paraId="0A48E555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Endothelin 1</w:t>
            </w:r>
          </w:p>
        </w:tc>
        <w:tc>
          <w:tcPr>
            <w:tcW w:w="1983" w:type="dxa"/>
            <w:shd w:val="clear" w:color="auto" w:fill="auto"/>
            <w:noWrap/>
            <w:hideMark/>
          </w:tcPr>
          <w:p w14:paraId="0A48E556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2.01</w:t>
            </w:r>
          </w:p>
        </w:tc>
        <w:tc>
          <w:tcPr>
            <w:tcW w:w="2193" w:type="dxa"/>
            <w:shd w:val="clear" w:color="auto" w:fill="auto"/>
            <w:noWrap/>
            <w:hideMark/>
          </w:tcPr>
          <w:p w14:paraId="0A48E557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1.99</w:t>
            </w:r>
          </w:p>
        </w:tc>
      </w:tr>
      <w:tr w:rsidR="00C83211" w:rsidRPr="00EA2870" w14:paraId="0A48E55D" w14:textId="77777777" w:rsidTr="004D012F">
        <w:trPr>
          <w:trHeight w:val="300"/>
        </w:trPr>
        <w:tc>
          <w:tcPr>
            <w:tcW w:w="1285" w:type="dxa"/>
            <w:shd w:val="clear" w:color="auto" w:fill="auto"/>
            <w:noWrap/>
            <w:hideMark/>
          </w:tcPr>
          <w:p w14:paraId="0A48E559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CXCL-2</w:t>
            </w:r>
          </w:p>
        </w:tc>
        <w:tc>
          <w:tcPr>
            <w:tcW w:w="4344" w:type="dxa"/>
            <w:shd w:val="clear" w:color="auto" w:fill="auto"/>
            <w:noWrap/>
            <w:hideMark/>
          </w:tcPr>
          <w:p w14:paraId="0A48E55A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Chemokine (C-X-C motif) ligand 2</w:t>
            </w:r>
          </w:p>
        </w:tc>
        <w:tc>
          <w:tcPr>
            <w:tcW w:w="1983" w:type="dxa"/>
            <w:shd w:val="clear" w:color="auto" w:fill="auto"/>
            <w:noWrap/>
            <w:hideMark/>
          </w:tcPr>
          <w:p w14:paraId="0A48E55B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3.87</w:t>
            </w:r>
          </w:p>
        </w:tc>
        <w:tc>
          <w:tcPr>
            <w:tcW w:w="2193" w:type="dxa"/>
            <w:shd w:val="clear" w:color="auto" w:fill="auto"/>
            <w:noWrap/>
            <w:hideMark/>
          </w:tcPr>
          <w:p w14:paraId="0A48E55C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3.11</w:t>
            </w:r>
          </w:p>
        </w:tc>
      </w:tr>
      <w:tr w:rsidR="00C83211" w:rsidRPr="00EA2870" w14:paraId="0A48E562" w14:textId="77777777" w:rsidTr="004D012F">
        <w:trPr>
          <w:trHeight w:val="300"/>
        </w:trPr>
        <w:tc>
          <w:tcPr>
            <w:tcW w:w="1285" w:type="dxa"/>
            <w:noWrap/>
            <w:hideMark/>
          </w:tcPr>
          <w:p w14:paraId="0A48E55E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HLA-G5</w:t>
            </w:r>
          </w:p>
        </w:tc>
        <w:tc>
          <w:tcPr>
            <w:tcW w:w="4344" w:type="dxa"/>
            <w:noWrap/>
            <w:hideMark/>
          </w:tcPr>
          <w:p w14:paraId="0A48E55F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HLA-G histocompatibility antigen, class I, G</w:t>
            </w:r>
          </w:p>
        </w:tc>
        <w:tc>
          <w:tcPr>
            <w:tcW w:w="1983" w:type="dxa"/>
            <w:noWrap/>
            <w:hideMark/>
          </w:tcPr>
          <w:p w14:paraId="0A48E560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2.47</w:t>
            </w:r>
          </w:p>
        </w:tc>
        <w:tc>
          <w:tcPr>
            <w:tcW w:w="2193" w:type="dxa"/>
            <w:noWrap/>
            <w:hideMark/>
          </w:tcPr>
          <w:p w14:paraId="0A48E561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2.16</w:t>
            </w:r>
          </w:p>
        </w:tc>
      </w:tr>
      <w:tr w:rsidR="00C83211" w:rsidRPr="00EA2870" w14:paraId="0A48E567" w14:textId="77777777" w:rsidTr="004D012F">
        <w:trPr>
          <w:trHeight w:val="300"/>
        </w:trPr>
        <w:tc>
          <w:tcPr>
            <w:tcW w:w="1285" w:type="dxa"/>
            <w:shd w:val="clear" w:color="auto" w:fill="auto"/>
            <w:noWrap/>
            <w:hideMark/>
          </w:tcPr>
          <w:p w14:paraId="0A48E563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PRDM1</w:t>
            </w:r>
          </w:p>
        </w:tc>
        <w:tc>
          <w:tcPr>
            <w:tcW w:w="4344" w:type="dxa"/>
            <w:shd w:val="clear" w:color="auto" w:fill="auto"/>
            <w:noWrap/>
            <w:hideMark/>
          </w:tcPr>
          <w:p w14:paraId="0A48E564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PR Domain Containing 1, With ZNF Domain</w:t>
            </w:r>
          </w:p>
        </w:tc>
        <w:tc>
          <w:tcPr>
            <w:tcW w:w="1983" w:type="dxa"/>
            <w:shd w:val="clear" w:color="auto" w:fill="auto"/>
            <w:noWrap/>
            <w:hideMark/>
          </w:tcPr>
          <w:p w14:paraId="0A48E565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2.54</w:t>
            </w:r>
          </w:p>
        </w:tc>
        <w:tc>
          <w:tcPr>
            <w:tcW w:w="2193" w:type="dxa"/>
            <w:shd w:val="clear" w:color="auto" w:fill="auto"/>
            <w:noWrap/>
            <w:hideMark/>
          </w:tcPr>
          <w:p w14:paraId="0A48E566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2.67</w:t>
            </w:r>
          </w:p>
        </w:tc>
      </w:tr>
      <w:tr w:rsidR="00C83211" w:rsidRPr="00EA2870" w14:paraId="0A48E56C" w14:textId="77777777" w:rsidTr="004D012F">
        <w:trPr>
          <w:trHeight w:val="300"/>
        </w:trPr>
        <w:tc>
          <w:tcPr>
            <w:tcW w:w="1285" w:type="dxa"/>
            <w:shd w:val="clear" w:color="auto" w:fill="auto"/>
            <w:noWrap/>
            <w:hideMark/>
          </w:tcPr>
          <w:p w14:paraId="0A48E568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CX3CR1</w:t>
            </w:r>
          </w:p>
        </w:tc>
        <w:tc>
          <w:tcPr>
            <w:tcW w:w="4344" w:type="dxa"/>
            <w:shd w:val="clear" w:color="auto" w:fill="auto"/>
            <w:noWrap/>
            <w:hideMark/>
          </w:tcPr>
          <w:p w14:paraId="0A48E569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Chemokine (C-X3-C Motif) Receptor 1</w:t>
            </w:r>
          </w:p>
        </w:tc>
        <w:tc>
          <w:tcPr>
            <w:tcW w:w="1983" w:type="dxa"/>
            <w:shd w:val="clear" w:color="auto" w:fill="auto"/>
            <w:noWrap/>
            <w:hideMark/>
          </w:tcPr>
          <w:p w14:paraId="0A48E56A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3.87</w:t>
            </w:r>
          </w:p>
        </w:tc>
        <w:tc>
          <w:tcPr>
            <w:tcW w:w="2193" w:type="dxa"/>
            <w:shd w:val="clear" w:color="auto" w:fill="auto"/>
            <w:noWrap/>
            <w:hideMark/>
          </w:tcPr>
          <w:p w14:paraId="0A48E56B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3.33</w:t>
            </w:r>
          </w:p>
        </w:tc>
      </w:tr>
      <w:tr w:rsidR="00C83211" w:rsidRPr="00EA2870" w14:paraId="0A48E571" w14:textId="77777777" w:rsidTr="004D012F">
        <w:trPr>
          <w:trHeight w:val="300"/>
        </w:trPr>
        <w:tc>
          <w:tcPr>
            <w:tcW w:w="1285" w:type="dxa"/>
            <w:shd w:val="clear" w:color="auto" w:fill="auto"/>
            <w:noWrap/>
            <w:hideMark/>
          </w:tcPr>
          <w:p w14:paraId="0A48E56D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CXCR6</w:t>
            </w:r>
          </w:p>
        </w:tc>
        <w:tc>
          <w:tcPr>
            <w:tcW w:w="4344" w:type="dxa"/>
            <w:shd w:val="clear" w:color="auto" w:fill="auto"/>
            <w:noWrap/>
            <w:hideMark/>
          </w:tcPr>
          <w:p w14:paraId="0A48E56E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Chemokine (C-X-C Motif) Receptor 6</w:t>
            </w:r>
          </w:p>
        </w:tc>
        <w:tc>
          <w:tcPr>
            <w:tcW w:w="1983" w:type="dxa"/>
            <w:shd w:val="clear" w:color="auto" w:fill="auto"/>
            <w:noWrap/>
            <w:hideMark/>
          </w:tcPr>
          <w:p w14:paraId="0A48E56F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1.98</w:t>
            </w:r>
          </w:p>
        </w:tc>
        <w:tc>
          <w:tcPr>
            <w:tcW w:w="2193" w:type="dxa"/>
            <w:shd w:val="clear" w:color="auto" w:fill="auto"/>
            <w:noWrap/>
            <w:hideMark/>
          </w:tcPr>
          <w:p w14:paraId="0A48E570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1.05</w:t>
            </w:r>
          </w:p>
        </w:tc>
      </w:tr>
      <w:tr w:rsidR="00C83211" w:rsidRPr="00EA2870" w14:paraId="0A48E576" w14:textId="77777777" w:rsidTr="004D012F">
        <w:trPr>
          <w:trHeight w:val="300"/>
        </w:trPr>
        <w:tc>
          <w:tcPr>
            <w:tcW w:w="1285" w:type="dxa"/>
            <w:shd w:val="clear" w:color="auto" w:fill="auto"/>
            <w:noWrap/>
            <w:hideMark/>
          </w:tcPr>
          <w:p w14:paraId="0A48E572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GAL1</w:t>
            </w:r>
          </w:p>
        </w:tc>
        <w:tc>
          <w:tcPr>
            <w:tcW w:w="4344" w:type="dxa"/>
            <w:shd w:val="clear" w:color="auto" w:fill="auto"/>
            <w:noWrap/>
            <w:hideMark/>
          </w:tcPr>
          <w:p w14:paraId="0A48E573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Galanin/GMAP Prepropeptide</w:t>
            </w:r>
          </w:p>
        </w:tc>
        <w:tc>
          <w:tcPr>
            <w:tcW w:w="1983" w:type="dxa"/>
            <w:shd w:val="clear" w:color="auto" w:fill="auto"/>
            <w:noWrap/>
            <w:hideMark/>
          </w:tcPr>
          <w:p w14:paraId="0A48E574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5.88</w:t>
            </w:r>
          </w:p>
        </w:tc>
        <w:tc>
          <w:tcPr>
            <w:tcW w:w="2193" w:type="dxa"/>
            <w:shd w:val="clear" w:color="auto" w:fill="auto"/>
            <w:noWrap/>
            <w:hideMark/>
          </w:tcPr>
          <w:p w14:paraId="0A48E575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4.8</w:t>
            </w:r>
          </w:p>
        </w:tc>
      </w:tr>
      <w:tr w:rsidR="00C83211" w:rsidRPr="00EA2870" w14:paraId="0A48E57B" w14:textId="77777777" w:rsidTr="004D012F">
        <w:trPr>
          <w:trHeight w:val="300"/>
        </w:trPr>
        <w:tc>
          <w:tcPr>
            <w:tcW w:w="1285" w:type="dxa"/>
            <w:noWrap/>
            <w:hideMark/>
          </w:tcPr>
          <w:p w14:paraId="0A48E577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PDL1</w:t>
            </w:r>
          </w:p>
        </w:tc>
        <w:tc>
          <w:tcPr>
            <w:tcW w:w="4344" w:type="dxa"/>
            <w:noWrap/>
            <w:hideMark/>
          </w:tcPr>
          <w:p w14:paraId="0A48E578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CD274 Molecule</w:t>
            </w:r>
          </w:p>
        </w:tc>
        <w:tc>
          <w:tcPr>
            <w:tcW w:w="1983" w:type="dxa"/>
            <w:noWrap/>
            <w:hideMark/>
          </w:tcPr>
          <w:p w14:paraId="0A48E579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3.09</w:t>
            </w:r>
          </w:p>
        </w:tc>
        <w:tc>
          <w:tcPr>
            <w:tcW w:w="2193" w:type="dxa"/>
            <w:noWrap/>
            <w:hideMark/>
          </w:tcPr>
          <w:p w14:paraId="0A48E57A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2.54</w:t>
            </w:r>
          </w:p>
        </w:tc>
      </w:tr>
      <w:tr w:rsidR="00C83211" w:rsidRPr="00EA2870" w14:paraId="0A48E580" w14:textId="77777777" w:rsidTr="004D012F">
        <w:trPr>
          <w:trHeight w:val="300"/>
        </w:trPr>
        <w:tc>
          <w:tcPr>
            <w:tcW w:w="1285" w:type="dxa"/>
            <w:noWrap/>
            <w:hideMark/>
          </w:tcPr>
          <w:p w14:paraId="0A48E57C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PDL2</w:t>
            </w:r>
          </w:p>
        </w:tc>
        <w:tc>
          <w:tcPr>
            <w:tcW w:w="4344" w:type="dxa"/>
            <w:hideMark/>
          </w:tcPr>
          <w:p w14:paraId="0A48E57D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Programmed Cell Death 1 Ligand 2</w:t>
            </w:r>
          </w:p>
        </w:tc>
        <w:tc>
          <w:tcPr>
            <w:tcW w:w="1983" w:type="dxa"/>
            <w:noWrap/>
            <w:hideMark/>
          </w:tcPr>
          <w:p w14:paraId="0A48E57E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2.76</w:t>
            </w:r>
          </w:p>
        </w:tc>
        <w:tc>
          <w:tcPr>
            <w:tcW w:w="2193" w:type="dxa"/>
            <w:noWrap/>
            <w:hideMark/>
          </w:tcPr>
          <w:p w14:paraId="0A48E57F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2.88</w:t>
            </w:r>
          </w:p>
        </w:tc>
      </w:tr>
      <w:tr w:rsidR="00C83211" w:rsidRPr="00EA2870" w14:paraId="0A48E585" w14:textId="77777777" w:rsidTr="004D012F">
        <w:trPr>
          <w:trHeight w:val="300"/>
        </w:trPr>
        <w:tc>
          <w:tcPr>
            <w:tcW w:w="1285" w:type="dxa"/>
            <w:shd w:val="clear" w:color="auto" w:fill="auto"/>
            <w:noWrap/>
            <w:hideMark/>
          </w:tcPr>
          <w:p w14:paraId="0A48E581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TSG-6</w:t>
            </w:r>
          </w:p>
        </w:tc>
        <w:tc>
          <w:tcPr>
            <w:tcW w:w="4344" w:type="dxa"/>
            <w:shd w:val="clear" w:color="auto" w:fill="auto"/>
            <w:noWrap/>
            <w:hideMark/>
          </w:tcPr>
          <w:p w14:paraId="0A48E582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Tumor Necrosis Factor, Alpha-Induced Protein 6</w:t>
            </w:r>
          </w:p>
        </w:tc>
        <w:tc>
          <w:tcPr>
            <w:tcW w:w="1983" w:type="dxa"/>
            <w:shd w:val="clear" w:color="auto" w:fill="auto"/>
            <w:noWrap/>
            <w:hideMark/>
          </w:tcPr>
          <w:p w14:paraId="0A48E583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3.9</w:t>
            </w:r>
          </w:p>
        </w:tc>
        <w:tc>
          <w:tcPr>
            <w:tcW w:w="2193" w:type="dxa"/>
            <w:shd w:val="clear" w:color="auto" w:fill="auto"/>
            <w:noWrap/>
            <w:hideMark/>
          </w:tcPr>
          <w:p w14:paraId="0A48E584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3.67</w:t>
            </w:r>
          </w:p>
        </w:tc>
      </w:tr>
      <w:tr w:rsidR="00C83211" w:rsidRPr="00EA2870" w14:paraId="0A48E58A" w14:textId="77777777" w:rsidTr="004D012F">
        <w:trPr>
          <w:trHeight w:val="300"/>
        </w:trPr>
        <w:tc>
          <w:tcPr>
            <w:tcW w:w="1285" w:type="dxa"/>
            <w:noWrap/>
            <w:hideMark/>
          </w:tcPr>
          <w:p w14:paraId="0A48E586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BCL2</w:t>
            </w:r>
          </w:p>
        </w:tc>
        <w:tc>
          <w:tcPr>
            <w:tcW w:w="4344" w:type="dxa"/>
            <w:hideMark/>
          </w:tcPr>
          <w:p w14:paraId="0A48E587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B-Cell CLL/Lymphoma 2</w:t>
            </w:r>
          </w:p>
        </w:tc>
        <w:tc>
          <w:tcPr>
            <w:tcW w:w="1983" w:type="dxa"/>
            <w:noWrap/>
            <w:hideMark/>
          </w:tcPr>
          <w:p w14:paraId="0A48E588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2.78</w:t>
            </w:r>
          </w:p>
        </w:tc>
        <w:tc>
          <w:tcPr>
            <w:tcW w:w="2193" w:type="dxa"/>
            <w:noWrap/>
            <w:hideMark/>
          </w:tcPr>
          <w:p w14:paraId="0A48E589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2.88</w:t>
            </w:r>
          </w:p>
        </w:tc>
      </w:tr>
      <w:tr w:rsidR="00C83211" w:rsidRPr="00EA2870" w14:paraId="0A48E58F" w14:textId="77777777" w:rsidTr="004D012F">
        <w:trPr>
          <w:trHeight w:val="300"/>
        </w:trPr>
        <w:tc>
          <w:tcPr>
            <w:tcW w:w="1285" w:type="dxa"/>
            <w:shd w:val="clear" w:color="auto" w:fill="auto"/>
            <w:noWrap/>
            <w:hideMark/>
          </w:tcPr>
          <w:p w14:paraId="0A48E58B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CHI3L1</w:t>
            </w:r>
          </w:p>
        </w:tc>
        <w:tc>
          <w:tcPr>
            <w:tcW w:w="4344" w:type="dxa"/>
            <w:shd w:val="clear" w:color="auto" w:fill="auto"/>
            <w:noWrap/>
            <w:hideMark/>
          </w:tcPr>
          <w:p w14:paraId="0A48E58C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Chitinase 3-Like 1 (Cartilage Glycoprotein-39)</w:t>
            </w:r>
          </w:p>
        </w:tc>
        <w:tc>
          <w:tcPr>
            <w:tcW w:w="1983" w:type="dxa"/>
            <w:shd w:val="clear" w:color="auto" w:fill="auto"/>
            <w:noWrap/>
            <w:hideMark/>
          </w:tcPr>
          <w:p w14:paraId="0A48E58D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2.58</w:t>
            </w:r>
          </w:p>
        </w:tc>
        <w:tc>
          <w:tcPr>
            <w:tcW w:w="2193" w:type="dxa"/>
            <w:shd w:val="clear" w:color="auto" w:fill="auto"/>
            <w:noWrap/>
            <w:hideMark/>
          </w:tcPr>
          <w:p w14:paraId="0A48E58E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2.56</w:t>
            </w:r>
          </w:p>
        </w:tc>
      </w:tr>
      <w:tr w:rsidR="00C83211" w:rsidRPr="00EA2870" w14:paraId="0A48E594" w14:textId="77777777" w:rsidTr="004D012F">
        <w:trPr>
          <w:trHeight w:val="300"/>
        </w:trPr>
        <w:tc>
          <w:tcPr>
            <w:tcW w:w="1285" w:type="dxa"/>
            <w:noWrap/>
            <w:hideMark/>
          </w:tcPr>
          <w:p w14:paraId="0A48E590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SLC2A1</w:t>
            </w:r>
          </w:p>
        </w:tc>
        <w:tc>
          <w:tcPr>
            <w:tcW w:w="4344" w:type="dxa"/>
            <w:hideMark/>
          </w:tcPr>
          <w:p w14:paraId="0A48E591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Solute Carrier Family 2 (Facilitated Glucose Transporter), Member 1</w:t>
            </w:r>
          </w:p>
        </w:tc>
        <w:tc>
          <w:tcPr>
            <w:tcW w:w="1983" w:type="dxa"/>
            <w:noWrap/>
            <w:hideMark/>
          </w:tcPr>
          <w:p w14:paraId="0A48E592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2.44</w:t>
            </w:r>
          </w:p>
        </w:tc>
        <w:tc>
          <w:tcPr>
            <w:tcW w:w="2193" w:type="dxa"/>
            <w:noWrap/>
            <w:hideMark/>
          </w:tcPr>
          <w:p w14:paraId="0A48E593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2.31</w:t>
            </w:r>
          </w:p>
        </w:tc>
      </w:tr>
      <w:tr w:rsidR="00C83211" w:rsidRPr="00EA2870" w14:paraId="0A48E599" w14:textId="77777777" w:rsidTr="004D012F">
        <w:trPr>
          <w:trHeight w:val="300"/>
        </w:trPr>
        <w:tc>
          <w:tcPr>
            <w:tcW w:w="1285" w:type="dxa"/>
            <w:shd w:val="clear" w:color="auto" w:fill="auto"/>
            <w:noWrap/>
            <w:hideMark/>
          </w:tcPr>
          <w:p w14:paraId="0A48E595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LIF</w:t>
            </w:r>
          </w:p>
        </w:tc>
        <w:tc>
          <w:tcPr>
            <w:tcW w:w="4344" w:type="dxa"/>
            <w:shd w:val="clear" w:color="auto" w:fill="auto"/>
            <w:noWrap/>
            <w:hideMark/>
          </w:tcPr>
          <w:p w14:paraId="0A48E596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Leukemia Inhibitory Factor</w:t>
            </w:r>
          </w:p>
        </w:tc>
        <w:tc>
          <w:tcPr>
            <w:tcW w:w="1983" w:type="dxa"/>
            <w:shd w:val="clear" w:color="auto" w:fill="auto"/>
            <w:noWrap/>
            <w:hideMark/>
          </w:tcPr>
          <w:p w14:paraId="0A48E597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2.05</w:t>
            </w:r>
          </w:p>
        </w:tc>
        <w:tc>
          <w:tcPr>
            <w:tcW w:w="2193" w:type="dxa"/>
            <w:shd w:val="clear" w:color="auto" w:fill="auto"/>
            <w:noWrap/>
            <w:hideMark/>
          </w:tcPr>
          <w:p w14:paraId="0A48E598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2.87</w:t>
            </w:r>
          </w:p>
        </w:tc>
      </w:tr>
      <w:tr w:rsidR="00C83211" w:rsidRPr="00EA2870" w14:paraId="0A48E59E" w14:textId="77777777" w:rsidTr="004D012F">
        <w:trPr>
          <w:trHeight w:val="300"/>
        </w:trPr>
        <w:tc>
          <w:tcPr>
            <w:tcW w:w="1285" w:type="dxa"/>
            <w:shd w:val="clear" w:color="auto" w:fill="auto"/>
            <w:noWrap/>
            <w:hideMark/>
          </w:tcPr>
          <w:p w14:paraId="0A48E59A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NEDD9</w:t>
            </w:r>
          </w:p>
        </w:tc>
        <w:tc>
          <w:tcPr>
            <w:tcW w:w="4344" w:type="dxa"/>
            <w:shd w:val="clear" w:color="auto" w:fill="auto"/>
            <w:noWrap/>
            <w:hideMark/>
          </w:tcPr>
          <w:p w14:paraId="0A48E59B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Neural Precursor Cell Expressed, Developmentally Down-Regulated 9</w:t>
            </w:r>
          </w:p>
        </w:tc>
        <w:tc>
          <w:tcPr>
            <w:tcW w:w="1983" w:type="dxa"/>
            <w:shd w:val="clear" w:color="auto" w:fill="auto"/>
            <w:noWrap/>
            <w:hideMark/>
          </w:tcPr>
          <w:p w14:paraId="0A48E59C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2.13</w:t>
            </w:r>
          </w:p>
        </w:tc>
        <w:tc>
          <w:tcPr>
            <w:tcW w:w="2193" w:type="dxa"/>
            <w:shd w:val="clear" w:color="auto" w:fill="auto"/>
            <w:noWrap/>
            <w:hideMark/>
          </w:tcPr>
          <w:p w14:paraId="0A48E59D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2.21</w:t>
            </w:r>
          </w:p>
        </w:tc>
      </w:tr>
      <w:tr w:rsidR="00C83211" w:rsidRPr="00EA2870" w14:paraId="0A48E5A3" w14:textId="77777777" w:rsidTr="004D012F">
        <w:trPr>
          <w:trHeight w:val="300"/>
        </w:trPr>
        <w:tc>
          <w:tcPr>
            <w:tcW w:w="1285" w:type="dxa"/>
            <w:noWrap/>
            <w:hideMark/>
          </w:tcPr>
          <w:p w14:paraId="0A48E59F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GLS</w:t>
            </w:r>
          </w:p>
        </w:tc>
        <w:tc>
          <w:tcPr>
            <w:tcW w:w="4344" w:type="dxa"/>
            <w:hideMark/>
          </w:tcPr>
          <w:p w14:paraId="0A48E5A0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Glutaminase</w:t>
            </w:r>
          </w:p>
        </w:tc>
        <w:tc>
          <w:tcPr>
            <w:tcW w:w="1983" w:type="dxa"/>
            <w:noWrap/>
            <w:hideMark/>
          </w:tcPr>
          <w:p w14:paraId="0A48E5A1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2.06</w:t>
            </w:r>
          </w:p>
        </w:tc>
        <w:tc>
          <w:tcPr>
            <w:tcW w:w="2193" w:type="dxa"/>
            <w:noWrap/>
            <w:hideMark/>
          </w:tcPr>
          <w:p w14:paraId="0A48E5A2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2.16</w:t>
            </w:r>
          </w:p>
        </w:tc>
      </w:tr>
      <w:tr w:rsidR="00C83211" w:rsidRPr="00EA2870" w14:paraId="0A48E5A8" w14:textId="77777777" w:rsidTr="004D012F">
        <w:trPr>
          <w:trHeight w:val="300"/>
        </w:trPr>
        <w:tc>
          <w:tcPr>
            <w:tcW w:w="1285" w:type="dxa"/>
            <w:shd w:val="clear" w:color="auto" w:fill="auto"/>
            <w:noWrap/>
            <w:hideMark/>
          </w:tcPr>
          <w:p w14:paraId="0A48E5A4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PTGER2</w:t>
            </w:r>
          </w:p>
        </w:tc>
        <w:tc>
          <w:tcPr>
            <w:tcW w:w="4344" w:type="dxa"/>
            <w:shd w:val="clear" w:color="auto" w:fill="auto"/>
            <w:noWrap/>
            <w:hideMark/>
          </w:tcPr>
          <w:p w14:paraId="0A48E5A5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Prostaglandin E Receptor 2 (Subtype EP2), 53kDa</w:t>
            </w:r>
          </w:p>
        </w:tc>
        <w:tc>
          <w:tcPr>
            <w:tcW w:w="1983" w:type="dxa"/>
            <w:shd w:val="clear" w:color="auto" w:fill="auto"/>
            <w:noWrap/>
            <w:hideMark/>
          </w:tcPr>
          <w:p w14:paraId="0A48E5A6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5.34</w:t>
            </w:r>
          </w:p>
        </w:tc>
        <w:tc>
          <w:tcPr>
            <w:tcW w:w="2193" w:type="dxa"/>
            <w:shd w:val="clear" w:color="auto" w:fill="auto"/>
            <w:noWrap/>
            <w:hideMark/>
          </w:tcPr>
          <w:p w14:paraId="0A48E5A7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5.23</w:t>
            </w:r>
          </w:p>
        </w:tc>
      </w:tr>
      <w:tr w:rsidR="00C83211" w:rsidRPr="00EA2870" w14:paraId="0A48E5AD" w14:textId="77777777" w:rsidTr="004D012F">
        <w:trPr>
          <w:trHeight w:val="300"/>
        </w:trPr>
        <w:tc>
          <w:tcPr>
            <w:tcW w:w="1285" w:type="dxa"/>
            <w:shd w:val="clear" w:color="auto" w:fill="auto"/>
            <w:noWrap/>
            <w:hideMark/>
          </w:tcPr>
          <w:p w14:paraId="0A48E5A9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PRDM1</w:t>
            </w:r>
          </w:p>
        </w:tc>
        <w:tc>
          <w:tcPr>
            <w:tcW w:w="4344" w:type="dxa"/>
            <w:shd w:val="clear" w:color="auto" w:fill="auto"/>
            <w:noWrap/>
            <w:hideMark/>
          </w:tcPr>
          <w:p w14:paraId="0A48E5AA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PR Domain Containing 1, With ZNF Domain</w:t>
            </w:r>
          </w:p>
        </w:tc>
        <w:tc>
          <w:tcPr>
            <w:tcW w:w="1983" w:type="dxa"/>
            <w:shd w:val="clear" w:color="auto" w:fill="auto"/>
            <w:noWrap/>
            <w:hideMark/>
          </w:tcPr>
          <w:p w14:paraId="0A48E5AB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2.29</w:t>
            </w:r>
          </w:p>
        </w:tc>
        <w:tc>
          <w:tcPr>
            <w:tcW w:w="2193" w:type="dxa"/>
            <w:shd w:val="clear" w:color="auto" w:fill="auto"/>
            <w:noWrap/>
            <w:hideMark/>
          </w:tcPr>
          <w:p w14:paraId="0A48E5AC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2.13</w:t>
            </w:r>
          </w:p>
        </w:tc>
      </w:tr>
      <w:tr w:rsidR="00C83211" w:rsidRPr="00EA2870" w14:paraId="0A48E5B2" w14:textId="77777777" w:rsidTr="004D012F">
        <w:trPr>
          <w:trHeight w:val="300"/>
        </w:trPr>
        <w:tc>
          <w:tcPr>
            <w:tcW w:w="1285" w:type="dxa"/>
            <w:shd w:val="clear" w:color="auto" w:fill="auto"/>
            <w:noWrap/>
            <w:hideMark/>
          </w:tcPr>
          <w:p w14:paraId="0A48E5AE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CXCL12</w:t>
            </w:r>
          </w:p>
        </w:tc>
        <w:tc>
          <w:tcPr>
            <w:tcW w:w="4344" w:type="dxa"/>
            <w:shd w:val="clear" w:color="auto" w:fill="auto"/>
            <w:noWrap/>
            <w:hideMark/>
          </w:tcPr>
          <w:p w14:paraId="0A48E5AF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Chemokine (C-X-C Motif) Ligand 12</w:t>
            </w:r>
          </w:p>
        </w:tc>
        <w:tc>
          <w:tcPr>
            <w:tcW w:w="1983" w:type="dxa"/>
            <w:shd w:val="clear" w:color="auto" w:fill="auto"/>
            <w:noWrap/>
            <w:hideMark/>
          </w:tcPr>
          <w:p w14:paraId="0A48E5B0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2.54</w:t>
            </w:r>
          </w:p>
        </w:tc>
        <w:tc>
          <w:tcPr>
            <w:tcW w:w="2193" w:type="dxa"/>
            <w:shd w:val="clear" w:color="auto" w:fill="auto"/>
            <w:noWrap/>
            <w:hideMark/>
          </w:tcPr>
          <w:p w14:paraId="0A48E5B1" w14:textId="77777777" w:rsidR="00C83211" w:rsidRPr="00EA2870" w:rsidRDefault="00C83211" w:rsidP="004D012F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EA2870">
              <w:rPr>
                <w:color w:val="000000" w:themeColor="text1"/>
                <w:sz w:val="28"/>
                <w:szCs w:val="28"/>
              </w:rPr>
              <w:t>2.38</w:t>
            </w:r>
          </w:p>
        </w:tc>
      </w:tr>
    </w:tbl>
    <w:p w14:paraId="0A48E5B3" w14:textId="77777777" w:rsidR="00C83211" w:rsidRPr="00EA2870" w:rsidRDefault="00C83211" w:rsidP="00C83211">
      <w:pPr>
        <w:pStyle w:val="ListParagraph"/>
        <w:autoSpaceDE w:val="0"/>
        <w:autoSpaceDN w:val="0"/>
        <w:adjustRightInd w:val="0"/>
        <w:spacing w:after="0" w:line="360" w:lineRule="auto"/>
        <w:ind w:left="0"/>
        <w:jc w:val="both"/>
        <w:rPr>
          <w:b/>
          <w:sz w:val="28"/>
          <w:szCs w:val="28"/>
        </w:rPr>
      </w:pPr>
      <w:r w:rsidRPr="00EA2870">
        <w:rPr>
          <w:sz w:val="28"/>
          <w:szCs w:val="28"/>
        </w:rPr>
        <w:fldChar w:fldCharType="end"/>
      </w:r>
      <w:r w:rsidRPr="00C83211">
        <w:rPr>
          <w:b/>
          <w:noProof/>
          <w:sz w:val="28"/>
          <w:szCs w:val="28"/>
          <w:u w:val="single"/>
        </w:rPr>
        <w:t xml:space="preserve"> </w:t>
      </w:r>
      <w:r>
        <w:rPr>
          <w:b/>
          <w:noProof/>
          <w:sz w:val="28"/>
          <w:szCs w:val="28"/>
          <w:u w:val="single"/>
        </w:rPr>
        <w:t xml:space="preserve">Immunomodulatory genes up-regulated (P&lt; 0.005) in Stempeucel®-1 and </w:t>
      </w:r>
      <w:r w:rsidRPr="00EA2870">
        <w:rPr>
          <w:b/>
          <w:noProof/>
          <w:sz w:val="28"/>
          <w:szCs w:val="28"/>
          <w:u w:val="single"/>
        </w:rPr>
        <w:t>1A vs human foreskin fibroblast</w:t>
      </w:r>
    </w:p>
    <w:p w14:paraId="0A48E5B4" w14:textId="77777777" w:rsidR="00C83211" w:rsidRPr="00EA2870" w:rsidRDefault="00C83211" w:rsidP="00C83211">
      <w:pPr>
        <w:spacing w:line="360" w:lineRule="auto"/>
        <w:jc w:val="both"/>
        <w:rPr>
          <w:sz w:val="28"/>
          <w:szCs w:val="28"/>
        </w:rPr>
      </w:pPr>
    </w:p>
    <w:p w14:paraId="0A48E5B5" w14:textId="77777777" w:rsidR="00C83211" w:rsidRPr="00EA2870" w:rsidRDefault="00C83211" w:rsidP="00C83211">
      <w:pPr>
        <w:spacing w:line="360" w:lineRule="auto"/>
        <w:ind w:left="547"/>
        <w:jc w:val="both"/>
        <w:rPr>
          <w:rFonts w:eastAsia="Times New Roman" w:cs="Calibri"/>
          <w:b/>
          <w:bCs/>
          <w:sz w:val="28"/>
          <w:szCs w:val="28"/>
        </w:rPr>
      </w:pPr>
    </w:p>
    <w:p w14:paraId="0A48E5B6" w14:textId="77777777" w:rsidR="008912CC" w:rsidRDefault="008912CC"/>
    <w:sectPr w:rsidR="008912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1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jC1sDQ1MTc3NzYwMDVQ0lEKTi0uzszPAykwqgUANttQ1SwAAAA="/>
  </w:docVars>
  <w:rsids>
    <w:rsidRoot w:val="00C83211"/>
    <w:rsid w:val="008912CC"/>
    <w:rsid w:val="00966890"/>
    <w:rsid w:val="00B255F0"/>
    <w:rsid w:val="00C83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48E501"/>
  <w15:chartTrackingRefBased/>
  <w15:docId w15:val="{45689191-EEBC-474B-8850-B07392984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3211"/>
    <w:pPr>
      <w:spacing w:after="200" w:line="276" w:lineRule="auto"/>
    </w:pPr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3211"/>
    <w:pPr>
      <w:ind w:left="720"/>
      <w:contextualSpacing/>
    </w:pPr>
  </w:style>
  <w:style w:type="table" w:styleId="TableGrid">
    <w:name w:val="Table Grid"/>
    <w:basedOn w:val="TableNormal"/>
    <w:uiPriority w:val="59"/>
    <w:rsid w:val="00C83211"/>
    <w:pPr>
      <w:spacing w:after="0" w:line="240" w:lineRule="auto"/>
    </w:pPr>
    <w:rPr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Charan Thej [Stempeutics]</dc:creator>
  <cp:keywords/>
  <dc:description/>
  <cp:lastModifiedBy>Charan Thej</cp:lastModifiedBy>
  <cp:revision>2</cp:revision>
  <dcterms:created xsi:type="dcterms:W3CDTF">2020-07-07T09:59:00Z</dcterms:created>
  <dcterms:modified xsi:type="dcterms:W3CDTF">2021-01-06T01:28:00Z</dcterms:modified>
</cp:coreProperties>
</file>