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941" w:rsidRPr="00F310B3" w:rsidRDefault="00B75941" w:rsidP="00B75941">
      <w:pPr>
        <w:spacing w:line="48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APPENDIX</w:t>
      </w:r>
      <w:bookmarkStart w:id="0" w:name="_GoBack"/>
      <w:bookmarkEnd w:id="0"/>
    </w:p>
    <w:p w:rsidR="00B75941" w:rsidRPr="00A04AEC" w:rsidRDefault="00B75941" w:rsidP="00B75941">
      <w:pPr>
        <w:widowControl w:val="0"/>
        <w:autoSpaceDE w:val="0"/>
        <w:autoSpaceDN w:val="0"/>
        <w:adjustRightInd w:val="0"/>
        <w:spacing w:after="0" w:line="480" w:lineRule="auto"/>
        <w:contextualSpacing/>
        <w:rPr>
          <w:rFonts w:ascii="Garamond" w:eastAsiaTheme="minorEastAsia" w:hAnsi="Garamond"/>
          <w:sz w:val="20"/>
          <w:szCs w:val="20"/>
          <w:lang w:val="en-US" w:eastAsia="fr-FR"/>
        </w:rPr>
      </w:pPr>
      <w:r w:rsidRPr="001D5FB2">
        <w:rPr>
          <w:rFonts w:ascii="Garamond" w:eastAsiaTheme="minorEastAsia" w:hAnsi="Garamond"/>
          <w:b/>
          <w:bCs/>
          <w:sz w:val="20"/>
          <w:szCs w:val="20"/>
          <w:lang w:val="en-US" w:eastAsia="fr-FR"/>
        </w:rPr>
        <w:br/>
      </w:r>
      <w:r>
        <w:rPr>
          <w:rFonts w:ascii="Garamond" w:eastAsiaTheme="minorEastAsia" w:hAnsi="Garamond"/>
          <w:b/>
          <w:bCs/>
          <w:sz w:val="20"/>
          <w:szCs w:val="20"/>
          <w:lang w:val="en-US" w:eastAsia="fr-FR"/>
        </w:rPr>
        <w:t>APPENDIX A.</w:t>
      </w:r>
      <w:r w:rsidRPr="00A04AEC">
        <w:rPr>
          <w:rFonts w:ascii="Garamond" w:eastAsiaTheme="minorEastAsia" w:hAnsi="Garamond"/>
          <w:b/>
          <w:bCs/>
          <w:sz w:val="20"/>
          <w:szCs w:val="20"/>
          <w:lang w:val="en-US" w:eastAsia="fr-FR"/>
        </w:rPr>
        <w:t xml:space="preserve"> Descriptive statistics </w:t>
      </w:r>
    </w:p>
    <w:tbl>
      <w:tblPr>
        <w:tblW w:w="8222" w:type="dxa"/>
        <w:tblLayout w:type="fixed"/>
        <w:tblLook w:val="0000" w:firstRow="0" w:lastRow="0" w:firstColumn="0" w:lastColumn="0" w:noHBand="0" w:noVBand="0"/>
      </w:tblPr>
      <w:tblGrid>
        <w:gridCol w:w="3686"/>
        <w:gridCol w:w="800"/>
        <w:gridCol w:w="1043"/>
        <w:gridCol w:w="992"/>
        <w:gridCol w:w="850"/>
        <w:gridCol w:w="851"/>
      </w:tblGrid>
      <w:tr w:rsidR="00B75941" w:rsidRPr="001D5FB2" w:rsidTr="005E042C">
        <w:tc>
          <w:tcPr>
            <w:tcW w:w="3686" w:type="dxa"/>
            <w:tcBorders>
              <w:top w:val="single" w:sz="4" w:space="0" w:color="auto"/>
              <w:left w:val="nil"/>
              <w:bottom w:val="single" w:sz="10" w:space="0" w:color="auto"/>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Variable</w:t>
            </w:r>
          </w:p>
        </w:tc>
        <w:tc>
          <w:tcPr>
            <w:tcW w:w="800" w:type="dxa"/>
            <w:tcBorders>
              <w:top w:val="single" w:sz="4" w:space="0" w:color="auto"/>
              <w:left w:val="nil"/>
              <w:bottom w:val="single" w:sz="10" w:space="0" w:color="auto"/>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 xml:space="preserve"> </w:t>
            </w:r>
            <w:proofErr w:type="spellStart"/>
            <w:r>
              <w:rPr>
                <w:rFonts w:ascii="Garamond" w:hAnsi="Garamond"/>
                <w:sz w:val="20"/>
                <w:szCs w:val="20"/>
                <w:lang w:val="en-US"/>
              </w:rPr>
              <w:t>Obs</w:t>
            </w:r>
            <w:proofErr w:type="spellEnd"/>
          </w:p>
        </w:tc>
        <w:tc>
          <w:tcPr>
            <w:tcW w:w="1043" w:type="dxa"/>
            <w:tcBorders>
              <w:top w:val="single" w:sz="4" w:space="0" w:color="auto"/>
              <w:left w:val="nil"/>
              <w:bottom w:val="single" w:sz="10" w:space="0" w:color="auto"/>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 xml:space="preserve"> Mean</w:t>
            </w:r>
          </w:p>
        </w:tc>
        <w:tc>
          <w:tcPr>
            <w:tcW w:w="992" w:type="dxa"/>
            <w:tcBorders>
              <w:top w:val="single" w:sz="4" w:space="0" w:color="auto"/>
              <w:left w:val="nil"/>
              <w:bottom w:val="single" w:sz="10" w:space="0" w:color="auto"/>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 xml:space="preserve"> Std. Dev.</w:t>
            </w:r>
          </w:p>
        </w:tc>
        <w:tc>
          <w:tcPr>
            <w:tcW w:w="850" w:type="dxa"/>
            <w:tcBorders>
              <w:top w:val="single" w:sz="4" w:space="0" w:color="auto"/>
              <w:left w:val="nil"/>
              <w:bottom w:val="single" w:sz="10" w:space="0" w:color="auto"/>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 xml:space="preserve"> Min</w:t>
            </w:r>
          </w:p>
        </w:tc>
        <w:tc>
          <w:tcPr>
            <w:tcW w:w="851" w:type="dxa"/>
            <w:tcBorders>
              <w:top w:val="single" w:sz="4" w:space="0" w:color="auto"/>
              <w:left w:val="nil"/>
              <w:bottom w:val="single" w:sz="10" w:space="0" w:color="auto"/>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 xml:space="preserve"> Max</w:t>
            </w:r>
          </w:p>
        </w:tc>
      </w:tr>
      <w:tr w:rsidR="00B75941" w:rsidRPr="001D5FB2"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vulnerability to climate change</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145</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.447</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.099</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.275</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.689</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Historical Prevalence of Infectious diseases</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145</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.173</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.651</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-1.31</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1.17</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Average Expropriation Risk</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105</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7.134</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1.831</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1.636</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10</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Security of property rights</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94</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2.364</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.54</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.5</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3.5</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Security of private contracts</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125</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2.584</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.977</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economic readiness</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139</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.392</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.176</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.033</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.81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governance readiness</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141</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.493</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.188</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.078</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.882</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social readiness</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141</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.317</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.158</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.095</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.739</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readiness</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143</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.397</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.161</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.078</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.785</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Britannic colonization dummy</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135</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.311</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.465</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French colonization dummy</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135</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.148</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.357</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landlocked</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126</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.206</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.406</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Tropical dummy</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126</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.468</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.501</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Distance to equator</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117</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.288</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.187</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.003</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.669</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Europe dummy</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126</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.27</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.446</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Africa dummy</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126</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.333</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.473</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Asia dummy</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126</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.238</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.428</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3686"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r>
              <w:rPr>
                <w:rFonts w:ascii="Garamond" w:hAnsi="Garamond"/>
                <w:sz w:val="20"/>
                <w:szCs w:val="20"/>
                <w:lang w:val="en-US"/>
              </w:rPr>
              <w:t xml:space="preserve"> America dummy</w:t>
            </w:r>
          </w:p>
        </w:tc>
        <w:tc>
          <w:tcPr>
            <w:tcW w:w="80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126</w:t>
            </w:r>
          </w:p>
        </w:tc>
        <w:tc>
          <w:tcPr>
            <w:tcW w:w="1043"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.135</w:t>
            </w:r>
          </w:p>
        </w:tc>
        <w:tc>
          <w:tcPr>
            <w:tcW w:w="992"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.343</w:t>
            </w:r>
          </w:p>
        </w:tc>
        <w:tc>
          <w:tcPr>
            <w:tcW w:w="850"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0</w:t>
            </w:r>
          </w:p>
        </w:tc>
        <w:tc>
          <w:tcPr>
            <w:tcW w:w="851" w:type="dxa"/>
            <w:tcBorders>
              <w:top w:val="nil"/>
              <w:left w:val="nil"/>
              <w:bottom w:val="nil"/>
              <w:right w:val="nil"/>
            </w:tcBorders>
          </w:tcPr>
          <w:p w:rsidR="00B75941" w:rsidRDefault="00B75941" w:rsidP="005E042C">
            <w:pPr>
              <w:widowControl w:val="0"/>
              <w:autoSpaceDE w:val="0"/>
              <w:autoSpaceDN w:val="0"/>
              <w:adjustRightInd w:val="0"/>
              <w:spacing w:after="0" w:line="480" w:lineRule="auto"/>
              <w:contextualSpacing/>
              <w:jc w:val="right"/>
              <w:rPr>
                <w:rFonts w:ascii="Garamond" w:hAnsi="Garamond"/>
                <w:sz w:val="20"/>
                <w:szCs w:val="20"/>
                <w:lang w:val="en-US"/>
              </w:rPr>
            </w:pPr>
            <w:r>
              <w:rPr>
                <w:rFonts w:ascii="Garamond" w:hAnsi="Garamond"/>
                <w:sz w:val="20"/>
                <w:szCs w:val="20"/>
                <w:lang w:val="en-US"/>
              </w:rPr>
              <w:t>1</w:t>
            </w:r>
          </w:p>
        </w:tc>
      </w:tr>
      <w:tr w:rsidR="00B75941" w:rsidTr="005E042C">
        <w:tc>
          <w:tcPr>
            <w:tcW w:w="8222" w:type="dxa"/>
            <w:gridSpan w:val="6"/>
            <w:tcBorders>
              <w:top w:val="single" w:sz="6" w:space="0" w:color="auto"/>
              <w:left w:val="nil"/>
              <w:bottom w:val="nil"/>
              <w:right w:val="nil"/>
            </w:tcBorders>
          </w:tcPr>
          <w:p w:rsidR="00B75941" w:rsidRDefault="00B75941" w:rsidP="005E042C">
            <w:pPr>
              <w:widowControl w:val="0"/>
              <w:autoSpaceDE w:val="0"/>
              <w:autoSpaceDN w:val="0"/>
              <w:adjustRightInd w:val="0"/>
              <w:spacing w:after="0" w:line="480" w:lineRule="auto"/>
              <w:contextualSpacing/>
              <w:rPr>
                <w:rFonts w:ascii="Garamond" w:hAnsi="Garamond"/>
                <w:sz w:val="20"/>
                <w:szCs w:val="20"/>
                <w:lang w:val="en-US"/>
              </w:rPr>
            </w:pPr>
          </w:p>
        </w:tc>
      </w:tr>
    </w:tbl>
    <w:p w:rsidR="00B75941" w:rsidRDefault="00B75941" w:rsidP="00B75941">
      <w:pPr>
        <w:spacing w:line="48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Source: author construction</w:t>
      </w:r>
    </w:p>
    <w:p w:rsidR="00B75941" w:rsidRPr="004C33C7" w:rsidRDefault="00B75941" w:rsidP="00B75941">
      <w:pPr>
        <w:spacing w:line="480" w:lineRule="auto"/>
        <w:ind w:left="360"/>
        <w:contextualSpacing/>
        <w:rPr>
          <w:rFonts w:ascii="Times New Roman" w:hAnsi="Times New Roman" w:cs="Times New Roman"/>
          <w:sz w:val="24"/>
          <w:szCs w:val="24"/>
          <w:lang w:val="en-US"/>
        </w:rPr>
      </w:pPr>
      <w:r>
        <w:rPr>
          <w:rFonts w:ascii="Times New Roman" w:hAnsi="Times New Roman" w:cs="Times New Roman"/>
          <w:b/>
          <w:sz w:val="24"/>
          <w:szCs w:val="24"/>
          <w:lang w:val="en-US"/>
        </w:rPr>
        <w:t>Appendix B</w:t>
      </w:r>
      <w:r>
        <w:rPr>
          <w:rFonts w:ascii="Times New Roman" w:hAnsi="Times New Roman" w:cs="Times New Roman"/>
          <w:sz w:val="24"/>
          <w:szCs w:val="24"/>
          <w:lang w:val="en-US"/>
        </w:rPr>
        <w:t>.</w:t>
      </w:r>
      <w:r w:rsidRPr="004C33C7">
        <w:rPr>
          <w:rFonts w:ascii="Times New Roman" w:hAnsi="Times New Roman" w:cs="Times New Roman"/>
          <w:sz w:val="24"/>
          <w:szCs w:val="24"/>
          <w:lang w:val="en-US"/>
        </w:rPr>
        <w:t xml:space="preserve"> correlation matrix</w:t>
      </w:r>
    </w:p>
    <w:tbl>
      <w:tblPr>
        <w:tblW w:w="8789" w:type="dxa"/>
        <w:tblLayout w:type="fixed"/>
        <w:tblLook w:val="0000" w:firstRow="0" w:lastRow="0" w:firstColumn="0" w:lastColumn="0" w:noHBand="0" w:noVBand="0"/>
      </w:tblPr>
      <w:tblGrid>
        <w:gridCol w:w="1985"/>
        <w:gridCol w:w="1136"/>
        <w:gridCol w:w="1134"/>
        <w:gridCol w:w="851"/>
        <w:gridCol w:w="850"/>
        <w:gridCol w:w="850"/>
        <w:gridCol w:w="992"/>
        <w:gridCol w:w="991"/>
      </w:tblGrid>
      <w:tr w:rsidR="00B75941" w:rsidRPr="001D5FB2" w:rsidTr="005E042C">
        <w:tc>
          <w:tcPr>
            <w:tcW w:w="1985"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c>
          <w:tcPr>
            <w:tcW w:w="1134"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1"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1D5FB2"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1D5FB2"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vulnerability</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histo_patho_9</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roofErr w:type="spellStart"/>
            <w:r w:rsidRPr="00A04AEC">
              <w:rPr>
                <w:rFonts w:ascii="Times New Roman" w:eastAsiaTheme="minorEastAsia" w:hAnsi="Times New Roman" w:cs="Times New Roman"/>
                <w:sz w:val="16"/>
                <w:szCs w:val="16"/>
                <w:lang w:val="en-US" w:eastAsia="fr-FR"/>
              </w:rPr>
              <w:t>avexpr</w:t>
            </w:r>
            <w:proofErr w:type="spellEnd"/>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roofErr w:type="spellStart"/>
            <w:r w:rsidRPr="00A04AEC">
              <w:rPr>
                <w:rFonts w:ascii="Times New Roman" w:eastAsiaTheme="minorEastAsia" w:hAnsi="Times New Roman" w:cs="Times New Roman"/>
                <w:sz w:val="16"/>
                <w:szCs w:val="16"/>
                <w:lang w:val="en-US" w:eastAsia="fr-FR"/>
              </w:rPr>
              <w:t>f_brit</w:t>
            </w:r>
            <w:proofErr w:type="spellEnd"/>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roofErr w:type="spellStart"/>
            <w:r w:rsidRPr="00A04AEC">
              <w:rPr>
                <w:rFonts w:ascii="Times New Roman" w:eastAsiaTheme="minorEastAsia" w:hAnsi="Times New Roman" w:cs="Times New Roman"/>
                <w:sz w:val="16"/>
                <w:szCs w:val="16"/>
                <w:lang w:val="en-US" w:eastAsia="fr-FR"/>
              </w:rPr>
              <w:t>f_french</w:t>
            </w:r>
            <w:proofErr w:type="spellEnd"/>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governance</w:t>
            </w: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readiness</w:t>
            </w:r>
          </w:p>
        </w:tc>
      </w:tr>
      <w:tr w:rsidR="00B75941" w:rsidRPr="001D5FB2" w:rsidTr="005E042C">
        <w:tc>
          <w:tcPr>
            <w:tcW w:w="1985"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vulnerability</w:t>
            </w:r>
          </w:p>
        </w:tc>
        <w:tc>
          <w:tcPr>
            <w:tcW w:w="1136"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c>
          <w:tcPr>
            <w:tcW w:w="1134"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1"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single" w:sz="4" w:space="0" w:color="auto"/>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1D5FB2"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1D5FB2"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lastRenderedPageBreak/>
              <w:t>histo_patho_9</w:t>
            </w: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0.746</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roofErr w:type="spellStart"/>
            <w:r w:rsidRPr="00A04AEC">
              <w:rPr>
                <w:rFonts w:ascii="Times New Roman" w:eastAsiaTheme="minorEastAsia" w:hAnsi="Times New Roman" w:cs="Times New Roman"/>
                <w:sz w:val="16"/>
                <w:szCs w:val="16"/>
                <w:lang w:val="en-US" w:eastAsia="fr-FR"/>
              </w:rPr>
              <w:t>avexpr</w:t>
            </w:r>
            <w:proofErr w:type="spellEnd"/>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-0.767</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-0.674</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roofErr w:type="spellStart"/>
            <w:r w:rsidRPr="00A04AEC">
              <w:rPr>
                <w:rFonts w:ascii="Times New Roman" w:eastAsiaTheme="minorEastAsia" w:hAnsi="Times New Roman" w:cs="Times New Roman"/>
                <w:sz w:val="16"/>
                <w:szCs w:val="16"/>
                <w:lang w:val="en-US" w:eastAsia="fr-FR"/>
              </w:rPr>
              <w:t>f_brit</w:t>
            </w:r>
            <w:proofErr w:type="spellEnd"/>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0.186</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0.0943</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-0.0826</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(0.031)</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(0.277)</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(0.402)</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roofErr w:type="spellStart"/>
            <w:r w:rsidRPr="00A04AEC">
              <w:rPr>
                <w:rFonts w:ascii="Times New Roman" w:eastAsiaTheme="minorEastAsia" w:hAnsi="Times New Roman" w:cs="Times New Roman"/>
                <w:sz w:val="16"/>
                <w:szCs w:val="16"/>
                <w:lang w:val="en-US" w:eastAsia="fr-FR"/>
              </w:rPr>
              <w:t>f_french</w:t>
            </w:r>
            <w:proofErr w:type="spellEnd"/>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0.395</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0.388</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-0.267</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-0.280</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(0.006)</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(0.001)</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governance</w:t>
            </w: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-0.722</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-0.711</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0.840</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-0.0396</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-0.257</w:t>
            </w: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(0.651)</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(0.003)</w:t>
            </w: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readiness</w:t>
            </w: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-0.783</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-0.771</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0.851</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-0.0503</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-0.338</w:t>
            </w: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0.947</w:t>
            </w: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w:t>
            </w: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(0.565)</w:t>
            </w: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(0.000)</w:t>
            </w: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6"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1134"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850"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2"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c>
          <w:tcPr>
            <w:tcW w:w="991" w:type="dxa"/>
            <w:tcBorders>
              <w:top w:val="nil"/>
              <w:left w:val="nil"/>
              <w:bottom w:val="nil"/>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p>
        </w:tc>
      </w:tr>
      <w:tr w:rsidR="00B75941" w:rsidRPr="00A04AEC" w:rsidTr="005E042C">
        <w:tc>
          <w:tcPr>
            <w:tcW w:w="1985"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i/>
                <w:iCs/>
                <w:sz w:val="16"/>
                <w:szCs w:val="16"/>
                <w:lang w:val="en-US" w:eastAsia="fr-FR"/>
              </w:rPr>
              <w:t>N</w:t>
            </w:r>
          </w:p>
        </w:tc>
        <w:tc>
          <w:tcPr>
            <w:tcW w:w="1136"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A04AEC">
              <w:rPr>
                <w:rFonts w:ascii="Times New Roman" w:eastAsiaTheme="minorEastAsia" w:hAnsi="Times New Roman" w:cs="Times New Roman"/>
                <w:sz w:val="16"/>
                <w:szCs w:val="16"/>
                <w:lang w:val="en-US" w:eastAsia="fr-FR"/>
              </w:rPr>
              <w:t>145</w:t>
            </w:r>
          </w:p>
        </w:tc>
        <w:tc>
          <w:tcPr>
            <w:tcW w:w="1134"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1"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850"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2"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c>
          <w:tcPr>
            <w:tcW w:w="991" w:type="dxa"/>
            <w:tcBorders>
              <w:top w:val="nil"/>
              <w:left w:val="nil"/>
              <w:bottom w:val="single" w:sz="4" w:space="0" w:color="auto"/>
              <w:right w:val="nil"/>
            </w:tcBorders>
          </w:tcPr>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r w:rsidR="00B75941" w:rsidRPr="008343AA" w:rsidTr="005E042C">
        <w:tc>
          <w:tcPr>
            <w:tcW w:w="8789" w:type="dxa"/>
            <w:gridSpan w:val="8"/>
            <w:tcBorders>
              <w:top w:val="single" w:sz="4" w:space="0" w:color="auto"/>
              <w:left w:val="nil"/>
              <w:bottom w:val="single" w:sz="4" w:space="0" w:color="auto"/>
              <w:right w:val="nil"/>
            </w:tcBorders>
          </w:tcPr>
          <w:p w:rsidR="00B75941" w:rsidRPr="00955E01"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r w:rsidRPr="00955E01">
              <w:rPr>
                <w:rFonts w:ascii="Times New Roman" w:eastAsiaTheme="minorEastAsia" w:hAnsi="Times New Roman" w:cs="Times New Roman"/>
                <w:sz w:val="16"/>
                <w:szCs w:val="16"/>
                <w:lang w:val="en-US" w:eastAsia="fr-FR"/>
              </w:rPr>
              <w:t xml:space="preserve">Notes: vulnerability: vulnerability to climate change; </w:t>
            </w:r>
            <w:r w:rsidRPr="00955E01">
              <w:rPr>
                <w:rFonts w:ascii="Times New Roman" w:eastAsiaTheme="minorEastAsia" w:hAnsi="Times New Roman" w:cs="Times New Roman"/>
                <w:sz w:val="16"/>
                <w:szCs w:val="16"/>
                <w:lang w:val="en-US" w:eastAsia="fr-FR"/>
              </w:rPr>
              <w:tab/>
              <w:t xml:space="preserve">histo_patho_9: historical prevalence of diseases; </w:t>
            </w:r>
            <w:proofErr w:type="spellStart"/>
            <w:r w:rsidRPr="00955E01">
              <w:rPr>
                <w:rFonts w:ascii="Times New Roman" w:eastAsiaTheme="minorEastAsia" w:hAnsi="Times New Roman" w:cs="Times New Roman"/>
                <w:sz w:val="16"/>
                <w:szCs w:val="16"/>
                <w:lang w:val="en-US" w:eastAsia="fr-FR"/>
              </w:rPr>
              <w:t>avexpr</w:t>
            </w:r>
            <w:proofErr w:type="spellEnd"/>
            <w:r w:rsidRPr="00955E01">
              <w:rPr>
                <w:rFonts w:ascii="Times New Roman" w:eastAsiaTheme="minorEastAsia" w:hAnsi="Times New Roman" w:cs="Times New Roman"/>
                <w:sz w:val="16"/>
                <w:szCs w:val="16"/>
                <w:lang w:val="en-US" w:eastAsia="fr-FR"/>
              </w:rPr>
              <w:t xml:space="preserve">: protection against Expropriation Risk; </w:t>
            </w:r>
            <w:proofErr w:type="spellStart"/>
            <w:r w:rsidRPr="00955E01">
              <w:rPr>
                <w:rFonts w:ascii="Times New Roman" w:eastAsiaTheme="minorEastAsia" w:hAnsi="Times New Roman" w:cs="Times New Roman"/>
                <w:sz w:val="16"/>
                <w:szCs w:val="16"/>
                <w:lang w:val="en-US" w:eastAsia="fr-FR"/>
              </w:rPr>
              <w:t>f_brit</w:t>
            </w:r>
            <w:proofErr w:type="spellEnd"/>
            <w:r w:rsidRPr="00955E01">
              <w:rPr>
                <w:rFonts w:ascii="Times New Roman" w:eastAsiaTheme="minorEastAsia" w:hAnsi="Times New Roman" w:cs="Times New Roman"/>
                <w:sz w:val="16"/>
                <w:szCs w:val="16"/>
                <w:lang w:val="en-US" w:eastAsia="fr-FR"/>
              </w:rPr>
              <w:t xml:space="preserve">: </w:t>
            </w:r>
            <w:proofErr w:type="spellStart"/>
            <w:r w:rsidRPr="00955E01">
              <w:rPr>
                <w:rFonts w:ascii="Times New Roman" w:eastAsiaTheme="minorEastAsia" w:hAnsi="Times New Roman" w:cs="Times New Roman"/>
                <w:sz w:val="16"/>
                <w:szCs w:val="16"/>
                <w:lang w:val="en-US" w:eastAsia="fr-FR"/>
              </w:rPr>
              <w:t>britatnic</w:t>
            </w:r>
            <w:proofErr w:type="spellEnd"/>
            <w:r w:rsidRPr="00955E01">
              <w:rPr>
                <w:rFonts w:ascii="Times New Roman" w:eastAsiaTheme="minorEastAsia" w:hAnsi="Times New Roman" w:cs="Times New Roman"/>
                <w:sz w:val="16"/>
                <w:szCs w:val="16"/>
                <w:lang w:val="en-US" w:eastAsia="fr-FR"/>
              </w:rPr>
              <w:t xml:space="preserve"> legal </w:t>
            </w:r>
            <w:proofErr w:type="gramStart"/>
            <w:r w:rsidRPr="00955E01">
              <w:rPr>
                <w:rFonts w:ascii="Times New Roman" w:eastAsiaTheme="minorEastAsia" w:hAnsi="Times New Roman" w:cs="Times New Roman"/>
                <w:sz w:val="16"/>
                <w:szCs w:val="16"/>
                <w:lang w:val="en-US" w:eastAsia="fr-FR"/>
              </w:rPr>
              <w:t xml:space="preserve">origin;  </w:t>
            </w:r>
            <w:proofErr w:type="spellStart"/>
            <w:r w:rsidRPr="00955E01">
              <w:rPr>
                <w:rFonts w:ascii="Times New Roman" w:eastAsiaTheme="minorEastAsia" w:hAnsi="Times New Roman" w:cs="Times New Roman"/>
                <w:sz w:val="16"/>
                <w:szCs w:val="16"/>
                <w:lang w:val="en-US" w:eastAsia="fr-FR"/>
              </w:rPr>
              <w:t>f</w:t>
            </w:r>
            <w:proofErr w:type="gramEnd"/>
            <w:r w:rsidRPr="00955E01">
              <w:rPr>
                <w:rFonts w:ascii="Times New Roman" w:eastAsiaTheme="minorEastAsia" w:hAnsi="Times New Roman" w:cs="Times New Roman"/>
                <w:sz w:val="16"/>
                <w:szCs w:val="16"/>
                <w:lang w:val="en-US" w:eastAsia="fr-FR"/>
              </w:rPr>
              <w:t>_french</w:t>
            </w:r>
            <w:proofErr w:type="spellEnd"/>
            <w:r w:rsidRPr="00955E01">
              <w:rPr>
                <w:rFonts w:ascii="Times New Roman" w:eastAsiaTheme="minorEastAsia" w:hAnsi="Times New Roman" w:cs="Times New Roman"/>
                <w:sz w:val="16"/>
                <w:szCs w:val="16"/>
                <w:lang w:val="en-US" w:eastAsia="fr-FR"/>
              </w:rPr>
              <w:t xml:space="preserve"> :French legal origin; governance: governance readiness</w:t>
            </w:r>
          </w:p>
          <w:p w:rsidR="00B75941" w:rsidRPr="00A04AEC" w:rsidRDefault="00B75941" w:rsidP="005E042C">
            <w:pPr>
              <w:widowControl w:val="0"/>
              <w:autoSpaceDE w:val="0"/>
              <w:autoSpaceDN w:val="0"/>
              <w:adjustRightInd w:val="0"/>
              <w:spacing w:after="0" w:line="480" w:lineRule="auto"/>
              <w:contextualSpacing/>
              <w:jc w:val="center"/>
              <w:rPr>
                <w:rFonts w:ascii="Times New Roman" w:eastAsiaTheme="minorEastAsia" w:hAnsi="Times New Roman" w:cs="Times New Roman"/>
                <w:sz w:val="16"/>
                <w:szCs w:val="16"/>
                <w:lang w:val="en-US" w:eastAsia="fr-FR"/>
              </w:rPr>
            </w:pPr>
          </w:p>
        </w:tc>
      </w:tr>
    </w:tbl>
    <w:p w:rsidR="00B75941" w:rsidRDefault="00B75941" w:rsidP="00B75941">
      <w:pPr>
        <w:widowControl w:val="0"/>
        <w:autoSpaceDE w:val="0"/>
        <w:autoSpaceDN w:val="0"/>
        <w:adjustRightInd w:val="0"/>
        <w:spacing w:after="0" w:line="480" w:lineRule="auto"/>
        <w:contextualSpacing/>
        <w:rPr>
          <w:rFonts w:ascii="Times New Roman" w:eastAsiaTheme="minorEastAsia" w:hAnsi="Times New Roman" w:cs="Times New Roman"/>
          <w:sz w:val="20"/>
          <w:szCs w:val="20"/>
          <w:lang w:val="en-US" w:eastAsia="fr-FR"/>
        </w:rPr>
      </w:pPr>
    </w:p>
    <w:p w:rsidR="00B75941" w:rsidRDefault="00B75941" w:rsidP="00B75941">
      <w:pPr>
        <w:spacing w:line="48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Source: author construction</w:t>
      </w:r>
    </w:p>
    <w:p w:rsidR="00B75941" w:rsidRDefault="00B75941" w:rsidP="00B75941">
      <w:pPr>
        <w:spacing w:line="480" w:lineRule="auto"/>
        <w:contextualSpacing/>
        <w:rPr>
          <w:rFonts w:ascii="Times New Roman" w:hAnsi="Times New Roman" w:cs="Times New Roman"/>
          <w:b/>
          <w:sz w:val="24"/>
          <w:szCs w:val="24"/>
          <w:lang w:val="en-US"/>
        </w:rPr>
      </w:pPr>
    </w:p>
    <w:p w:rsidR="00B75941" w:rsidRPr="007F2D88" w:rsidRDefault="00B75941" w:rsidP="00B75941">
      <w:pPr>
        <w:tabs>
          <w:tab w:val="left" w:pos="4020"/>
        </w:tabs>
        <w:spacing w:line="480" w:lineRule="auto"/>
        <w:contextualSpacing/>
        <w:rPr>
          <w:rFonts w:ascii="Times New Roman" w:eastAsia="Calibri" w:hAnsi="Times New Roman" w:cs="Times New Roman"/>
          <w:b/>
          <w:sz w:val="28"/>
          <w:szCs w:val="28"/>
          <w:lang w:val="en-US"/>
        </w:rPr>
      </w:pPr>
      <w:r w:rsidRPr="007F2D88">
        <w:rPr>
          <w:rFonts w:ascii="Times New Roman" w:eastAsia="Calibri" w:hAnsi="Times New Roman" w:cs="Times New Roman"/>
          <w:b/>
          <w:sz w:val="24"/>
          <w:szCs w:val="24"/>
          <w:lang w:val="en-US"/>
        </w:rPr>
        <w:t xml:space="preserve">Appendix </w:t>
      </w:r>
      <w:r>
        <w:rPr>
          <w:rFonts w:ascii="Times New Roman" w:eastAsia="Calibri" w:hAnsi="Times New Roman" w:cs="Times New Roman"/>
          <w:b/>
          <w:sz w:val="24"/>
          <w:szCs w:val="24"/>
          <w:lang w:val="en-US"/>
        </w:rPr>
        <w:t>C.</w:t>
      </w:r>
      <w:r w:rsidRPr="007F2D88">
        <w:rPr>
          <w:rFonts w:ascii="Times New Roman" w:eastAsia="Calibri" w:hAnsi="Times New Roman" w:cs="Times New Roman"/>
          <w:b/>
          <w:sz w:val="24"/>
          <w:szCs w:val="24"/>
          <w:lang w:val="en-US"/>
        </w:rPr>
        <w:t xml:space="preserve"> </w:t>
      </w:r>
      <w:r w:rsidRPr="007F2D88">
        <w:rPr>
          <w:rFonts w:ascii="Times New Roman" w:eastAsia="Calibri" w:hAnsi="Times New Roman" w:cs="Times New Roman"/>
          <w:sz w:val="24"/>
          <w:szCs w:val="24"/>
          <w:lang w:val="en-US"/>
        </w:rPr>
        <w:t>description of variables</w:t>
      </w:r>
      <w:r w:rsidRPr="00F310B3">
        <w:rPr>
          <w:rFonts w:ascii="Times New Roman" w:eastAsia="Calibri" w:hAnsi="Times New Roman" w:cs="Times New Roman"/>
          <w:sz w:val="24"/>
          <w:szCs w:val="24"/>
          <w:lang w:val="en-US"/>
        </w:rPr>
        <w:t xml:space="preserve"> and sources</w:t>
      </w:r>
    </w:p>
    <w:tbl>
      <w:tblPr>
        <w:tblStyle w:val="Grilledutableau1"/>
        <w:tblW w:w="9930" w:type="dxa"/>
        <w:tblInd w:w="0" w:type="dxa"/>
        <w:tblLayout w:type="fixed"/>
        <w:tblLook w:val="04A0" w:firstRow="1" w:lastRow="0" w:firstColumn="1" w:lastColumn="0" w:noHBand="0" w:noVBand="1"/>
      </w:tblPr>
      <w:tblGrid>
        <w:gridCol w:w="2815"/>
        <w:gridCol w:w="4820"/>
        <w:gridCol w:w="2283"/>
        <w:gridCol w:w="12"/>
      </w:tblGrid>
      <w:tr w:rsidR="00B75941" w:rsidRPr="001D5FB2" w:rsidTr="005E042C">
        <w:trPr>
          <w:gridAfter w:val="1"/>
          <w:wAfter w:w="12" w:type="dxa"/>
          <w:trHeight w:val="513"/>
        </w:trPr>
        <w:tc>
          <w:tcPr>
            <w:tcW w:w="2815" w:type="dxa"/>
            <w:noWrap/>
            <w:hideMark/>
          </w:tcPr>
          <w:p w:rsidR="00B75941" w:rsidRPr="007F2D88" w:rsidRDefault="00B75941" w:rsidP="005E042C">
            <w:pPr>
              <w:spacing w:line="480" w:lineRule="auto"/>
              <w:contextualSpacing/>
              <w:jc w:val="center"/>
              <w:rPr>
                <w:rFonts w:ascii="Times New Roman" w:eastAsia="Times New Roman" w:hAnsi="Times New Roman"/>
                <w:b/>
                <w:bCs/>
                <w:lang w:val="en-US"/>
              </w:rPr>
            </w:pPr>
            <w:r w:rsidRPr="007F2D88">
              <w:rPr>
                <w:rFonts w:ascii="Times New Roman" w:eastAsia="Times New Roman" w:hAnsi="Times New Roman"/>
                <w:b/>
                <w:bCs/>
                <w:lang w:val="en-US"/>
              </w:rPr>
              <w:t>Variables</w:t>
            </w:r>
          </w:p>
        </w:tc>
        <w:tc>
          <w:tcPr>
            <w:tcW w:w="4820" w:type="dxa"/>
            <w:noWrap/>
            <w:hideMark/>
          </w:tcPr>
          <w:p w:rsidR="00B75941" w:rsidRPr="007F2D88" w:rsidRDefault="00B75941" w:rsidP="005E042C">
            <w:pPr>
              <w:spacing w:line="480" w:lineRule="auto"/>
              <w:contextualSpacing/>
              <w:jc w:val="center"/>
              <w:rPr>
                <w:rFonts w:ascii="Times New Roman" w:eastAsia="Times New Roman" w:hAnsi="Times New Roman"/>
                <w:b/>
                <w:bCs/>
                <w:lang w:val="en-US"/>
              </w:rPr>
            </w:pPr>
            <w:r w:rsidRPr="007F2D88">
              <w:rPr>
                <w:rFonts w:ascii="Times New Roman" w:eastAsia="Times New Roman" w:hAnsi="Times New Roman"/>
                <w:b/>
                <w:bCs/>
                <w:lang w:val="en-US"/>
              </w:rPr>
              <w:t>Description</w:t>
            </w:r>
          </w:p>
        </w:tc>
        <w:tc>
          <w:tcPr>
            <w:tcW w:w="2283" w:type="dxa"/>
            <w:noWrap/>
            <w:hideMark/>
          </w:tcPr>
          <w:p w:rsidR="00B75941" w:rsidRPr="007F2D88" w:rsidRDefault="00B75941" w:rsidP="005E042C">
            <w:pPr>
              <w:spacing w:line="480" w:lineRule="auto"/>
              <w:contextualSpacing/>
              <w:jc w:val="both"/>
              <w:rPr>
                <w:rFonts w:ascii="Times New Roman" w:eastAsia="Times New Roman" w:hAnsi="Times New Roman"/>
                <w:b/>
                <w:bCs/>
                <w:lang w:val="en-US"/>
              </w:rPr>
            </w:pPr>
            <w:r w:rsidRPr="007F2D88">
              <w:rPr>
                <w:rFonts w:ascii="Times New Roman" w:eastAsia="Times New Roman" w:hAnsi="Times New Roman"/>
                <w:b/>
                <w:bCs/>
                <w:lang w:val="en-US"/>
              </w:rPr>
              <w:t>Sources</w:t>
            </w:r>
          </w:p>
        </w:tc>
      </w:tr>
      <w:tr w:rsidR="00B75941" w:rsidRPr="001D5FB2" w:rsidTr="005E042C">
        <w:trPr>
          <w:gridAfter w:val="1"/>
          <w:wAfter w:w="12" w:type="dxa"/>
          <w:trHeight w:val="513"/>
        </w:trPr>
        <w:tc>
          <w:tcPr>
            <w:tcW w:w="9918" w:type="dxa"/>
            <w:gridSpan w:val="3"/>
            <w:noWrap/>
          </w:tcPr>
          <w:p w:rsidR="00B75941" w:rsidRPr="007F2D88" w:rsidRDefault="00B75941" w:rsidP="005E042C">
            <w:pPr>
              <w:spacing w:line="480" w:lineRule="auto"/>
              <w:contextualSpacing/>
              <w:jc w:val="center"/>
              <w:rPr>
                <w:rFonts w:ascii="Times New Roman" w:eastAsia="Times New Roman" w:hAnsi="Times New Roman"/>
                <w:b/>
                <w:bCs/>
                <w:lang w:val="en-US"/>
              </w:rPr>
            </w:pPr>
            <w:r w:rsidRPr="00F310B3">
              <w:rPr>
                <w:rFonts w:ascii="Times New Roman" w:eastAsia="Times New Roman" w:hAnsi="Times New Roman"/>
                <w:b/>
                <w:lang w:val="en-US"/>
              </w:rPr>
              <w:t xml:space="preserve">Dependent </w:t>
            </w:r>
            <w:r w:rsidRPr="007F2D88">
              <w:rPr>
                <w:rFonts w:ascii="Times New Roman" w:eastAsia="Times New Roman" w:hAnsi="Times New Roman"/>
                <w:b/>
                <w:bCs/>
                <w:lang w:val="en-US"/>
              </w:rPr>
              <w:t>Variable</w:t>
            </w:r>
          </w:p>
        </w:tc>
      </w:tr>
      <w:tr w:rsidR="00B75941" w:rsidRPr="00F310B3" w:rsidTr="005E042C">
        <w:trPr>
          <w:trHeight w:val="328"/>
        </w:trPr>
        <w:tc>
          <w:tcPr>
            <w:tcW w:w="2815" w:type="dxa"/>
            <w:noWrap/>
          </w:tcPr>
          <w:p w:rsidR="00B75941" w:rsidRPr="007F2D88" w:rsidRDefault="00B75941" w:rsidP="005E042C">
            <w:pPr>
              <w:widowControl w:val="0"/>
              <w:autoSpaceDE w:val="0"/>
              <w:autoSpaceDN w:val="0"/>
              <w:adjustRightInd w:val="0"/>
              <w:spacing w:line="480" w:lineRule="auto"/>
              <w:contextualSpacing/>
              <w:jc w:val="center"/>
              <w:rPr>
                <w:rFonts w:ascii="Times New Roman" w:eastAsia="Times New Roman" w:hAnsi="Times New Roman"/>
                <w:bCs/>
                <w:sz w:val="20"/>
                <w:szCs w:val="20"/>
                <w:lang w:val="en-US" w:eastAsia="fr-FR"/>
              </w:rPr>
            </w:pPr>
            <w:r w:rsidRPr="007F2D88">
              <w:rPr>
                <w:rFonts w:ascii="Times New Roman" w:eastAsia="Times New Roman" w:hAnsi="Times New Roman"/>
                <w:bCs/>
                <w:sz w:val="20"/>
                <w:szCs w:val="20"/>
                <w:lang w:val="en-US" w:eastAsia="fr-FR"/>
              </w:rPr>
              <w:t>Vulnerability to climate change</w:t>
            </w:r>
          </w:p>
        </w:tc>
        <w:tc>
          <w:tcPr>
            <w:tcW w:w="4820" w:type="dxa"/>
            <w:noWrap/>
          </w:tcPr>
          <w:p w:rsidR="00B75941" w:rsidRPr="007F2D88" w:rsidRDefault="00B75941" w:rsidP="005E042C">
            <w:pPr>
              <w:widowControl w:val="0"/>
              <w:autoSpaceDE w:val="0"/>
              <w:autoSpaceDN w:val="0"/>
              <w:adjustRightInd w:val="0"/>
              <w:spacing w:line="480" w:lineRule="auto"/>
              <w:contextualSpacing/>
              <w:jc w:val="both"/>
              <w:rPr>
                <w:rFonts w:ascii="Times New Roman" w:eastAsia="Times New Roman" w:hAnsi="Times New Roman"/>
                <w:sz w:val="20"/>
                <w:szCs w:val="20"/>
                <w:lang w:val="en-US" w:eastAsia="fr-FR"/>
              </w:rPr>
            </w:pPr>
            <w:r w:rsidRPr="007F2D88">
              <w:rPr>
                <w:rFonts w:ascii="Times New Roman" w:hAnsi="Times New Roman"/>
                <w:sz w:val="20"/>
                <w:szCs w:val="20"/>
                <w:lang w:val="en-US"/>
              </w:rPr>
              <w:t>It is about the propensity or predisposition of human societies to suffer the negative effects in the event of climatic shocks. This variable varies between "0 and 100".</w:t>
            </w:r>
          </w:p>
        </w:tc>
        <w:tc>
          <w:tcPr>
            <w:tcW w:w="2295" w:type="dxa"/>
            <w:gridSpan w:val="2"/>
            <w:noWrap/>
          </w:tcPr>
          <w:p w:rsidR="00B75941" w:rsidRPr="007F2D88" w:rsidRDefault="00B75941" w:rsidP="005E042C">
            <w:pPr>
              <w:widowControl w:val="0"/>
              <w:autoSpaceDE w:val="0"/>
              <w:autoSpaceDN w:val="0"/>
              <w:adjustRightInd w:val="0"/>
              <w:spacing w:line="480" w:lineRule="auto"/>
              <w:contextualSpacing/>
              <w:jc w:val="both"/>
              <w:rPr>
                <w:rFonts w:ascii="Times New Roman" w:eastAsia="Times New Roman" w:hAnsi="Times New Roman"/>
                <w:sz w:val="20"/>
                <w:szCs w:val="20"/>
                <w:lang w:val="en-US" w:eastAsia="fr-FR"/>
              </w:rPr>
            </w:pPr>
            <w:r w:rsidRPr="00F310B3">
              <w:rPr>
                <w:rFonts w:ascii="Times New Roman" w:hAnsi="Times New Roman"/>
                <w:sz w:val="24"/>
                <w:szCs w:val="28"/>
              </w:rPr>
              <w:fldChar w:fldCharType="begin" w:fldLock="1"/>
            </w:r>
            <w:r>
              <w:rPr>
                <w:rFonts w:ascii="Times New Roman" w:hAnsi="Times New Roman"/>
                <w:sz w:val="24"/>
                <w:szCs w:val="28"/>
                <w:lang w:val="en-US"/>
              </w:rPr>
              <w:instrText>ADDIN CSL_CITATION {"citationItems":[{"id":"ITEM-1","itemData":{"author":[{"dropping-particle":"","family":"Chen","given":"Chen","non-dropping-particle":"","parse-names":false,"suffix":""},{"dropping-particle":"","family":"Noble","given":"Ian","non-dropping-particle":"","parse-names":false,"suffix":""},{"dropping-particle":"","family":"Hellmann","given":"Jessica J","non-dropping-particle":"","parse-names":false,"suffix":""},{"dropping-particle":"V","family":"Chawla","given":"Nitesh","non-dropping-particle":"","parse-names":false,"suffix":""}],"id":"ITEM-1","issue":"July 2017","issued":{"date-parts":[["2015"]]},"title":"University of Notre Dame Global Adaptation Index Country Index Technical Report","type":"article-journal"},"uris":["http://www.mendeley.com/documents/?uuid=f715e14d-70c8-45ab-b518-93ec3e2fa508"]}],"mendeley":{"formattedCitation":"(Chen &lt;i&gt;et al.&lt;/i&gt;, 2015)","manualFormatting":"Chen et al. (2015)","plainTextFormattedCitation":"(Chen et al., 2015)","previouslyFormattedCitation":"(Chen et al., 2015)"},"properties":{"noteIndex":0},"schema":"https://github.com/citation-style-language/schema/raw/master/csl-citation.json"}</w:instrText>
            </w:r>
            <w:r w:rsidRPr="00F310B3">
              <w:rPr>
                <w:rFonts w:ascii="Times New Roman" w:hAnsi="Times New Roman"/>
                <w:sz w:val="24"/>
                <w:szCs w:val="28"/>
              </w:rPr>
              <w:fldChar w:fldCharType="separate"/>
            </w:r>
            <w:r w:rsidRPr="00F310B3">
              <w:rPr>
                <w:rFonts w:ascii="Times New Roman" w:hAnsi="Times New Roman"/>
                <w:noProof/>
                <w:sz w:val="24"/>
                <w:szCs w:val="28"/>
                <w:lang w:val="en-US"/>
              </w:rPr>
              <w:t xml:space="preserve">Chen et al. </w:t>
            </w:r>
            <w:r w:rsidRPr="00F310B3">
              <w:rPr>
                <w:rFonts w:ascii="Times New Roman" w:hAnsi="Times New Roman"/>
                <w:noProof/>
                <w:sz w:val="24"/>
                <w:szCs w:val="28"/>
                <w:lang w:val="en-CA"/>
              </w:rPr>
              <w:t>(2015)</w:t>
            </w:r>
            <w:r w:rsidRPr="00F310B3">
              <w:rPr>
                <w:rFonts w:ascii="Times New Roman" w:hAnsi="Times New Roman"/>
                <w:sz w:val="24"/>
                <w:szCs w:val="28"/>
              </w:rPr>
              <w:fldChar w:fldCharType="end"/>
            </w:r>
          </w:p>
        </w:tc>
      </w:tr>
      <w:tr w:rsidR="00B75941" w:rsidRPr="00F310B3" w:rsidTr="005E042C">
        <w:trPr>
          <w:trHeight w:val="328"/>
        </w:trPr>
        <w:tc>
          <w:tcPr>
            <w:tcW w:w="9930" w:type="dxa"/>
            <w:gridSpan w:val="4"/>
            <w:noWrap/>
          </w:tcPr>
          <w:p w:rsidR="00B75941" w:rsidRPr="007F2D88" w:rsidRDefault="00B75941" w:rsidP="005E042C">
            <w:pPr>
              <w:spacing w:line="480" w:lineRule="auto"/>
              <w:contextualSpacing/>
              <w:jc w:val="center"/>
              <w:rPr>
                <w:rFonts w:ascii="Times New Roman" w:hAnsi="Times New Roman"/>
                <w:b/>
                <w:bCs/>
                <w:sz w:val="20"/>
                <w:szCs w:val="20"/>
                <w:lang w:val="en-US"/>
              </w:rPr>
            </w:pPr>
            <w:r w:rsidRPr="00F310B3">
              <w:rPr>
                <w:rFonts w:ascii="Times New Roman" w:eastAsia="Times New Roman" w:hAnsi="Times New Roman"/>
                <w:b/>
                <w:lang w:val="en-US"/>
              </w:rPr>
              <w:t xml:space="preserve">Independents </w:t>
            </w:r>
            <w:r w:rsidRPr="007F2D88">
              <w:rPr>
                <w:rFonts w:ascii="Times New Roman" w:eastAsia="Times New Roman" w:hAnsi="Times New Roman"/>
                <w:b/>
                <w:bCs/>
                <w:lang w:val="en-US"/>
              </w:rPr>
              <w:t>Variables</w:t>
            </w:r>
          </w:p>
        </w:tc>
      </w:tr>
      <w:tr w:rsidR="00B75941" w:rsidRPr="00F310B3" w:rsidTr="005E042C">
        <w:trPr>
          <w:trHeight w:val="328"/>
        </w:trPr>
        <w:tc>
          <w:tcPr>
            <w:tcW w:w="2815" w:type="dxa"/>
            <w:noWrap/>
          </w:tcPr>
          <w:p w:rsidR="00B75941" w:rsidRPr="007F2D88" w:rsidRDefault="00B75941" w:rsidP="005E042C">
            <w:pPr>
              <w:widowControl w:val="0"/>
              <w:autoSpaceDE w:val="0"/>
              <w:autoSpaceDN w:val="0"/>
              <w:adjustRightInd w:val="0"/>
              <w:spacing w:line="480" w:lineRule="auto"/>
              <w:contextualSpacing/>
              <w:jc w:val="center"/>
              <w:rPr>
                <w:rFonts w:ascii="Times New Roman" w:eastAsia="Times New Roman" w:hAnsi="Times New Roman"/>
                <w:b/>
                <w:bCs/>
                <w:sz w:val="20"/>
                <w:szCs w:val="20"/>
                <w:lang w:val="en-US" w:eastAsia="fr-FR"/>
              </w:rPr>
            </w:pPr>
            <w:r w:rsidRPr="00F310B3">
              <w:rPr>
                <w:rFonts w:ascii="Times New Roman" w:hAnsi="Times New Roman"/>
                <w:sz w:val="20"/>
                <w:szCs w:val="20"/>
                <w:lang w:val="en-US"/>
              </w:rPr>
              <w:lastRenderedPageBreak/>
              <w:t>Historical Prevalence of Infectious diseases</w:t>
            </w:r>
          </w:p>
        </w:tc>
        <w:tc>
          <w:tcPr>
            <w:tcW w:w="4820" w:type="dxa"/>
            <w:noWrap/>
          </w:tcPr>
          <w:p w:rsidR="00B75941" w:rsidRPr="007F2D88" w:rsidRDefault="00B75941" w:rsidP="005E042C">
            <w:pPr>
              <w:spacing w:line="480" w:lineRule="auto"/>
              <w:contextualSpacing/>
              <w:jc w:val="both"/>
              <w:rPr>
                <w:rFonts w:ascii="Times New Roman" w:eastAsia="Times New Roman" w:hAnsi="Times New Roman"/>
                <w:sz w:val="20"/>
                <w:szCs w:val="20"/>
                <w:lang w:val="en-US"/>
              </w:rPr>
            </w:pPr>
            <w:r w:rsidRPr="00F310B3">
              <w:rPr>
                <w:rFonts w:ascii="Times New Roman" w:hAnsi="Times New Roman"/>
                <w:sz w:val="20"/>
                <w:szCs w:val="20"/>
                <w:lang w:val="en-US"/>
              </w:rPr>
              <w:t xml:space="preserve">The calculation of this index is based on the severity of nine diseases dangerous to human survival and reproductive health. These include dengue, trypanosomes, </w:t>
            </w:r>
            <w:proofErr w:type="spellStart"/>
            <w:r w:rsidRPr="00F310B3">
              <w:rPr>
                <w:rFonts w:ascii="Times New Roman" w:hAnsi="Times New Roman"/>
                <w:sz w:val="20"/>
                <w:szCs w:val="20"/>
                <w:lang w:val="en-US"/>
              </w:rPr>
              <w:t>schistosomes</w:t>
            </w:r>
            <w:proofErr w:type="spellEnd"/>
            <w:r w:rsidRPr="00F310B3">
              <w:rPr>
                <w:rFonts w:ascii="Times New Roman" w:hAnsi="Times New Roman"/>
                <w:sz w:val="20"/>
                <w:szCs w:val="20"/>
                <w:lang w:val="en-US"/>
              </w:rPr>
              <w:t xml:space="preserve">, leprosy, typhus, malaria, </w:t>
            </w:r>
            <w:proofErr w:type="spellStart"/>
            <w:r w:rsidRPr="00F310B3">
              <w:rPr>
                <w:rFonts w:ascii="Times New Roman" w:hAnsi="Times New Roman"/>
                <w:sz w:val="20"/>
                <w:szCs w:val="20"/>
                <w:lang w:val="en-US"/>
              </w:rPr>
              <w:t>filariae</w:t>
            </w:r>
            <w:proofErr w:type="spellEnd"/>
            <w:r w:rsidRPr="00F310B3">
              <w:rPr>
                <w:rFonts w:ascii="Times New Roman" w:hAnsi="Times New Roman"/>
                <w:sz w:val="20"/>
                <w:szCs w:val="20"/>
                <w:lang w:val="en-US"/>
              </w:rPr>
              <w:t xml:space="preserve">, </w:t>
            </w:r>
            <w:proofErr w:type="spellStart"/>
            <w:r w:rsidRPr="00F310B3">
              <w:rPr>
                <w:rFonts w:ascii="Times New Roman" w:hAnsi="Times New Roman"/>
                <w:sz w:val="20"/>
                <w:szCs w:val="20"/>
                <w:lang w:val="en-US"/>
              </w:rPr>
              <w:t>leishmanias</w:t>
            </w:r>
            <w:proofErr w:type="spellEnd"/>
            <w:r w:rsidRPr="00F310B3">
              <w:rPr>
                <w:rFonts w:ascii="Times New Roman" w:hAnsi="Times New Roman"/>
                <w:sz w:val="20"/>
                <w:szCs w:val="20"/>
                <w:lang w:val="en-US"/>
              </w:rPr>
              <w:t>, and tuberculosis.</w:t>
            </w:r>
          </w:p>
        </w:tc>
        <w:tc>
          <w:tcPr>
            <w:tcW w:w="2295" w:type="dxa"/>
            <w:gridSpan w:val="2"/>
            <w:noWrap/>
          </w:tcPr>
          <w:p w:rsidR="00B75941" w:rsidRPr="007F2D88" w:rsidRDefault="00B75941" w:rsidP="005E042C">
            <w:pPr>
              <w:widowControl w:val="0"/>
              <w:autoSpaceDE w:val="0"/>
              <w:autoSpaceDN w:val="0"/>
              <w:adjustRightInd w:val="0"/>
              <w:spacing w:line="480" w:lineRule="auto"/>
              <w:contextualSpacing/>
              <w:jc w:val="both"/>
              <w:rPr>
                <w:rFonts w:ascii="Times New Roman" w:eastAsia="Times New Roman" w:hAnsi="Times New Roman"/>
                <w:sz w:val="20"/>
                <w:szCs w:val="20"/>
                <w:lang w:val="en-US"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{"citationItems":[{"id":"ITEM-1","itemData":{"DOI":"10.1177/0022022109349510","ISBN":"0022022109349","ISSN":"00220221","abstract":"Regional differences in disease prevalence are associated with a wide array of cross-cultural differences. However, the complex relationships among culture, disease, and other ecological variables remain underinvestigated. Future research into the origins of cultural differences will benefit from the availability of a numerical index identifying the extent to which infectious diseases have been historically prevalent within regions defined by geopolitical borders. This article introduces such an index. This index is based on disease prevalence data obtained from old epidemiological atlases and is calculated for 230 geopolitical regions (mostly nations) around the world. © The Author(s) 2010.","author":[{"dropping-particle":"","family":"Murray","given":"Damian R.","non-dropping-particle":"","parse-names":false,"suffix":""},{"dropping-particle":"","family":"Schaller","given":"Mark","non-dropping-particle":"","parse-names":false,"suffix":""}],"container-title":"Journal of Cross-Cultural Psychology","id":"ITEM-1","issue":"1","issued":{"date-parts":[["2010"]]},"page":"99-108","title":"Historical prevalence of infectious diseases within 230 geopolitical regions: A tool for investigating origins of culture","type":"article-journal","volume":"41"},"uris":["http://www.mendeley.com/documents/?uuid=a03f00f2-48ef-472f-8833-2f1c68f82dee"]}],"mendeley":{"formattedCitation":"(Murray and Schaller, 2010)","manualFormatting":"Murray &amp; Schaller, (2010)","plainTextFormattedCitation":"(Murray and Schaller, 2010)","previouslyFormattedCitation":"(Murray &amp; Schaller,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Murray &amp; Schaller,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Average Expropriation Risk</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US"/>
              </w:rPr>
              <w:t xml:space="preserve">This variable measure </w:t>
            </w:r>
            <w:r w:rsidRPr="00F310B3">
              <w:rPr>
                <w:rFonts w:ascii="Times New Roman" w:hAnsi="Times New Roman"/>
                <w:sz w:val="20"/>
                <w:szCs w:val="20"/>
                <w:lang w:val="en-CA"/>
              </w:rPr>
              <w:t>protection against expropriation risks</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uthor":[{"dropping-particle":"","family":"Acemoglu","given":"Daron","non-dropping-particle":"","parse-names":false,"suffix":""},{"dropping-particle":"","family":"Johnson","given":"Simon","non-dropping-particle":"","parse-names":false,"suffix":""},{"dropping-particle":"","family":"Robinson","given":"James A","non-dropping-particle":"","parse-names":false,"suffix":""}],"container-title":"American Economic Review","id":"ITEM-1","issue":"1369-1401","issued":{"date-parts":[["2001"]]},"title":"The Colonial Origins of Comparative Development: An Empirical Investigation","type":"article-journal","volume":"91"},"uris":["http://www.mendeley.com/documents/?uuid=272e8732-7557-4b2d-abda-1c81134ce31a"]}],"mendeley":{"formattedCitation":"(Acemoglu, Johnson and Robinson, 2001)","manualFormatting":"Acemoglu et al., (2001)","plainTextFormattedCitation":"(Acemoglu, Johnson and Robinson, 2001)","previouslyFormattedCitation":"(Acemoglu et al., 2001)"},"properties":{"noteIndex":0},"schema":"https://github.com/citation-style-language/schema/raw/master/csl-citation.json"}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Acemoglu et al., (2001)</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Britannic colonization dummy</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US"/>
              </w:rPr>
              <w:t xml:space="preserve">This dummy take 1 if the country have </w:t>
            </w:r>
            <w:proofErr w:type="spellStart"/>
            <w:r w:rsidRPr="00F310B3">
              <w:rPr>
                <w:rFonts w:ascii="Times New Roman" w:hAnsi="Times New Roman"/>
                <w:sz w:val="20"/>
                <w:szCs w:val="20"/>
                <w:lang w:val="en-US"/>
              </w:rPr>
              <w:t>colonise</w:t>
            </w:r>
            <w:proofErr w:type="spellEnd"/>
            <w:r w:rsidRPr="00F310B3">
              <w:rPr>
                <w:rFonts w:ascii="Times New Roman" w:hAnsi="Times New Roman"/>
                <w:sz w:val="20"/>
                <w:szCs w:val="20"/>
                <w:lang w:val="en-US"/>
              </w:rPr>
              <w:t xml:space="preserve"> by United Kingdom and 0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uthor":[{"dropping-particle":"","family":"Acemoglu","given":"Daron","non-dropping-particle":"","parse-names":false,"suffix":""},{"dropping-particle":"","family":"Johnson","given":"Simon","non-dropping-particle":"","parse-names":false,"suffix":""},{"dropping-particle":"","family":"Robinson","given":"James A","non-dropping-particle":"","parse-names":false,"suffix":""}],"container-title":"American Economic Review","id":"ITEM-1","issue":"1369-1401","issued":{"date-parts":[["2001"]]},"title":"The Colonial Origins of Comparative Development: An Empirical Investigation","type":"article-journal","volume":"91"},"uris":["http://www.mendeley.com/documents/?uuid=272e8732-7557-4b2d-abda-1c81134ce31a"]}],"mendeley":{"formattedCitation":"(Acemoglu, Johnson and Robinson, 2001)","manualFormatting":"Acemoglu et al., (2001)","plainTextFormattedCitation":"(Acemoglu, Johnson and Robinson, 2001)","previouslyFormattedCitation":"(Acemoglu et al., 2001)"},"properties":{"noteIndex":0},"schema":"https://github.com/citation-style-language/schema/raw/master/csl-citation.json"}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Acemoglu et al., (2001)</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French colonization dummy</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US"/>
              </w:rPr>
              <w:t xml:space="preserve">This dummy take 1 if the country have </w:t>
            </w:r>
            <w:proofErr w:type="spellStart"/>
            <w:r w:rsidRPr="00F310B3">
              <w:rPr>
                <w:rFonts w:ascii="Times New Roman" w:hAnsi="Times New Roman"/>
                <w:sz w:val="20"/>
                <w:szCs w:val="20"/>
                <w:lang w:val="en-US"/>
              </w:rPr>
              <w:t>colonise</w:t>
            </w:r>
            <w:proofErr w:type="spellEnd"/>
            <w:r w:rsidRPr="00F310B3">
              <w:rPr>
                <w:rFonts w:ascii="Times New Roman" w:hAnsi="Times New Roman"/>
                <w:sz w:val="20"/>
                <w:szCs w:val="20"/>
                <w:lang w:val="en-US"/>
              </w:rPr>
              <w:t xml:space="preserve"> by </w:t>
            </w:r>
            <w:proofErr w:type="spellStart"/>
            <w:r w:rsidRPr="00F310B3">
              <w:rPr>
                <w:rFonts w:ascii="Times New Roman" w:hAnsi="Times New Roman"/>
                <w:sz w:val="20"/>
                <w:szCs w:val="20"/>
                <w:lang w:val="en-US"/>
              </w:rPr>
              <w:t>Frech</w:t>
            </w:r>
            <w:proofErr w:type="spellEnd"/>
            <w:r w:rsidRPr="00F310B3">
              <w:rPr>
                <w:rFonts w:ascii="Times New Roman" w:hAnsi="Times New Roman"/>
                <w:sz w:val="20"/>
                <w:szCs w:val="20"/>
                <w:lang w:val="en-US"/>
              </w:rPr>
              <w:t xml:space="preserve"> and 0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uthor":[{"dropping-particle":"","family":"Acemoglu","given":"Daron","non-dropping-particle":"","parse-names":false,"suffix":""},{"dropping-particle":"","family":"Johnson","given":"Simon","non-dropping-particle":"","parse-names":false,"suffix":""},{"dropping-particle":"","family":"Robinson","given":"James A","non-dropping-particle":"","parse-names":false,"suffix":""}],"container-title":"American Economic Review","id":"ITEM-1","issue":"1369-1401","issued":{"date-parts":[["2001"]]},"title":"The Colonial Origins of Comparative Development: An Empirical Investigation","type":"article-journal","volume":"91"},"uris":["http://www.mendeley.com/documents/?uuid=272e8732-7557-4b2d-abda-1c81134ce31a"]}],"mendeley":{"formattedCitation":"(Acemoglu, Johnson and Robinson, 2001)","manualFormatting":"Acemoglu et al., (2001)","plainTextFormattedCitation":"(Acemoglu, Johnson and Robinson, 2001)","previouslyFormattedCitation":"(Acemoglu et al., 2001)"},"properties":{"noteIndex":0},"schema":"https://github.com/citation-style-language/schema/raw/master/csl-citation.json"}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Acemoglu et al., (2001)</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landlocked</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18"/>
                <w:szCs w:val="18"/>
                <w:lang w:val="en-GB"/>
              </w:rPr>
              <w:t>equals one if being surrounded by land and zero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{"citationItems":[{"id":"ITEM-1","itemData":{"abstract":"We assemble a dataset on technology adoption in 1000 bc, 0 ad, and 1500 AD for the predecessors to today’s nation states. Technological differences are surprisingly persistent over long periods of time. Our most interesting, strong, and robust results are for the association of 1500 AD technology with per capita income and technology adoption today. We also find robust and significant technological persistence from 1000 BC to 0 AD, and from 0 AD to 1500 AD. The evidence is consistent with a model where the cost of adopting new technologies declines sufficiently with the current level of adoption. (JEL N10, O33, O47)","author":[{"dropping-particle":"","family":"Comin","given":"Diego A","non-dropping-particle":"","parse-names":false,"suffix":""},{"dropping-particle":"","family":"Easterly","given":"William","non-dropping-particle":"","parse-names":false,"suffix":""},{"dropping-particle":"","family":"Comin","given":"Diego","non-dropping-particle":"","parse-names":false,"suffix":""}],"container-title":"American Economic Journal: Macroeconomic","id":"ITEM-1","issue":"July","issued":{"date-parts":[["2010"]]},"page":"65-97","title":"Was the Wealth of Nations Determined in 1000 B . C .? Was the Wealth of Nations Determined in 1000 B . C .? *","type":"article-journal","volume":"2"},"uris":["http://www.mendeley.com/documents/?uuid=827bebc7-7634-456d-9635-f7f2e8c0ea86"]}],"mendeley":{"formattedCitation":"(Comin, Easterly and Comin, 2010)","manualFormatting":"Comin et al., (2010)","plainTextFormattedCitation":"(Comin, Easterly and Comin, 2010)","previouslyFormattedCitation":"(Comin et al.,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Comin et al.,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Tropical dummy</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GB"/>
              </w:rPr>
              <w:t>This dummy take 1 if the country is located in tropical zone and 0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{"citationItems":[{"id":"ITEM-1","itemData":{"abstract":"We assemble a dataset on technology adoption in 1000 bc, 0 ad, and 1500 AD for the predecessors to today’s nation states. Technological differences are surprisingly persistent over long periods of time. Our most interesting, strong, and robust results are for the association of 1500 AD technology with per capita income and technology adoption today. We also find robust and significant technological persistence from 1000 BC to 0 AD, and from 0 AD to 1500 AD. The evidence is consistent with a model where the cost of adopting new technologies declines sufficiently with the current level of adoption. (JEL N10, O33, O47)","author":[{"dropping-particle":"","family":"Comin","given":"Diego A","non-dropping-particle":"","parse-names":false,"suffix":""},{"dropping-particle":"","family":"Easterly","given":"William","non-dropping-particle":"","parse-names":false,"suffix":""},{"dropping-particle":"","family":"Comin","given":"Diego","non-dropping-particle":"","parse-names":false,"suffix":""}],"container-title":"American Economic Journal: Macroeconomic","id":"ITEM-1","issue":"July","issued":{"date-parts":[["2010"]]},"page":"65-97","title":"Was the Wealth of Nations Determined in 1000 B . C .? Was the Wealth of Nations Determined in 1000 B . C .? *","type":"article-journal","volume":"2"},"uris":["http://www.mendeley.com/documents/?uuid=827bebc7-7634-456d-9635-f7f2e8c0ea86"]}],"mendeley":{"formattedCitation":"(Comin, Easterly and Comin, 2010)","manualFormatting":"Comin et al., (2010)","plainTextFormattedCitation":"(Comin, Easterly and Comin, 2010)","previouslyFormattedCitation":"(Comin et al.,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Comin et al.,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Distance to equator</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18"/>
                <w:szCs w:val="18"/>
                <w:lang w:val="en-US"/>
              </w:rPr>
              <w:t>distance to the equator</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{"citationItems":[{"id":"ITEM-1","itemData":{"abstract":"We assemble a dataset on technology adoption in 1000 bc, 0 ad, and 1500 AD for the predecessors to today’s nation states. Technological differences are surprisingly persistent over long periods of time. Our most interesting, strong, and robust results are for the association of 1500 AD technology with per capita income and technology adoption today. We also find robust and significant technological persistence from 1000 BC to 0 AD, and from 0 AD to 1500 AD. The evidence is consistent with a model where the cost of adopting new technologies declines sufficiently with the current level of adoption. (JEL N10, O33, O47)","author":[{"dropping-particle":"","family":"Comin","given":"Diego A","non-dropping-particle":"","parse-names":false,"suffix":""},{"dropping-particle":"","family":"Easterly","given":"William","non-dropping-particle":"","parse-names":false,"suffix":""},{"dropping-particle":"","family":"Comin","given":"Diego","non-dropping-particle":"","parse-names":false,"suffix":""}],"container-title":"American Economic Journal: Macroeconomic","id":"ITEM-1","issue":"July","issued":{"date-parts":[["2010"]]},"page":"65-97","title":"Was the Wealth of Nations Determined in 1000 B . C .? Was the Wealth of Nations Determined in 1000 B . C .? *","type":"article-journal","volume":"2"},"uris":["http://www.mendeley.com/documents/?uuid=827bebc7-7634-456d-9635-f7f2e8c0ea86"]}],"mendeley":{"formattedCitation":"(Comin, Easterly and Comin, 2010)","manualFormatting":"Comin et al., (2010)","plainTextFormattedCitation":"(Comin, Easterly and Comin, 2010)","previouslyFormattedCitation":"(Comin et al.,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Comin et al.,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Europe dummy</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GB"/>
              </w:rPr>
              <w:t>This dummy take 1 if the country is located in European continent  and 0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{"citationItems":[{"id":"ITEM-1","itemData":{"abstract":"We assemble a dataset on technology adoption in 1000 bc, 0 ad, and 1500 AD for the predecessors to today’s nation states. Technological differences are surprisingly persistent over long periods of time. Our most interesting, strong, and robust results are for the association of 1500 AD technology with per capita income and technology adoption today. We also find robust and significant technological persistence from 1000 BC to 0 AD, and from 0 AD to 1500 AD. The evidence is consistent with a model where the cost of adopting new technologies declines sufficiently with the current level of adoption. (JEL N10, O33, O47)","author":[{"dropping-particle":"","family":"Comin","given":"Diego A","non-dropping-particle":"","parse-names":false,"suffix":""},{"dropping-particle":"","family":"Easterly","given":"William","non-dropping-particle":"","parse-names":false,"suffix":""},{"dropping-particle":"","family":"Comin","given":"Diego","non-dropping-particle":"","parse-names":false,"suffix":""}],"container-title":"American Economic Journal: Macroeconomic","id":"ITEM-1","issue":"July","issued":{"date-parts":[["2010"]]},"page":"65-97","title":"Was the Wealth of Nations Determined in 1000 B . C .? Was the Wealth of Nations Determined in 1000 B . C .? *","type":"article-journal","volume":"2"},"uris":["http://www.mendeley.com/documents/?uuid=827bebc7-7634-456d-9635-f7f2e8c0ea86"]}],"mendeley":{"formattedCitation":"(Comin, Easterly and Comin, 2010)","manualFormatting":"Comin et al., (2010)","plainTextFormattedCitation":"(Comin, Easterly and Comin, 2010)","previouslyFormattedCitation":"(Comin et al.,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Comin et al.,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African dummy</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GB"/>
              </w:rPr>
              <w:t>This dummy take 1 if the country is located in African continent  and 0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{"citationItems":[{"id":"ITEM-1","itemData":{"abstract":"We assemble a dataset on technology adoption in 1000 bc, 0 ad, and 1500 AD for the predecessors to today’s nation states. Technological differences are surprisingly persistent over long periods of time. Our most interesting, strong, and robust results are for the association of 1500 AD technology with per capita income and technology adoption today. We also find robust and significant technological persistence from 1000 BC to 0 AD, and from 0 AD to 1500 AD. The evidence is consistent with a model where the cost of adopting new technologies declines sufficiently with the current level of adoption. (JEL N10, O33, O47)","author":[{"dropping-particle":"","family":"Comin","given":"Diego A","non-dropping-particle":"","parse-names":false,"suffix":""},{"dropping-particle":"","family":"Easterly","given":"William","non-dropping-particle":"","parse-names":false,"suffix":""},{"dropping-particle":"","family":"Comin","given":"Diego","non-dropping-particle":"","parse-names":false,"suffix":""}],"container-title":"American Economic Journal: Macroeconomic","id":"ITEM-1","issue":"July","issued":{"date-parts":[["2010"]]},"page":"65-97","title":"Was the Wealth of Nations Determined in 1000 B . C .? Was the Wealth of Nations Determined in 1000 B . C .? *","type":"article-journal","volume":"2"},"uris":["http://www.mendeley.com/documents/?uuid=827bebc7-7634-456d-9635-f7f2e8c0ea86"]}],"mendeley":{"formattedCitation":"(Comin, Easterly and Comin, 2010)","manualFormatting":"Comin et al., (2010)","plainTextFormattedCitation":"(Comin, Easterly and Comin, 2010)","previouslyFormattedCitation":"(Comin et al.,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Comin et al.,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Asia dummy</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GB"/>
              </w:rPr>
              <w:t>This dummy take 1 if the country is located in Asian  continent  and 0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{"citationItems":[{"id":"ITEM-1","itemData":{"abstract":"We assemble a dataset on technology adoption in 1000 bc, 0 ad, and 1500 AD for the predecessors to today’s nation states. Technological differences are surprisingly persistent over long periods of time. Our most interesting, strong, and robust results are for the association of 1500 AD technology with per capita income and technology adoption today. We also find robust and significant technological persistence from 1000 BC to 0 AD, and from 0 AD to 1500 AD. The evidence is consistent with a model where the cost of adopting new technologies declines sufficiently with the current level of adoption. (JEL N10, O33, O47)","author":[{"dropping-particle":"","family":"Comin","given":"Diego A","non-dropping-particle":"","parse-names":false,"suffix":""},{"dropping-particle":"","family":"Easterly","given":"William","non-dropping-particle":"","parse-names":false,"suffix":""},{"dropping-particle":"","family":"Comin","given":"Diego","non-dropping-particle":"","parse-names":false,"suffix":""}],"container-title":"American Economic Journal: Macroeconomic","id":"ITEM-1","issue":"July","issued":{"date-parts":[["2010"]]},"page":"65-97","title":"Was the Wealth of Nations Determined in 1000 B . C .? Was the Wealth of Nations Determined in 1000 B . C .? *","type":"article-journal","volume":"2"},"uris":["http://www.mendeley.com/documents/?uuid=827bebc7-7634-456d-9635-f7f2e8c0ea86"]}],"mendeley":{"formattedCitation":"(Comin, Easterly and Comin, 2010)","manualFormatting":"Comin et al., (2010)","plainTextFormattedCitation":"(Comin, Easterly and Comin, 2010)","previouslyFormattedCitation":"(Comin et al.,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Comin et al.,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hAnsi="Times New Roman"/>
                <w:sz w:val="20"/>
                <w:szCs w:val="20"/>
                <w:lang w:val="en-US"/>
              </w:rPr>
            </w:pPr>
            <w:r w:rsidRPr="00F310B3">
              <w:rPr>
                <w:rFonts w:ascii="Times New Roman" w:hAnsi="Times New Roman"/>
                <w:sz w:val="20"/>
                <w:szCs w:val="20"/>
                <w:lang w:val="en-US"/>
              </w:rPr>
              <w:t>America dummy</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F310B3">
              <w:rPr>
                <w:rFonts w:ascii="Times New Roman" w:hAnsi="Times New Roman"/>
                <w:sz w:val="20"/>
                <w:szCs w:val="20"/>
                <w:lang w:val="en-GB"/>
              </w:rPr>
              <w:t>This dummy take 1 if the country is located in American continent  and 0 otherwise</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eastAsiaTheme="minorEastAsia" w:hAnsi="Times New Roman"/>
                <w:sz w:val="18"/>
                <w:szCs w:val="18"/>
                <w:lang w:eastAsia="fr-FR"/>
              </w:rPr>
            </w:pPr>
            <w:r w:rsidRPr="00F310B3">
              <w:rPr>
                <w:rFonts w:ascii="Times New Roman" w:eastAsiaTheme="minorEastAsia" w:hAnsi="Times New Roman"/>
                <w:sz w:val="18"/>
                <w:szCs w:val="18"/>
                <w:lang w:eastAsia="fr-FR"/>
              </w:rPr>
              <w:fldChar w:fldCharType="begin" w:fldLock="1"/>
            </w:r>
            <w:r>
              <w:rPr>
                <w:rFonts w:ascii="Times New Roman" w:eastAsiaTheme="minorEastAsia" w:hAnsi="Times New Roman"/>
                <w:sz w:val="18"/>
                <w:szCs w:val="18"/>
                <w:lang w:eastAsia="fr-FR"/>
              </w:rPr>
              <w:instrText>ADDIN CSL_CITATION {"citationItems":[{"id":"ITEM-1","itemData":{"abstract":"We assemble a dataset on technology adoption in 1000 bc, 0 ad, and 1500 AD for the predecessors to today’s nation states. Technological differences are surprisingly persistent over long periods of time. Our most interesting, strong, and robust results are for the association of 1500 AD technology with per capita income and technology adoption today. We also find robust and significant technological persistence from 1000 BC to 0 AD, and from 0 AD to 1500 AD. The evidence is consistent with a model where the cost of adopting new technologies declines sufficiently with the current level of adoption. (JEL N10, O33, O47)","author":[{"dropping-particle":"","family":"Comin","given":"Diego A","non-dropping-particle":"","parse-names":false,"suffix":""},{"dropping-particle":"","family":"Easterly","given":"William","non-dropping-particle":"","parse-names":false,"suffix":""},{"dropping-particle":"","family":"Comin","given":"Diego","non-dropping-particle":"","parse-names":false,"suffix":""}],"container-title":"American Economic Journal: Macroeconomic","id":"ITEM-1","issue":"July","issued":{"date-parts":[["2010"]]},"page":"65-97","title":"Was the Wealth of Nations Determined in 1000 B . C .? Was the Wealth of Nations Determined in 1000 B . C .? *","type":"article-journal","volume":"2"},"uris":["http://www.mendeley.com/documents/?uuid=827bebc7-7634-456d-9635-f7f2e8c0ea86"]}],"mendeley":{"formattedCitation":"(Comin, Easterly and Comin, 2010)","manualFormatting":"Comin et al., (2010)","plainTextFormattedCitation":"(Comin, Easterly and Comin, 2010)","previouslyFormattedCitation":"(Comin et al., 2010)"},"properties":{"noteIndex":0},"schema":"https://github.com/citation-style-language/schema/raw/master/csl-citation.json"}</w:instrText>
            </w:r>
            <w:r w:rsidRPr="00F310B3">
              <w:rPr>
                <w:rFonts w:ascii="Times New Roman" w:eastAsiaTheme="minorEastAsia" w:hAnsi="Times New Roman"/>
                <w:sz w:val="18"/>
                <w:szCs w:val="18"/>
                <w:lang w:eastAsia="fr-FR"/>
              </w:rPr>
              <w:fldChar w:fldCharType="separate"/>
            </w:r>
            <w:r w:rsidRPr="00F310B3">
              <w:rPr>
                <w:rFonts w:ascii="Times New Roman" w:eastAsiaTheme="minorEastAsia" w:hAnsi="Times New Roman"/>
                <w:noProof/>
                <w:sz w:val="18"/>
                <w:szCs w:val="18"/>
                <w:lang w:eastAsia="fr-FR"/>
              </w:rPr>
              <w:t>Comin et al., (2010)</w:t>
            </w:r>
            <w:r w:rsidRPr="00F310B3">
              <w:rPr>
                <w:rFonts w:ascii="Times New Roman" w:eastAsiaTheme="minorEastAsia" w:hAnsi="Times New Roman"/>
                <w:sz w:val="18"/>
                <w:szCs w:val="18"/>
                <w:lang w:eastAsia="fr-FR"/>
              </w:rPr>
              <w:fldChar w:fldCharType="end"/>
            </w:r>
          </w:p>
        </w:tc>
      </w:tr>
      <w:tr w:rsidR="00B75941" w:rsidRPr="00F310B3" w:rsidTr="005E042C">
        <w:trPr>
          <w:trHeight w:val="328"/>
        </w:trPr>
        <w:tc>
          <w:tcPr>
            <w:tcW w:w="2815" w:type="dxa"/>
            <w:noWrap/>
          </w:tcPr>
          <w:p w:rsidR="00B75941" w:rsidRPr="00F310B3" w:rsidRDefault="00B75941" w:rsidP="005E042C">
            <w:pPr>
              <w:widowControl w:val="0"/>
              <w:autoSpaceDE w:val="0"/>
              <w:autoSpaceDN w:val="0"/>
              <w:adjustRightInd w:val="0"/>
              <w:spacing w:line="480" w:lineRule="auto"/>
              <w:contextualSpacing/>
              <w:jc w:val="center"/>
              <w:rPr>
                <w:rFonts w:ascii="Times New Roman" w:eastAsia="Times New Roman" w:hAnsi="Times New Roman"/>
                <w:sz w:val="20"/>
                <w:szCs w:val="20"/>
                <w:lang w:val="en-US" w:eastAsia="fr-FR"/>
              </w:rPr>
            </w:pPr>
            <w:r w:rsidRPr="00F310B3">
              <w:rPr>
                <w:rFonts w:ascii="Times New Roman" w:eastAsia="Times New Roman" w:hAnsi="Times New Roman"/>
                <w:sz w:val="20"/>
                <w:szCs w:val="20"/>
                <w:lang w:val="en-US" w:eastAsia="fr-FR"/>
              </w:rPr>
              <w:t>readiness</w:t>
            </w:r>
          </w:p>
        </w:tc>
        <w:tc>
          <w:tcPr>
            <w:tcW w:w="4820" w:type="dxa"/>
            <w:noWrap/>
          </w:tcPr>
          <w:p w:rsidR="00B75941" w:rsidRPr="00F310B3" w:rsidRDefault="00B75941" w:rsidP="005E042C">
            <w:pPr>
              <w:spacing w:line="480" w:lineRule="auto"/>
              <w:contextualSpacing/>
              <w:jc w:val="both"/>
              <w:rPr>
                <w:rFonts w:ascii="Times New Roman" w:hAnsi="Times New Roman"/>
                <w:sz w:val="20"/>
                <w:szCs w:val="20"/>
                <w:lang w:val="en-US"/>
              </w:rPr>
            </w:pPr>
            <w:r w:rsidRPr="007F2D88">
              <w:rPr>
                <w:rFonts w:ascii="Times New Roman" w:hAnsi="Times New Roman"/>
                <w:sz w:val="20"/>
                <w:szCs w:val="20"/>
                <w:lang w:val="en-US"/>
              </w:rPr>
              <w:t xml:space="preserve">The composite index of social adjustment readiness. governance and economic. </w:t>
            </w:r>
          </w:p>
        </w:tc>
        <w:tc>
          <w:tcPr>
            <w:tcW w:w="2295" w:type="dxa"/>
            <w:gridSpan w:val="2"/>
            <w:noWrap/>
          </w:tcPr>
          <w:p w:rsidR="00B75941" w:rsidRPr="00F310B3" w:rsidRDefault="00B75941" w:rsidP="005E042C">
            <w:pPr>
              <w:widowControl w:val="0"/>
              <w:autoSpaceDE w:val="0"/>
              <w:autoSpaceDN w:val="0"/>
              <w:adjustRightInd w:val="0"/>
              <w:spacing w:line="480" w:lineRule="auto"/>
              <w:contextualSpacing/>
              <w:jc w:val="both"/>
              <w:rPr>
                <w:rFonts w:ascii="Times New Roman" w:hAnsi="Times New Roman"/>
                <w:i/>
                <w:sz w:val="20"/>
                <w:szCs w:val="20"/>
                <w:lang w:val="en-US"/>
              </w:rPr>
            </w:pPr>
            <w:r w:rsidRPr="00F310B3">
              <w:rPr>
                <w:rFonts w:ascii="Times New Roman" w:hAnsi="Times New Roman"/>
                <w:sz w:val="24"/>
                <w:szCs w:val="28"/>
              </w:rPr>
              <w:fldChar w:fldCharType="begin" w:fldLock="1"/>
            </w:r>
            <w:r>
              <w:rPr>
                <w:rFonts w:ascii="Times New Roman" w:hAnsi="Times New Roman"/>
                <w:sz w:val="24"/>
                <w:szCs w:val="28"/>
                <w:lang w:val="en-US"/>
              </w:rPr>
              <w:instrText>ADDIN CSL_CITATION {"citationItems":[{"id":"ITEM-1","itemData":{"author":[{"dropping-particle":"","family":"Chen","given":"Chen","non-dropping-particle":"","parse-names":false,"suffix":""},{"dropping-particle":"","family":"Noble","given":"Ian","non-dropping-particle":"","parse-names":false,"suffix":""},{"dropping-particle":"","family":"Hellmann","given":"Jessica J","non-dropping-particle":"","parse-names":false,"suffix":""},{"dropping-particle":"V","family":"Chawla","given":"Nitesh","non-dropping-particle":"","parse-names":false,"suffix":""}],"id":"ITEM-1","issue":"July 2017","issued":{"date-parts":[["2015"]]},"title":"University of Notre Dame Global Adaptation Index Country Index Technical Report","type":"article-journal"},"uris":["http://www.mendeley.com/documents/?uuid=f715e14d-70c8-45ab-b518-93ec3e2fa508"]}],"mendeley":{"formattedCitation":"(Chen &lt;i&gt;et al.&lt;/i&gt;, 2015)","manualFormatting":"Chen et al. (2015)","plainTextFormattedCitation":"(Chen et al., 2015)","previouslyFormattedCitation":"(Chen et al., 2015)"},"properties":{"noteIndex":0},"schema":"https://github.com/citation-style-language/schema/raw/master/csl-citation.json"}</w:instrText>
            </w:r>
            <w:r w:rsidRPr="00F310B3">
              <w:rPr>
                <w:rFonts w:ascii="Times New Roman" w:hAnsi="Times New Roman"/>
                <w:sz w:val="24"/>
                <w:szCs w:val="28"/>
              </w:rPr>
              <w:fldChar w:fldCharType="separate"/>
            </w:r>
            <w:r w:rsidRPr="00F310B3">
              <w:rPr>
                <w:rFonts w:ascii="Times New Roman" w:hAnsi="Times New Roman"/>
                <w:noProof/>
                <w:sz w:val="24"/>
                <w:szCs w:val="28"/>
                <w:lang w:val="en-US"/>
              </w:rPr>
              <w:t xml:space="preserve">Chen et al. </w:t>
            </w:r>
            <w:r w:rsidRPr="00F310B3">
              <w:rPr>
                <w:rFonts w:ascii="Times New Roman" w:hAnsi="Times New Roman"/>
                <w:noProof/>
                <w:sz w:val="24"/>
                <w:szCs w:val="28"/>
                <w:lang w:val="en-CA"/>
              </w:rPr>
              <w:t>(2015)</w:t>
            </w:r>
            <w:r w:rsidRPr="00F310B3">
              <w:rPr>
                <w:rFonts w:ascii="Times New Roman" w:hAnsi="Times New Roman"/>
                <w:sz w:val="24"/>
                <w:szCs w:val="28"/>
              </w:rPr>
              <w:fldChar w:fldCharType="end"/>
            </w:r>
            <w:r w:rsidRPr="007F2D88">
              <w:rPr>
                <w:rFonts w:ascii="Times New Roman" w:hAnsi="Times New Roman"/>
                <w:i/>
                <w:sz w:val="20"/>
                <w:szCs w:val="20"/>
                <w:lang w:val="en-US"/>
              </w:rPr>
              <w:t>)</w:t>
            </w:r>
          </w:p>
        </w:tc>
      </w:tr>
      <w:tr w:rsidR="00B75941" w:rsidRPr="00F310B3" w:rsidTr="005E042C">
        <w:trPr>
          <w:trHeight w:val="328"/>
        </w:trPr>
        <w:tc>
          <w:tcPr>
            <w:tcW w:w="2815" w:type="dxa"/>
            <w:noWrap/>
          </w:tcPr>
          <w:p w:rsidR="00B75941" w:rsidRPr="007F2D88" w:rsidRDefault="00B75941" w:rsidP="005E042C">
            <w:pPr>
              <w:widowControl w:val="0"/>
              <w:autoSpaceDE w:val="0"/>
              <w:autoSpaceDN w:val="0"/>
              <w:adjustRightInd w:val="0"/>
              <w:spacing w:line="480" w:lineRule="auto"/>
              <w:contextualSpacing/>
              <w:jc w:val="center"/>
              <w:rPr>
                <w:rFonts w:ascii="Times New Roman" w:eastAsia="Times New Roman" w:hAnsi="Times New Roman"/>
                <w:b/>
                <w:bCs/>
                <w:sz w:val="20"/>
                <w:szCs w:val="20"/>
                <w:lang w:val="en-US" w:eastAsia="fr-FR"/>
              </w:rPr>
            </w:pPr>
            <w:r w:rsidRPr="00F310B3">
              <w:rPr>
                <w:rFonts w:ascii="Times New Roman" w:eastAsia="Times New Roman" w:hAnsi="Times New Roman"/>
                <w:sz w:val="20"/>
                <w:szCs w:val="20"/>
                <w:lang w:val="en-US" w:eastAsia="fr-FR"/>
              </w:rPr>
              <w:t>Social readiness</w:t>
            </w:r>
          </w:p>
        </w:tc>
        <w:tc>
          <w:tcPr>
            <w:tcW w:w="4820" w:type="dxa"/>
            <w:noWrap/>
          </w:tcPr>
          <w:p w:rsidR="00B75941" w:rsidRPr="007F2D88" w:rsidRDefault="00B75941" w:rsidP="005E042C">
            <w:pPr>
              <w:spacing w:line="480" w:lineRule="auto"/>
              <w:contextualSpacing/>
              <w:jc w:val="both"/>
              <w:rPr>
                <w:rFonts w:ascii="Times New Roman" w:eastAsia="Times New Roman" w:hAnsi="Times New Roman"/>
                <w:sz w:val="20"/>
                <w:szCs w:val="20"/>
                <w:lang w:val="en-US"/>
              </w:rPr>
            </w:pPr>
            <w:r w:rsidRPr="007F2D88">
              <w:rPr>
                <w:rFonts w:ascii="Times New Roman" w:hAnsi="Times New Roman"/>
                <w:sz w:val="20"/>
                <w:szCs w:val="20"/>
                <w:lang w:val="en-US"/>
              </w:rPr>
              <w:t>It is a question of social inequalities, in particular the quality of infrastructure, the educational framework and the ability to innovate.</w:t>
            </w:r>
          </w:p>
        </w:tc>
        <w:tc>
          <w:tcPr>
            <w:tcW w:w="2295" w:type="dxa"/>
            <w:gridSpan w:val="2"/>
            <w:noWrap/>
          </w:tcPr>
          <w:p w:rsidR="00B75941" w:rsidRPr="007F2D88" w:rsidRDefault="00B75941" w:rsidP="005E042C">
            <w:pPr>
              <w:widowControl w:val="0"/>
              <w:autoSpaceDE w:val="0"/>
              <w:autoSpaceDN w:val="0"/>
              <w:adjustRightInd w:val="0"/>
              <w:spacing w:line="480" w:lineRule="auto"/>
              <w:contextualSpacing/>
              <w:jc w:val="both"/>
              <w:rPr>
                <w:rFonts w:ascii="Times New Roman" w:eastAsia="Times New Roman" w:hAnsi="Times New Roman"/>
                <w:sz w:val="20"/>
                <w:szCs w:val="20"/>
                <w:lang w:val="en-US" w:eastAsia="fr-FR"/>
              </w:rPr>
            </w:pPr>
            <w:r w:rsidRPr="00F310B3">
              <w:rPr>
                <w:rFonts w:ascii="Times New Roman" w:hAnsi="Times New Roman"/>
                <w:sz w:val="24"/>
                <w:szCs w:val="28"/>
              </w:rPr>
              <w:fldChar w:fldCharType="begin" w:fldLock="1"/>
            </w:r>
            <w:r>
              <w:rPr>
                <w:rFonts w:ascii="Times New Roman" w:hAnsi="Times New Roman"/>
                <w:sz w:val="24"/>
                <w:szCs w:val="28"/>
                <w:lang w:val="en-US"/>
              </w:rPr>
              <w:instrText>ADDIN CSL_CITATION {"citationItems":[{"id":"ITEM-1","itemData":{"author":[{"dropping-particle":"","family":"Chen","given":"Chen","non-dropping-particle":"","parse-names":false,"suffix":""},{"dropping-particle":"","family":"Noble","given":"Ian","non-dropping-particle":"","parse-names":false,"suffix":""},{"dropping-particle":"","family":"Hellmann","given":"Jessica J","non-dropping-particle":"","parse-names":false,"suffix":""},{"dropping-particle":"V","family":"Chawla","given":"Nitesh","non-dropping-particle":"","parse-names":false,"suffix":""}],"id":"ITEM-1","issue":"July 2017","issued":{"date-parts":[["2015"]]},"title":"University of Notre Dame Global Adaptation Index Country Index Technical Report","type":"article-journal"},"uris":["http://www.mendeley.com/documents/?uuid=f715e14d-70c8-45ab-b518-93ec3e2fa508"]}],"mendeley":{"formattedCitation":"(Chen &lt;i&gt;et al.&lt;/i&gt;, 2015)","manualFormatting":"Chen et al. (2015)","plainTextFormattedCitation":"(Chen et al., 2015)","previouslyFormattedCitation":"(Chen et al., 2015)"},"properties":{"noteIndex":0},"schema":"https://github.com/citation-style-language/schema/raw/master/csl-citation.json"}</w:instrText>
            </w:r>
            <w:r w:rsidRPr="00F310B3">
              <w:rPr>
                <w:rFonts w:ascii="Times New Roman" w:hAnsi="Times New Roman"/>
                <w:sz w:val="24"/>
                <w:szCs w:val="28"/>
              </w:rPr>
              <w:fldChar w:fldCharType="separate"/>
            </w:r>
            <w:r w:rsidRPr="00F310B3">
              <w:rPr>
                <w:rFonts w:ascii="Times New Roman" w:hAnsi="Times New Roman"/>
                <w:noProof/>
                <w:sz w:val="24"/>
                <w:szCs w:val="28"/>
                <w:lang w:val="en-US"/>
              </w:rPr>
              <w:t xml:space="preserve">Chen et al. </w:t>
            </w:r>
            <w:r w:rsidRPr="00F310B3">
              <w:rPr>
                <w:rFonts w:ascii="Times New Roman" w:hAnsi="Times New Roman"/>
                <w:noProof/>
                <w:sz w:val="24"/>
                <w:szCs w:val="28"/>
                <w:lang w:val="en-CA"/>
              </w:rPr>
              <w:t>(2015)</w:t>
            </w:r>
            <w:r w:rsidRPr="00F310B3">
              <w:rPr>
                <w:rFonts w:ascii="Times New Roman" w:hAnsi="Times New Roman"/>
                <w:sz w:val="24"/>
                <w:szCs w:val="28"/>
              </w:rPr>
              <w:fldChar w:fldCharType="end"/>
            </w:r>
          </w:p>
        </w:tc>
      </w:tr>
      <w:tr w:rsidR="00B75941" w:rsidRPr="00F310B3" w:rsidTr="005E042C">
        <w:trPr>
          <w:trHeight w:val="328"/>
        </w:trPr>
        <w:tc>
          <w:tcPr>
            <w:tcW w:w="2815" w:type="dxa"/>
            <w:noWrap/>
          </w:tcPr>
          <w:p w:rsidR="00B75941" w:rsidRPr="007F2D88" w:rsidRDefault="00B75941" w:rsidP="005E042C">
            <w:pPr>
              <w:widowControl w:val="0"/>
              <w:autoSpaceDE w:val="0"/>
              <w:autoSpaceDN w:val="0"/>
              <w:adjustRightInd w:val="0"/>
              <w:spacing w:line="480" w:lineRule="auto"/>
              <w:contextualSpacing/>
              <w:jc w:val="center"/>
              <w:rPr>
                <w:rFonts w:ascii="Times New Roman" w:eastAsia="Times New Roman" w:hAnsi="Times New Roman"/>
                <w:bCs/>
                <w:sz w:val="20"/>
                <w:szCs w:val="20"/>
                <w:lang w:val="en-US" w:eastAsia="fr-FR"/>
              </w:rPr>
            </w:pPr>
            <w:r w:rsidRPr="00F310B3">
              <w:rPr>
                <w:rFonts w:ascii="Times New Roman" w:eastAsia="Times New Roman" w:hAnsi="Times New Roman"/>
                <w:sz w:val="20"/>
                <w:szCs w:val="20"/>
                <w:lang w:val="en-US" w:eastAsia="fr-FR"/>
              </w:rPr>
              <w:lastRenderedPageBreak/>
              <w:t>g</w:t>
            </w:r>
            <w:r w:rsidRPr="007F2D88">
              <w:rPr>
                <w:rFonts w:ascii="Times New Roman" w:eastAsia="Times New Roman" w:hAnsi="Times New Roman"/>
                <w:bCs/>
                <w:sz w:val="20"/>
                <w:szCs w:val="20"/>
                <w:lang w:val="en-US" w:eastAsia="fr-FR"/>
              </w:rPr>
              <w:t>overnance</w:t>
            </w:r>
            <w:r w:rsidRPr="00F310B3">
              <w:rPr>
                <w:rFonts w:ascii="Times New Roman" w:eastAsia="Times New Roman" w:hAnsi="Times New Roman"/>
                <w:sz w:val="20"/>
                <w:szCs w:val="20"/>
                <w:lang w:val="en-US" w:eastAsia="fr-FR"/>
              </w:rPr>
              <w:t xml:space="preserve"> readiness</w:t>
            </w:r>
          </w:p>
        </w:tc>
        <w:tc>
          <w:tcPr>
            <w:tcW w:w="4820" w:type="dxa"/>
            <w:noWrap/>
          </w:tcPr>
          <w:p w:rsidR="00B75941" w:rsidRPr="007F2D88" w:rsidRDefault="00B75941" w:rsidP="005E042C">
            <w:pPr>
              <w:spacing w:line="480" w:lineRule="auto"/>
              <w:contextualSpacing/>
              <w:jc w:val="both"/>
              <w:rPr>
                <w:rFonts w:ascii="Times New Roman" w:eastAsia="Times New Roman" w:hAnsi="Times New Roman"/>
                <w:sz w:val="20"/>
                <w:szCs w:val="20"/>
                <w:lang w:val="en-US"/>
              </w:rPr>
            </w:pPr>
            <w:r w:rsidRPr="007F2D88">
              <w:rPr>
                <w:rFonts w:ascii="Times New Roman" w:hAnsi="Times New Roman"/>
                <w:sz w:val="20"/>
                <w:szCs w:val="20"/>
                <w:lang w:val="en-US"/>
              </w:rPr>
              <w:t>It combines the indicators of political stability. Control of corruption; the rule of law and the quality of regulation.</w:t>
            </w:r>
          </w:p>
        </w:tc>
        <w:tc>
          <w:tcPr>
            <w:tcW w:w="2295" w:type="dxa"/>
            <w:gridSpan w:val="2"/>
            <w:noWrap/>
          </w:tcPr>
          <w:p w:rsidR="00B75941" w:rsidRPr="007F2D88" w:rsidRDefault="00B75941" w:rsidP="005E042C">
            <w:pPr>
              <w:widowControl w:val="0"/>
              <w:autoSpaceDE w:val="0"/>
              <w:autoSpaceDN w:val="0"/>
              <w:adjustRightInd w:val="0"/>
              <w:spacing w:line="480" w:lineRule="auto"/>
              <w:contextualSpacing/>
              <w:jc w:val="both"/>
              <w:rPr>
                <w:rFonts w:ascii="Times New Roman" w:eastAsia="Times New Roman" w:hAnsi="Times New Roman"/>
                <w:sz w:val="20"/>
                <w:szCs w:val="20"/>
                <w:lang w:val="en-US" w:eastAsia="fr-FR"/>
              </w:rPr>
            </w:pPr>
            <w:r w:rsidRPr="00F310B3">
              <w:rPr>
                <w:rFonts w:ascii="Times New Roman" w:hAnsi="Times New Roman"/>
                <w:sz w:val="24"/>
                <w:szCs w:val="28"/>
              </w:rPr>
              <w:fldChar w:fldCharType="begin" w:fldLock="1"/>
            </w:r>
            <w:r>
              <w:rPr>
                <w:rFonts w:ascii="Times New Roman" w:hAnsi="Times New Roman"/>
                <w:sz w:val="24"/>
                <w:szCs w:val="28"/>
                <w:lang w:val="en-US"/>
              </w:rPr>
              <w:instrText>ADDIN CSL_CITATION {"citationItems":[{"id":"ITEM-1","itemData":{"author":[{"dropping-particle":"","family":"Chen","given":"Chen","non-dropping-particle":"","parse-names":false,"suffix":""},{"dropping-particle":"","family":"Noble","given":"Ian","non-dropping-particle":"","parse-names":false,"suffix":""},{"dropping-particle":"","family":"Hellmann","given":"Jessica J","non-dropping-particle":"","parse-names":false,"suffix":""},{"dropping-particle":"V","family":"Chawla","given":"Nitesh","non-dropping-particle":"","parse-names":false,"suffix":""}],"id":"ITEM-1","issue":"July 2017","issued":{"date-parts":[["2015"]]},"title":"University of Notre Dame Global Adaptation Index Country Index Technical Report","type":"article-journal"},"uris":["http://www.mendeley.com/documents/?uuid=f715e14d-70c8-45ab-b518-93ec3e2fa508"]}],"mendeley":{"formattedCitation":"(Chen &lt;i&gt;et al.&lt;/i&gt;, 2015)","manualFormatting":"Chen et al. (2015)","plainTextFormattedCitation":"(Chen et al., 2015)","previouslyFormattedCitation":"(Chen et al., 2015)"},"properties":{"noteIndex":0},"schema":"https://github.com/citation-style-language/schema/raw/master/csl-citation.json"}</w:instrText>
            </w:r>
            <w:r w:rsidRPr="00F310B3">
              <w:rPr>
                <w:rFonts w:ascii="Times New Roman" w:hAnsi="Times New Roman"/>
                <w:sz w:val="24"/>
                <w:szCs w:val="28"/>
              </w:rPr>
              <w:fldChar w:fldCharType="separate"/>
            </w:r>
            <w:r w:rsidRPr="00F310B3">
              <w:rPr>
                <w:rFonts w:ascii="Times New Roman" w:hAnsi="Times New Roman"/>
                <w:noProof/>
                <w:sz w:val="24"/>
                <w:szCs w:val="28"/>
                <w:lang w:val="en-US"/>
              </w:rPr>
              <w:t xml:space="preserve">Chen et al. </w:t>
            </w:r>
            <w:r w:rsidRPr="00F310B3">
              <w:rPr>
                <w:rFonts w:ascii="Times New Roman" w:hAnsi="Times New Roman"/>
                <w:noProof/>
                <w:sz w:val="24"/>
                <w:szCs w:val="28"/>
                <w:lang w:val="en-CA"/>
              </w:rPr>
              <w:t>(2015)</w:t>
            </w:r>
            <w:r w:rsidRPr="00F310B3">
              <w:rPr>
                <w:rFonts w:ascii="Times New Roman" w:hAnsi="Times New Roman"/>
                <w:sz w:val="24"/>
                <w:szCs w:val="28"/>
              </w:rPr>
              <w:fldChar w:fldCharType="end"/>
            </w:r>
          </w:p>
        </w:tc>
      </w:tr>
      <w:tr w:rsidR="00B75941" w:rsidRPr="00F310B3" w:rsidTr="005E042C">
        <w:trPr>
          <w:trHeight w:val="513"/>
        </w:trPr>
        <w:tc>
          <w:tcPr>
            <w:tcW w:w="2815" w:type="dxa"/>
            <w:noWrap/>
          </w:tcPr>
          <w:p w:rsidR="00B75941" w:rsidRPr="007F2D88" w:rsidRDefault="00B75941" w:rsidP="005E042C">
            <w:pPr>
              <w:spacing w:line="480" w:lineRule="auto"/>
              <w:contextualSpacing/>
              <w:jc w:val="center"/>
              <w:rPr>
                <w:rFonts w:ascii="Times New Roman" w:eastAsia="Times New Roman" w:hAnsi="Times New Roman"/>
                <w:b/>
                <w:bCs/>
                <w:sz w:val="20"/>
                <w:szCs w:val="20"/>
                <w:lang w:val="en-US"/>
              </w:rPr>
            </w:pPr>
            <w:r w:rsidRPr="00F310B3">
              <w:rPr>
                <w:rFonts w:ascii="Times New Roman" w:hAnsi="Times New Roman"/>
                <w:sz w:val="20"/>
                <w:szCs w:val="20"/>
                <w:lang w:val="en-US"/>
              </w:rPr>
              <w:t>economic readiness</w:t>
            </w:r>
          </w:p>
        </w:tc>
        <w:tc>
          <w:tcPr>
            <w:tcW w:w="4820" w:type="dxa"/>
            <w:noWrap/>
          </w:tcPr>
          <w:p w:rsidR="00B75941" w:rsidRPr="007F2D88" w:rsidRDefault="00B75941" w:rsidP="005E042C">
            <w:pPr>
              <w:spacing w:line="480" w:lineRule="auto"/>
              <w:contextualSpacing/>
              <w:jc w:val="both"/>
              <w:rPr>
                <w:rFonts w:ascii="Times New Roman" w:eastAsia="Times New Roman" w:hAnsi="Times New Roman"/>
                <w:sz w:val="20"/>
                <w:szCs w:val="20"/>
                <w:lang w:val="en-US"/>
              </w:rPr>
            </w:pPr>
            <w:r w:rsidRPr="007F2D88">
              <w:rPr>
                <w:rFonts w:ascii="Times New Roman" w:hAnsi="Times New Roman"/>
                <w:sz w:val="20"/>
                <w:szCs w:val="20"/>
                <w:lang w:val="en-US"/>
              </w:rPr>
              <w:t>Measures the various economic maneuvers favorable to the business climate necessary for the mobilization of capital in the private sector.</w:t>
            </w:r>
          </w:p>
        </w:tc>
        <w:tc>
          <w:tcPr>
            <w:tcW w:w="2295" w:type="dxa"/>
            <w:gridSpan w:val="2"/>
          </w:tcPr>
          <w:p w:rsidR="00B75941" w:rsidRPr="007F2D88" w:rsidRDefault="00B75941" w:rsidP="005E042C">
            <w:pPr>
              <w:widowControl w:val="0"/>
              <w:autoSpaceDE w:val="0"/>
              <w:autoSpaceDN w:val="0"/>
              <w:adjustRightInd w:val="0"/>
              <w:spacing w:line="480" w:lineRule="auto"/>
              <w:contextualSpacing/>
              <w:rPr>
                <w:rFonts w:ascii="Times New Roman" w:eastAsia="Times New Roman" w:hAnsi="Times New Roman"/>
                <w:sz w:val="20"/>
                <w:szCs w:val="20"/>
                <w:lang w:val="en-US" w:eastAsia="fr-FR"/>
              </w:rPr>
            </w:pPr>
            <w:r w:rsidRPr="00F310B3">
              <w:rPr>
                <w:rFonts w:ascii="Times New Roman" w:hAnsi="Times New Roman"/>
                <w:sz w:val="24"/>
                <w:szCs w:val="28"/>
              </w:rPr>
              <w:fldChar w:fldCharType="begin" w:fldLock="1"/>
            </w:r>
            <w:r>
              <w:rPr>
                <w:rFonts w:ascii="Times New Roman" w:hAnsi="Times New Roman"/>
                <w:sz w:val="24"/>
                <w:szCs w:val="28"/>
                <w:lang w:val="en-US"/>
              </w:rPr>
              <w:instrText>ADDIN CSL_CITATION {"citationItems":[{"id":"ITEM-1","itemData":{"author":[{"dropping-particle":"","family":"Chen","given":"Chen","non-dropping-particle":"","parse-names":false,"suffix":""},{"dropping-particle":"","family":"Noble","given":"Ian","non-dropping-particle":"","parse-names":false,"suffix":""},{"dropping-particle":"","family":"Hellmann","given":"Jessica J","non-dropping-particle":"","parse-names":false,"suffix":""},{"dropping-particle":"V","family":"Chawla","given":"Nitesh","non-dropping-particle":"","parse-names":false,"suffix":""}],"id":"ITEM-1","issue":"July 2017","issued":{"date-parts":[["2015"]]},"title":"University of Notre Dame Global Adaptation Index Country Index Technical Report","type":"article-journal"},"uris":["http://www.mendeley.com/documents/?uuid=f715e14d-70c8-45ab-b518-93ec3e2fa508"]}],"mendeley":{"formattedCitation":"(Chen &lt;i&gt;et al.&lt;/i&gt;, 2015)","manualFormatting":"Chen et al. (2015)","plainTextFormattedCitation":"(Chen et al., 2015)","previouslyFormattedCitation":"(Chen et al., 2015)"},"properties":{"noteIndex":0},"schema":"https://github.com/citation-style-language/schema/raw/master/csl-citation.json"}</w:instrText>
            </w:r>
            <w:r w:rsidRPr="00F310B3">
              <w:rPr>
                <w:rFonts w:ascii="Times New Roman" w:hAnsi="Times New Roman"/>
                <w:sz w:val="24"/>
                <w:szCs w:val="28"/>
              </w:rPr>
              <w:fldChar w:fldCharType="separate"/>
            </w:r>
            <w:r w:rsidRPr="00F310B3">
              <w:rPr>
                <w:rFonts w:ascii="Times New Roman" w:hAnsi="Times New Roman"/>
                <w:noProof/>
                <w:sz w:val="24"/>
                <w:szCs w:val="28"/>
                <w:lang w:val="en-US"/>
              </w:rPr>
              <w:t xml:space="preserve">Chen et al. </w:t>
            </w:r>
            <w:r w:rsidRPr="00F310B3">
              <w:rPr>
                <w:rFonts w:ascii="Times New Roman" w:hAnsi="Times New Roman"/>
                <w:noProof/>
                <w:sz w:val="24"/>
                <w:szCs w:val="28"/>
                <w:lang w:val="en-CA"/>
              </w:rPr>
              <w:t>(2015)</w:t>
            </w:r>
            <w:r w:rsidRPr="00F310B3">
              <w:rPr>
                <w:rFonts w:ascii="Times New Roman" w:hAnsi="Times New Roman"/>
                <w:sz w:val="24"/>
                <w:szCs w:val="28"/>
              </w:rPr>
              <w:fldChar w:fldCharType="end"/>
            </w:r>
          </w:p>
        </w:tc>
      </w:tr>
    </w:tbl>
    <w:p w:rsidR="00B75941" w:rsidRPr="007F2D88" w:rsidRDefault="00B75941" w:rsidP="00B75941">
      <w:pPr>
        <w:spacing w:line="480" w:lineRule="auto"/>
        <w:contextualSpacing/>
        <w:rPr>
          <w:rFonts w:ascii="Times New Roman" w:eastAsia="Calibri" w:hAnsi="Times New Roman" w:cs="Times New Roman"/>
          <w:b/>
          <w:i/>
          <w:iCs/>
          <w:sz w:val="24"/>
          <w:szCs w:val="28"/>
        </w:rPr>
      </w:pPr>
    </w:p>
    <w:p w:rsidR="00B75941" w:rsidRDefault="00B75941" w:rsidP="00B75941">
      <w:pPr>
        <w:spacing w:line="48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Appendix D. list of countries</w:t>
      </w:r>
    </w:p>
    <w:p w:rsidR="00B75941" w:rsidRPr="0020256C" w:rsidRDefault="00B75941" w:rsidP="00B75941">
      <w:pPr>
        <w:spacing w:line="480" w:lineRule="auto"/>
        <w:contextualSpacing/>
        <w:rPr>
          <w:rFonts w:ascii="Times New Roman" w:hAnsi="Times New Roman" w:cs="Times New Roman"/>
          <w:b/>
          <w:sz w:val="24"/>
          <w:szCs w:val="24"/>
          <w:lang w:val="en-US"/>
        </w:rPr>
      </w:pPr>
      <w:r w:rsidRPr="00F310B3">
        <w:rPr>
          <w:noProof/>
          <w:lang w:val="en-US"/>
        </w:rPr>
        <w:drawing>
          <wp:inline distT="0" distB="0" distL="0" distR="0" wp14:anchorId="066BA102" wp14:editId="6A0C843E">
            <wp:extent cx="5760710" cy="39052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0103" cy="3911618"/>
                    </a:xfrm>
                    <a:prstGeom prst="rect">
                      <a:avLst/>
                    </a:prstGeom>
                    <a:noFill/>
                    <a:ln>
                      <a:noFill/>
                    </a:ln>
                  </pic:spPr>
                </pic:pic>
              </a:graphicData>
            </a:graphic>
          </wp:inline>
        </w:drawing>
      </w:r>
    </w:p>
    <w:p w:rsidR="00B75941" w:rsidRPr="00B35C82" w:rsidRDefault="00B75941" w:rsidP="00B75941">
      <w:pPr>
        <w:spacing w:line="480" w:lineRule="auto"/>
        <w:contextualSpacing/>
        <w:rPr>
          <w:rFonts w:ascii="Times New Roman" w:hAnsi="Times New Roman" w:cs="Times New Roman"/>
          <w:b/>
          <w:sz w:val="24"/>
          <w:szCs w:val="24"/>
          <w:lang w:val="en-CA"/>
        </w:rPr>
      </w:pPr>
      <w:r>
        <w:rPr>
          <w:rFonts w:ascii="Times New Roman" w:hAnsi="Times New Roman" w:cs="Times New Roman"/>
          <w:b/>
          <w:sz w:val="24"/>
          <w:szCs w:val="24"/>
          <w:lang w:val="en-CA"/>
        </w:rPr>
        <w:t>Sources: author construction</w:t>
      </w:r>
    </w:p>
    <w:p w:rsidR="00390883" w:rsidRDefault="00B75941"/>
    <w:sectPr w:rsidR="00390883" w:rsidSect="001A6D85">
      <w:pgSz w:w="11910" w:h="16840"/>
      <w:pgMar w:top="1440" w:right="1267" w:bottom="1483" w:left="562" w:header="0" w:footer="128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41"/>
    <w:rsid w:val="001A6D85"/>
    <w:rsid w:val="006E330B"/>
    <w:rsid w:val="00B1111D"/>
    <w:rsid w:val="00B75941"/>
    <w:rsid w:val="00C253AF"/>
    <w:rsid w:val="00DF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B6D50-BF96-4783-B008-74FF097E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941"/>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lledutableau1">
    <w:name w:val="Grille du tableau1"/>
    <w:basedOn w:val="TableNormal"/>
    <w:next w:val="TableGrid"/>
    <w:uiPriority w:val="39"/>
    <w:rsid w:val="00B75941"/>
    <w:pPr>
      <w:spacing w:after="0" w:line="240" w:lineRule="auto"/>
    </w:pPr>
    <w:rPr>
      <w:rFonts w:ascii="Calibri" w:eastAsia="Calibri" w:hAnsi="Calibri" w:cs="Times New Roman"/>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75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4178</Words>
  <Characters>23817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Chavan</dc:creator>
  <cp:keywords/>
  <dc:description/>
  <cp:lastModifiedBy>Pooja Chavan</cp:lastModifiedBy>
  <cp:revision>1</cp:revision>
  <dcterms:created xsi:type="dcterms:W3CDTF">2022-04-15T18:57:00Z</dcterms:created>
  <dcterms:modified xsi:type="dcterms:W3CDTF">2022-04-15T18:57:00Z</dcterms:modified>
</cp:coreProperties>
</file>