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70B" w:rsidRDefault="00AA170B" w:rsidP="00AA170B">
      <w:pPr>
        <w:pStyle w:val="MDPI21heading1"/>
        <w:spacing w:before="0" w:after="0" w:line="480" w:lineRule="auto"/>
        <w:ind w:left="0"/>
        <w:jc w:val="both"/>
        <w:rPr>
          <w:rFonts w:ascii="Times New Roman Bold" w:hAnsi="Times New Roman Bold" w:cs="Times New Roman Bold"/>
          <w:sz w:val="24"/>
          <w:szCs w:val="24"/>
        </w:rPr>
      </w:pPr>
      <w:r>
        <w:rPr>
          <w:rFonts w:ascii="Times New Roman Bold" w:hAnsi="Times New Roman Bold" w:cs="Times New Roman Bold"/>
          <w:sz w:val="24"/>
          <w:szCs w:val="24"/>
        </w:rPr>
        <w:t>Supplementary Materials</w:t>
      </w:r>
    </w:p>
    <w:p w:rsidR="00AA170B" w:rsidRDefault="00AA170B" w:rsidP="00AA170B">
      <w:pPr>
        <w:pStyle w:val="MDPI21heading1"/>
        <w:spacing w:before="0" w:after="0" w:line="480" w:lineRule="auto"/>
        <w:ind w:left="0"/>
        <w:jc w:val="both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noProof/>
          <w:sz w:val="24"/>
          <w:szCs w:val="24"/>
          <w:lang w:eastAsia="en-US" w:bidi="ar-SA"/>
        </w:rPr>
        <w:drawing>
          <wp:inline distT="0" distB="0" distL="0" distR="0">
            <wp:extent cx="5276850" cy="3486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70B" w:rsidRDefault="00AA170B" w:rsidP="00AA170B">
      <w:pPr>
        <w:pStyle w:val="MDPI21heading1"/>
        <w:spacing w:before="0" w:after="0" w:line="480" w:lineRule="auto"/>
        <w:ind w:left="0"/>
        <w:jc w:val="both"/>
        <w:rPr>
          <w:rFonts w:ascii="Times New Roman Regular" w:hAnsi="Times New Roman Regular" w:cs="Times New Roman Regular"/>
          <w:b w:val="0"/>
          <w:sz w:val="21"/>
          <w:szCs w:val="21"/>
        </w:rPr>
      </w:pPr>
      <w:bookmarkStart w:id="0" w:name="_Hlk88667524"/>
      <w:r>
        <w:rPr>
          <w:rFonts w:ascii="Times New Roman Bold" w:hAnsi="Times New Roman Bold" w:cs="Times New Roman Bold"/>
          <w:bCs/>
          <w:sz w:val="21"/>
          <w:szCs w:val="21"/>
        </w:rPr>
        <w:t xml:space="preserve">Supplementary Figure 1. </w:t>
      </w:r>
      <w:bookmarkEnd w:id="0"/>
      <w:r>
        <w:rPr>
          <w:rFonts w:ascii="Times New Roman Bold" w:hAnsi="Times New Roman Bold" w:cs="Times New Roman Bold"/>
          <w:bCs/>
          <w:sz w:val="21"/>
          <w:szCs w:val="21"/>
        </w:rPr>
        <w:t>ITH, tumor volume or HLA LOH could not predict the efficacy of NAC in TNBC patients.</w:t>
      </w:r>
      <w:r>
        <w:rPr>
          <w:rFonts w:ascii="Times New Roman Regular" w:hAnsi="Times New Roman Regular" w:cs="Times New Roman Regular"/>
          <w:sz w:val="21"/>
          <w:szCs w:val="21"/>
        </w:rPr>
        <w:t xml:space="preserve"> </w:t>
      </w:r>
      <w:r>
        <w:rPr>
          <w:rFonts w:ascii="Times New Roman Regular" w:hAnsi="Times New Roman Regular" w:cs="Times New Roman Regular"/>
          <w:b w:val="0"/>
          <w:sz w:val="21"/>
          <w:szCs w:val="21"/>
        </w:rPr>
        <w:t xml:space="preserve">(A) and (B) Comparison of ITH (A) and tumor volume (B) between responders and non-responders. (C) </w:t>
      </w:r>
      <w:proofErr w:type="spellStart"/>
      <w:r>
        <w:rPr>
          <w:rFonts w:ascii="Times New Roman Regular" w:hAnsi="Times New Roman Regular" w:cs="Times New Roman Regular"/>
          <w:b w:val="0"/>
          <w:sz w:val="21"/>
          <w:szCs w:val="21"/>
        </w:rPr>
        <w:t>Barplots</w:t>
      </w:r>
      <w:proofErr w:type="spellEnd"/>
      <w:r>
        <w:rPr>
          <w:rFonts w:ascii="Times New Roman Regular" w:hAnsi="Times New Roman Regular" w:cs="Times New Roman Regular"/>
          <w:b w:val="0"/>
          <w:sz w:val="21"/>
          <w:szCs w:val="21"/>
        </w:rPr>
        <w:t xml:space="preserve"> of </w:t>
      </w:r>
      <w:proofErr w:type="spellStart"/>
      <w:r>
        <w:rPr>
          <w:rFonts w:ascii="Times New Roman Regular" w:hAnsi="Times New Roman Regular" w:cs="Times New Roman Regular"/>
          <w:b w:val="0"/>
          <w:sz w:val="21"/>
          <w:szCs w:val="21"/>
        </w:rPr>
        <w:t>pCR</w:t>
      </w:r>
      <w:proofErr w:type="spellEnd"/>
      <w:r>
        <w:rPr>
          <w:rFonts w:ascii="Times New Roman Regular" w:hAnsi="Times New Roman Regular" w:cs="Times New Roman Regular"/>
          <w:b w:val="0"/>
          <w:sz w:val="21"/>
          <w:szCs w:val="21"/>
        </w:rPr>
        <w:t xml:space="preserve"> rate and MP5 grade rate between ITH-H and ITH-L. (D) </w:t>
      </w:r>
      <w:proofErr w:type="spellStart"/>
      <w:r>
        <w:rPr>
          <w:rFonts w:ascii="Times New Roman Regular" w:hAnsi="Times New Roman Regular" w:cs="Times New Roman Regular"/>
          <w:b w:val="0"/>
          <w:sz w:val="21"/>
          <w:szCs w:val="21"/>
        </w:rPr>
        <w:t>Barplots</w:t>
      </w:r>
      <w:proofErr w:type="spellEnd"/>
      <w:r>
        <w:rPr>
          <w:rFonts w:ascii="Times New Roman Regular" w:hAnsi="Times New Roman Regular" w:cs="Times New Roman Regular"/>
          <w:b w:val="0"/>
          <w:sz w:val="21"/>
          <w:szCs w:val="21"/>
        </w:rPr>
        <w:t xml:space="preserve"> of </w:t>
      </w:r>
      <w:proofErr w:type="spellStart"/>
      <w:r>
        <w:rPr>
          <w:rFonts w:ascii="Times New Roman Regular" w:hAnsi="Times New Roman Regular" w:cs="Times New Roman Regular"/>
          <w:b w:val="0"/>
          <w:sz w:val="21"/>
          <w:szCs w:val="21"/>
        </w:rPr>
        <w:t>pCR</w:t>
      </w:r>
      <w:proofErr w:type="spellEnd"/>
      <w:r>
        <w:rPr>
          <w:rFonts w:ascii="Times New Roman Regular" w:hAnsi="Times New Roman Regular" w:cs="Times New Roman Regular"/>
          <w:b w:val="0"/>
          <w:sz w:val="21"/>
          <w:szCs w:val="21"/>
        </w:rPr>
        <w:t xml:space="preserve"> rate and MP5 grade rate between tumor </w:t>
      </w:r>
      <w:proofErr w:type="gramStart"/>
      <w:r>
        <w:rPr>
          <w:rFonts w:ascii="Times New Roman Regular" w:hAnsi="Times New Roman Regular" w:cs="Times New Roman Regular"/>
          <w:b w:val="0"/>
          <w:sz w:val="21"/>
          <w:szCs w:val="21"/>
        </w:rPr>
        <w:t>volume</w:t>
      </w:r>
      <w:proofErr w:type="gramEnd"/>
      <w:r>
        <w:rPr>
          <w:rFonts w:ascii="Times New Roman Regular" w:hAnsi="Times New Roman Regular" w:cs="Times New Roman Regular"/>
          <w:b w:val="0"/>
          <w:sz w:val="21"/>
          <w:szCs w:val="21"/>
        </w:rPr>
        <w:t xml:space="preserve">-H and tumor volume-L. (E) </w:t>
      </w:r>
      <w:proofErr w:type="spellStart"/>
      <w:r>
        <w:rPr>
          <w:rFonts w:ascii="Times New Roman Regular" w:hAnsi="Times New Roman Regular" w:cs="Times New Roman Regular"/>
          <w:b w:val="0"/>
          <w:sz w:val="21"/>
          <w:szCs w:val="21"/>
        </w:rPr>
        <w:t>Barplots</w:t>
      </w:r>
      <w:proofErr w:type="spellEnd"/>
      <w:r>
        <w:rPr>
          <w:rFonts w:ascii="Times New Roman Regular" w:hAnsi="Times New Roman Regular" w:cs="Times New Roman Regular"/>
          <w:b w:val="0"/>
          <w:sz w:val="21"/>
          <w:szCs w:val="21"/>
        </w:rPr>
        <w:t xml:space="preserve"> of </w:t>
      </w:r>
      <w:proofErr w:type="spellStart"/>
      <w:r>
        <w:rPr>
          <w:rFonts w:ascii="Times New Roman Regular" w:hAnsi="Times New Roman Regular" w:cs="Times New Roman Regular"/>
          <w:b w:val="0"/>
          <w:sz w:val="21"/>
          <w:szCs w:val="21"/>
        </w:rPr>
        <w:t>pCR</w:t>
      </w:r>
      <w:proofErr w:type="spellEnd"/>
      <w:r>
        <w:rPr>
          <w:rFonts w:ascii="Times New Roman Regular" w:hAnsi="Times New Roman Regular" w:cs="Times New Roman Regular"/>
          <w:b w:val="0"/>
          <w:sz w:val="21"/>
          <w:szCs w:val="21"/>
        </w:rPr>
        <w:t xml:space="preserve"> rate and MP5 grade rate between HLA LOH and HLA intact.</w:t>
      </w:r>
    </w:p>
    <w:p w:rsidR="00AA170B" w:rsidRDefault="00AA170B" w:rsidP="00AA170B">
      <w:pPr>
        <w:pStyle w:val="MDPI21heading1"/>
        <w:spacing w:before="0" w:after="0" w:line="480" w:lineRule="auto"/>
        <w:ind w:left="0"/>
        <w:jc w:val="both"/>
        <w:rPr>
          <w:rFonts w:ascii="Times New Roman Regular" w:hAnsi="Times New Roman Regular" w:cs="Times New Roman Regular"/>
          <w:b w:val="0"/>
          <w:sz w:val="24"/>
          <w:szCs w:val="24"/>
        </w:rPr>
      </w:pPr>
      <w:r>
        <w:rPr>
          <w:rFonts w:ascii="Times New Roman Regular" w:hAnsi="Times New Roman Regular" w:cs="Times New Roman Regular"/>
          <w:b w:val="0"/>
          <w:noProof/>
          <w:sz w:val="24"/>
          <w:szCs w:val="24"/>
          <w:lang w:eastAsia="en-US" w:bidi="ar-SA"/>
        </w:rPr>
        <w:lastRenderedPageBreak/>
        <w:drawing>
          <wp:inline distT="0" distB="0" distL="0" distR="0">
            <wp:extent cx="5276850" cy="512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70B" w:rsidRDefault="00AA170B" w:rsidP="00AA170B">
      <w:pPr>
        <w:pStyle w:val="MDPI21heading1"/>
        <w:spacing w:before="0" w:after="0" w:line="480" w:lineRule="auto"/>
        <w:ind w:left="0"/>
        <w:jc w:val="both"/>
        <w:rPr>
          <w:rFonts w:ascii="Times New Roman Regular" w:hAnsi="Times New Roman Regular" w:cs="Times New Roman Regular"/>
          <w:b w:val="0"/>
          <w:sz w:val="21"/>
          <w:szCs w:val="21"/>
        </w:rPr>
      </w:pPr>
      <w:r>
        <w:rPr>
          <w:rFonts w:ascii="Times New Roman Bold" w:hAnsi="Times New Roman Bold" w:cs="Times New Roman Bold"/>
          <w:bCs/>
          <w:sz w:val="21"/>
          <w:szCs w:val="21"/>
        </w:rPr>
        <w:t>Supplementary Figure 2. B cells, CD4 T cells, DC, Macrophages, M1 macrophages, NK cells, Neutrophils and Monocytes could not predict the efficacy of chemotherapy in TNBC patients.</w:t>
      </w:r>
      <w:r>
        <w:rPr>
          <w:rFonts w:ascii="Times New Roman Regular" w:hAnsi="Times New Roman Regular" w:cs="Times New Roman Regular"/>
          <w:sz w:val="21"/>
          <w:szCs w:val="21"/>
        </w:rPr>
        <w:t xml:space="preserve"> </w:t>
      </w:r>
      <w:r>
        <w:rPr>
          <w:rFonts w:ascii="Times New Roman Regular" w:hAnsi="Times New Roman Regular" w:cs="Times New Roman Regular"/>
          <w:b w:val="0"/>
          <w:sz w:val="21"/>
          <w:szCs w:val="21"/>
        </w:rPr>
        <w:t>Kaplan–Meier curves of OS and DFS comparing infiltrating lymphocyte- high with infiltrating lymphocyte- low, including B cells (A), CD4 T cells (B), DCs (C), Macrophages (D), M1 macrophages (E), NK cells (F), Neutrophils (G) and Monocytes (H).</w:t>
      </w:r>
    </w:p>
    <w:p w:rsidR="00AA170B" w:rsidRDefault="00AA170B" w:rsidP="00AA170B">
      <w:pPr>
        <w:pStyle w:val="MDPI21heading1"/>
        <w:spacing w:before="0" w:after="0" w:line="480" w:lineRule="auto"/>
        <w:ind w:left="0"/>
        <w:jc w:val="both"/>
        <w:rPr>
          <w:rFonts w:ascii="Times New Roman Regular" w:hAnsi="Times New Roman Regular" w:cs="Times New Roman Regular"/>
          <w:b w:val="0"/>
          <w:sz w:val="21"/>
          <w:szCs w:val="21"/>
        </w:rPr>
      </w:pPr>
    </w:p>
    <w:p w:rsidR="00AA170B" w:rsidRDefault="00AA170B" w:rsidP="00AA170B">
      <w:pPr>
        <w:pStyle w:val="MDPI21heading1"/>
        <w:spacing w:before="0" w:after="0" w:line="480" w:lineRule="auto"/>
        <w:ind w:left="0"/>
        <w:jc w:val="both"/>
        <w:rPr>
          <w:rFonts w:ascii="Times New Roman Regular" w:hAnsi="Times New Roman Regular" w:cs="Times New Roman Regular"/>
          <w:b w:val="0"/>
          <w:sz w:val="21"/>
          <w:szCs w:val="21"/>
        </w:rPr>
      </w:pPr>
      <w:r>
        <w:rPr>
          <w:rFonts w:ascii="Times New Roman Bold" w:hAnsi="Times New Roman Bold" w:cs="Times New Roman Bold"/>
          <w:bCs/>
          <w:sz w:val="21"/>
          <w:szCs w:val="21"/>
        </w:rPr>
        <w:t xml:space="preserve">Supplementary Table 1. </w:t>
      </w:r>
      <w:r>
        <w:rPr>
          <w:rFonts w:ascii="Times New Roman Regular" w:hAnsi="Times New Roman Regular" w:cs="Times New Roman Regular"/>
          <w:b w:val="0"/>
          <w:sz w:val="21"/>
          <w:szCs w:val="21"/>
        </w:rPr>
        <w:t>Detailed clinical characteristics and molecular features for enrolled patients.</w:t>
      </w:r>
    </w:p>
    <w:p w:rsidR="00AA170B" w:rsidRDefault="00AA170B" w:rsidP="00AA170B">
      <w:pPr>
        <w:pStyle w:val="MDPI21heading1"/>
        <w:spacing w:before="0" w:after="0" w:line="480" w:lineRule="auto"/>
        <w:ind w:left="0"/>
        <w:jc w:val="both"/>
        <w:rPr>
          <w:rFonts w:ascii="Times New Roman Regular" w:hAnsi="Times New Roman Regular" w:cs="Times New Roman Regular"/>
          <w:b w:val="0"/>
          <w:sz w:val="21"/>
          <w:szCs w:val="21"/>
        </w:rPr>
      </w:pPr>
      <w:r>
        <w:rPr>
          <w:rFonts w:ascii="Times New Roman Bold" w:hAnsi="Times New Roman Bold" w:cs="Times New Roman Bold"/>
          <w:bCs/>
          <w:sz w:val="21"/>
          <w:szCs w:val="21"/>
        </w:rPr>
        <w:t xml:space="preserve">Supplementary Table 2. </w:t>
      </w:r>
      <w:r>
        <w:rPr>
          <w:rFonts w:ascii="Times New Roman Regular" w:hAnsi="Times New Roman Regular" w:cs="Times New Roman Regular"/>
          <w:b w:val="0"/>
          <w:sz w:val="21"/>
          <w:szCs w:val="21"/>
        </w:rPr>
        <w:t>Somatic Mutations of WES for enrolled patients.</w:t>
      </w:r>
    </w:p>
    <w:p w:rsidR="00AA170B" w:rsidRDefault="00AA170B" w:rsidP="00AA170B">
      <w:pPr>
        <w:pStyle w:val="MDPI21heading1"/>
        <w:spacing w:before="0" w:after="0" w:line="480" w:lineRule="auto"/>
        <w:ind w:left="0"/>
        <w:jc w:val="both"/>
        <w:rPr>
          <w:rFonts w:ascii="Times New Roman Regular" w:hAnsi="Times New Roman Regular" w:cs="Times New Roman Regular"/>
          <w:b w:val="0"/>
          <w:sz w:val="21"/>
          <w:szCs w:val="21"/>
        </w:rPr>
      </w:pPr>
      <w:r>
        <w:rPr>
          <w:rFonts w:ascii="Times New Roman Bold" w:hAnsi="Times New Roman Bold" w:cs="Times New Roman Bold"/>
          <w:bCs/>
          <w:sz w:val="21"/>
          <w:szCs w:val="21"/>
        </w:rPr>
        <w:t>Supplementary Table 3.</w:t>
      </w:r>
      <w:r>
        <w:rPr>
          <w:rFonts w:ascii="Times New Roman Regular" w:hAnsi="Times New Roman Regular" w:cs="Times New Roman Regular"/>
          <w:b w:val="0"/>
          <w:sz w:val="21"/>
          <w:szCs w:val="21"/>
        </w:rPr>
        <w:t xml:space="preserve"> Somatic Mutations of 1267 genes targeted-panel sequencing for enrolled patients</w:t>
      </w:r>
    </w:p>
    <w:p w:rsidR="00AA170B" w:rsidRDefault="00AA170B" w:rsidP="00AA170B">
      <w:pPr>
        <w:pStyle w:val="MDPI21heading1"/>
        <w:spacing w:before="0" w:after="0" w:line="480" w:lineRule="auto"/>
        <w:ind w:left="0"/>
        <w:jc w:val="both"/>
        <w:rPr>
          <w:rFonts w:ascii="Times New Roman Regular" w:hAnsi="Times New Roman Regular" w:cs="Times New Roman Regular"/>
          <w:b w:val="0"/>
          <w:sz w:val="24"/>
          <w:szCs w:val="24"/>
        </w:rPr>
      </w:pPr>
    </w:p>
    <w:p w:rsidR="00AD1398" w:rsidRDefault="00AD1398">
      <w:bookmarkStart w:id="1" w:name="_GoBack"/>
      <w:bookmarkEnd w:id="1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0B"/>
    <w:rsid w:val="00AA170B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D0EB5E-DEDC-4903-8865-E74E233D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qFormat/>
    <w:rsid w:val="00AA170B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2022-03-23T04:33:00Z</dcterms:created>
  <dcterms:modified xsi:type="dcterms:W3CDTF">2022-03-23T04:33:00Z</dcterms:modified>
</cp:coreProperties>
</file>