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00" w:line="480" w:lineRule="auto"/>
        <w:textAlignment w:val="auto"/>
        <w:rPr>
          <w:rFonts w:ascii="Arial" w:hAnsi="Arial" w:cs="Arial" w:eastAsiaTheme="minorHAnsi"/>
          <w:b/>
          <w:kern w:val="0"/>
          <w:sz w:val="29"/>
          <w:szCs w:val="32"/>
          <w:lang w:eastAsia="en-US"/>
        </w:rPr>
      </w:pPr>
      <w:bookmarkStart w:id="0" w:name="_Hlk93115346"/>
      <w:r>
        <w:rPr>
          <w:rFonts w:ascii="Arial" w:hAnsi="Arial" w:cs="Arial" w:eastAsiaTheme="minorHAnsi"/>
          <w:b/>
          <w:kern w:val="0"/>
          <w:sz w:val="29"/>
          <w:szCs w:val="32"/>
          <w:lang w:val="en" w:eastAsia="en-US"/>
        </w:rPr>
        <w:t>Healing of ROS-induced cerebral ischemia/reperfusion injury by sustainable drug “chiral gold nanoclusters”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cs="Arial"/>
          <w:sz w:val="20"/>
          <w:vertAlign w:val="superscript"/>
        </w:rPr>
      </w:pPr>
      <w:r>
        <w:rPr>
          <w:rFonts w:ascii="Arial" w:hAnsi="Arial" w:cs="Arial"/>
          <w:sz w:val="20"/>
        </w:rPr>
        <w:t>Yang Yu</w:t>
      </w:r>
      <w:r>
        <w:rPr>
          <w:rFonts w:hint="eastAsia" w:ascii="Arial" w:hAnsi="Arial" w:eastAsia="宋体" w:cs="Arial"/>
          <w:sz w:val="20"/>
          <w:vertAlign w:val="superscript"/>
        </w:rPr>
        <w:t>1</w:t>
      </w:r>
      <w:r>
        <w:rPr>
          <w:rFonts w:ascii="Arial" w:hAnsi="Arial" w:cs="Arial"/>
          <w:sz w:val="20"/>
          <w:vertAlign w:val="superscript"/>
        </w:rPr>
        <w:t>,</w:t>
      </w:r>
      <w:r>
        <w:rPr>
          <w:rFonts w:hint="eastAsia" w:ascii="Arial" w:hAnsi="Arial" w:cs="Arial"/>
          <w:sz w:val="20"/>
          <w:vertAlign w:val="superscript"/>
        </w:rPr>
        <w:t>2</w:t>
      </w:r>
      <w:r>
        <w:rPr>
          <w:rFonts w:ascii="Arial" w:hAnsi="Arial" w:cs="Arial"/>
          <w:sz w:val="20"/>
        </w:rPr>
        <w:t>, Peng</w:t>
      </w:r>
      <w:r>
        <w:rPr>
          <w:rFonts w:hint="eastAsia" w:ascii="Arial" w:hAnsi="Arial" w:eastAsia="宋体" w:cs="Arial"/>
          <w:sz w:val="20"/>
        </w:rPr>
        <w:t>-</w:t>
      </w:r>
      <w:r>
        <w:rPr>
          <w:rFonts w:ascii="Arial" w:hAnsi="Arial" w:cs="Arial"/>
          <w:sz w:val="20"/>
        </w:rPr>
        <w:t>fei Zhuang</w:t>
      </w:r>
      <w:r>
        <w:rPr>
          <w:rFonts w:hint="eastAsia" w:ascii="Arial" w:hAnsi="Arial" w:cs="Arial"/>
          <w:sz w:val="20"/>
          <w:vertAlign w:val="superscript"/>
        </w:rPr>
        <w:t>1</w:t>
      </w:r>
      <w:r>
        <w:rPr>
          <w:rFonts w:ascii="Arial" w:hAnsi="Arial" w:cs="Arial"/>
          <w:sz w:val="20"/>
          <w:vertAlign w:val="superscript"/>
        </w:rPr>
        <w:t xml:space="preserve"> </w:t>
      </w:r>
      <w:r>
        <w:rPr>
          <w:rFonts w:ascii="Arial" w:hAnsi="Arial" w:cs="Arial"/>
          <w:sz w:val="20"/>
        </w:rPr>
        <w:t>, Xiao-lei Shen</w:t>
      </w:r>
      <w:r>
        <w:rPr>
          <w:rFonts w:hint="eastAsia" w:ascii="Arial" w:hAnsi="Arial" w:cs="Arial"/>
          <w:sz w:val="20"/>
          <w:vertAlign w:val="superscript"/>
        </w:rPr>
        <w:t>12</w:t>
      </w:r>
      <w:r>
        <w:rPr>
          <w:rFonts w:ascii="Arial" w:hAnsi="Arial" w:cs="Arial"/>
          <w:sz w:val="20"/>
        </w:rPr>
        <w:t>, Ming-hao Ge</w:t>
      </w:r>
      <w:r>
        <w:rPr>
          <w:rFonts w:hint="eastAsia" w:ascii="Arial" w:hAnsi="Arial" w:cs="Arial"/>
          <w:sz w:val="20"/>
          <w:vertAlign w:val="superscript"/>
        </w:rPr>
        <w:t>1</w:t>
      </w:r>
      <w:r>
        <w:rPr>
          <w:rFonts w:ascii="Arial" w:hAnsi="Arial" w:cs="Arial"/>
          <w:sz w:val="20"/>
          <w:vertAlign w:val="superscript"/>
        </w:rPr>
        <w:t>,</w:t>
      </w:r>
      <w:r>
        <w:rPr>
          <w:rFonts w:hint="eastAsia" w:ascii="Arial" w:hAnsi="Arial" w:cs="Arial"/>
          <w:sz w:val="20"/>
          <w:vertAlign w:val="superscript"/>
        </w:rPr>
        <w:t>2</w:t>
      </w:r>
      <w:r>
        <w:rPr>
          <w:rFonts w:ascii="Arial" w:hAnsi="Arial" w:cs="Arial"/>
          <w:sz w:val="20"/>
        </w:rPr>
        <w:t>, Zhi-ru Zou</w:t>
      </w:r>
      <w:r>
        <w:rPr>
          <w:rFonts w:hint="eastAsia" w:ascii="Arial" w:hAnsi="Arial" w:cs="Arial"/>
          <w:sz w:val="20"/>
          <w:vertAlign w:val="superscript"/>
        </w:rPr>
        <w:t>1</w:t>
      </w:r>
      <w:r>
        <w:rPr>
          <w:rFonts w:ascii="Arial" w:hAnsi="Arial" w:cs="Arial"/>
          <w:sz w:val="20"/>
        </w:rPr>
        <w:t>, Dao-yong Li</w:t>
      </w:r>
      <w:r>
        <w:rPr>
          <w:rFonts w:hint="eastAsia" w:ascii="Arial" w:hAnsi="Arial" w:cs="Arial"/>
          <w:sz w:val="20"/>
          <w:vertAlign w:val="superscript"/>
        </w:rPr>
        <w:t>1</w:t>
      </w:r>
      <w:r>
        <w:rPr>
          <w:rFonts w:ascii="Arial" w:hAnsi="Arial" w:cs="Arial"/>
          <w:sz w:val="20"/>
          <w:vertAlign w:val="superscript"/>
        </w:rPr>
        <w:t>,</w:t>
      </w:r>
      <w:r>
        <w:rPr>
          <w:rFonts w:hint="eastAsia" w:ascii="Arial" w:hAnsi="Arial" w:cs="Arial"/>
          <w:sz w:val="20"/>
          <w:vertAlign w:val="superscript"/>
        </w:rPr>
        <w:t>2</w:t>
      </w:r>
      <w:r>
        <w:rPr>
          <w:rFonts w:ascii="Arial" w:hAnsi="Arial" w:cs="Arial"/>
          <w:sz w:val="20"/>
        </w:rPr>
        <w:t>, Zhen-xing Zhang</w:t>
      </w:r>
      <w:r>
        <w:rPr>
          <w:rFonts w:hint="eastAsia" w:ascii="Arial" w:hAnsi="Arial" w:cs="Arial"/>
          <w:sz w:val="20"/>
          <w:vertAlign w:val="superscript"/>
        </w:rPr>
        <w:t>2</w:t>
      </w:r>
      <w:r>
        <w:rPr>
          <w:rFonts w:ascii="Arial" w:hAnsi="Arial" w:cs="Arial"/>
          <w:sz w:val="20"/>
        </w:rPr>
        <w:t>*, Chang Liu</w:t>
      </w:r>
      <w:r>
        <w:rPr>
          <w:rFonts w:hint="eastAsia" w:ascii="Arial" w:hAnsi="Arial" w:cs="Arial"/>
          <w:sz w:val="20"/>
          <w:vertAlign w:val="superscript"/>
        </w:rPr>
        <w:t>2</w:t>
      </w:r>
      <w:r>
        <w:rPr>
          <w:rFonts w:ascii="Arial" w:hAnsi="Arial" w:cs="Arial"/>
          <w:sz w:val="20"/>
        </w:rPr>
        <w:t>*, Xi-fan Mei</w:t>
      </w:r>
      <w:r>
        <w:rPr>
          <w:rFonts w:hint="eastAsia" w:ascii="Arial" w:hAnsi="Arial" w:cs="Arial"/>
          <w:sz w:val="20"/>
          <w:vertAlign w:val="superscript"/>
        </w:rPr>
        <w:t>1</w:t>
      </w:r>
      <w:r>
        <w:rPr>
          <w:rFonts w:ascii="Arial" w:hAnsi="Arial" w:cs="Arial"/>
          <w:sz w:val="20"/>
        </w:rPr>
        <w:t>*, Dan Li</w:t>
      </w:r>
      <w:r>
        <w:rPr>
          <w:rFonts w:hint="eastAsia" w:ascii="Arial" w:hAnsi="Arial" w:cs="Arial"/>
          <w:sz w:val="20"/>
          <w:vertAlign w:val="superscript"/>
        </w:rPr>
        <w:t>1</w:t>
      </w:r>
      <w:r>
        <w:rPr>
          <w:rFonts w:ascii="Arial" w:hAnsi="Arial" w:cs="Arial"/>
          <w:sz w:val="20"/>
        </w:rPr>
        <w:t>*</w:t>
      </w:r>
      <w:r>
        <w:rPr>
          <w:rFonts w:ascii="Arial" w:hAnsi="Arial" w:cs="Arial"/>
          <w:sz w:val="24"/>
          <w:vertAlign w:val="superscript"/>
        </w:rPr>
        <w:t xml:space="preserve">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cs="Arial"/>
          <w:sz w:val="20"/>
          <w:szCs w:val="20"/>
        </w:rPr>
      </w:pPr>
      <w:r>
        <w:rPr>
          <w:rFonts w:hint="eastAsia" w:ascii="Arial" w:hAnsi="Arial" w:eastAsia="宋体" w:cs="Arial"/>
          <w:sz w:val="20"/>
          <w:szCs w:val="20"/>
        </w:rPr>
        <w:t>1</w:t>
      </w:r>
      <w:r>
        <w:rPr>
          <w:rFonts w:ascii="Arial" w:hAnsi="Arial" w:cs="Arial"/>
          <w:sz w:val="20"/>
          <w:szCs w:val="20"/>
        </w:rPr>
        <w:t>. Key Laboratory of Tissue Engineering of Liaoning Province, Jinzhou, PR China.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cs="Arial"/>
          <w:sz w:val="20"/>
          <w:szCs w:val="20"/>
        </w:rPr>
      </w:pPr>
      <w:r>
        <w:rPr>
          <w:rFonts w:hint="eastAsia" w:ascii="Arial" w:hAnsi="Arial" w:eastAsia="宋体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 xml:space="preserve">. First Affiliated Hospital of Jinzhou Medical University, Jinzhou, PR China.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cs="Arial"/>
          <w:sz w:val="24"/>
          <w:vertAlign w:val="superscript"/>
        </w:rPr>
      </w:pPr>
      <w:r>
        <w:rPr>
          <w:rFonts w:ascii="Symbol" w:hAnsi="Symbol" w:eastAsia="宋体" w:cs="Symbol"/>
          <w:color w:val="000000"/>
          <w:kern w:val="0"/>
          <w:sz w:val="24"/>
          <w:lang w:bidi="ar"/>
        </w:rPr>
        <w:t>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Corresponding author: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 xml:space="preserve"> Prof. </w:t>
      </w:r>
      <w:r>
        <w:rPr>
          <w:rFonts w:ascii="Arial" w:hAnsi="Arial" w:cs="Arial"/>
          <w:sz w:val="20"/>
        </w:rPr>
        <w:t>Zhen-xing Zhang</w:t>
      </w:r>
      <w:r>
        <w:rPr>
          <w:rFonts w:ascii="Arial" w:hAnsi="Arial" w:cs="Arial"/>
          <w:sz w:val="20"/>
          <w:vertAlign w:val="superscript"/>
        </w:rPr>
        <w:t>b</w:t>
      </w:r>
      <w:r>
        <w:rPr>
          <w:rFonts w:ascii="Arial" w:hAnsi="Arial" w:cs="Arial"/>
          <w:sz w:val="20"/>
        </w:rPr>
        <w:t>*,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 xml:space="preserve"> Prof.</w:t>
      </w:r>
      <w:r>
        <w:rPr>
          <w:rFonts w:ascii="Arial" w:hAnsi="Arial" w:cs="Arial"/>
          <w:sz w:val="20"/>
        </w:rPr>
        <w:t xml:space="preserve"> Chang Liu</w:t>
      </w:r>
      <w:r>
        <w:rPr>
          <w:rFonts w:ascii="Arial" w:hAnsi="Arial" w:cs="Arial"/>
          <w:sz w:val="20"/>
          <w:vertAlign w:val="superscript"/>
        </w:rPr>
        <w:t>b</w:t>
      </w:r>
      <w:r>
        <w:rPr>
          <w:rFonts w:ascii="Arial" w:hAnsi="Arial" w:cs="Arial"/>
          <w:sz w:val="20"/>
        </w:rPr>
        <w:t>*,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 xml:space="preserve"> Prof.</w:t>
      </w:r>
      <w:r>
        <w:rPr>
          <w:rFonts w:ascii="Arial" w:hAnsi="Arial" w:cs="Arial"/>
          <w:sz w:val="20"/>
        </w:rPr>
        <w:t xml:space="preserve"> Xi-fan Mei</w:t>
      </w:r>
      <w:r>
        <w:rPr>
          <w:rFonts w:ascii="Arial" w:hAnsi="Arial" w:cs="Arial"/>
          <w:sz w:val="20"/>
          <w:vertAlign w:val="superscript"/>
        </w:rPr>
        <w:t>a</w:t>
      </w:r>
      <w:r>
        <w:rPr>
          <w:rFonts w:ascii="Arial" w:hAnsi="Arial" w:cs="Arial"/>
          <w:sz w:val="20"/>
        </w:rPr>
        <w:t>*,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 xml:space="preserve"> Prof.</w:t>
      </w:r>
      <w:r>
        <w:rPr>
          <w:rFonts w:ascii="Arial" w:hAnsi="Arial" w:cs="Arial"/>
          <w:sz w:val="20"/>
        </w:rPr>
        <w:t xml:space="preserve"> Dan Li</w:t>
      </w:r>
      <w:r>
        <w:rPr>
          <w:rFonts w:ascii="Arial" w:hAnsi="Arial" w:cs="Arial"/>
          <w:sz w:val="20"/>
          <w:vertAlign w:val="superscript"/>
        </w:rPr>
        <w:t>a</w:t>
      </w:r>
      <w:r>
        <w:rPr>
          <w:rFonts w:ascii="Arial" w:hAnsi="Arial" w:cs="Arial"/>
          <w:sz w:val="20"/>
        </w:rPr>
        <w:t>*</w:t>
      </w:r>
      <w:r>
        <w:rPr>
          <w:rFonts w:ascii="Arial" w:hAnsi="Arial" w:cs="Arial"/>
          <w:sz w:val="24"/>
          <w:vertAlign w:val="superscript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eastAsia="AdvGulliv-F" w:cs="Arial"/>
          <w:b/>
          <w:bCs/>
          <w:kern w:val="0"/>
          <w:sz w:val="24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eastAsia="AdvGulliv-F" w:cs="Arial"/>
          <w:b/>
          <w:bCs/>
          <w:kern w:val="0"/>
          <w:sz w:val="24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eastAsia="AdvGulliv-F" w:cs="Arial"/>
          <w:b/>
          <w:bCs/>
          <w:kern w:val="0"/>
          <w:sz w:val="24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eastAsia="AdvGulliv-F" w:cs="Arial"/>
          <w:b/>
          <w:bCs/>
          <w:kern w:val="0"/>
          <w:sz w:val="24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eastAsia="AdvGulliv-F" w:cs="Arial"/>
          <w:b/>
          <w:bCs/>
          <w:kern w:val="0"/>
          <w:sz w:val="24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eastAsia="AdvGulliv-F" w:cs="Arial"/>
          <w:b/>
          <w:bCs/>
          <w:kern w:val="0"/>
          <w:sz w:val="24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b/>
          <w:bCs/>
          <w:color w:val="000000"/>
          <w:kern w:val="0"/>
          <w:sz w:val="24"/>
          <w:lang w:bidi="a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cs="Arial"/>
          <w:b/>
          <w:bCs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cs="Arial"/>
          <w:b/>
          <w:bCs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cs="Arial"/>
          <w:b/>
          <w:bCs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cs="Arial"/>
          <w:b/>
          <w:bCs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cs="Arial"/>
          <w:b/>
          <w:bCs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cs="Arial"/>
          <w:b/>
          <w:bCs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cs="Arial"/>
          <w:b/>
          <w:bCs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cs="Arial"/>
          <w:b/>
          <w:bCs/>
          <w:sz w:val="24"/>
        </w:rPr>
      </w:pPr>
      <w:r>
        <w:rPr>
          <w:rFonts w:ascii="Arial" w:hAnsi="Arial" w:eastAsia="宋体" w:cs="Arial"/>
          <w:b/>
          <w:bCs/>
          <w:color w:val="000000"/>
          <w:kern w:val="0"/>
          <w:sz w:val="24"/>
          <w:lang w:bidi="ar"/>
        </w:rPr>
        <w:t xml:space="preserve">This PDF file includes: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cs="Arial"/>
          <w:sz w:val="18"/>
          <w:szCs w:val="18"/>
        </w:rPr>
      </w:pPr>
      <w:bookmarkStart w:id="1" w:name="_GoBack"/>
      <w:bookmarkEnd w:id="1"/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 xml:space="preserve">Fig. S1. </w:t>
      </w:r>
      <w:r>
        <w:rPr>
          <w:rFonts w:ascii="Arial" w:hAnsi="Arial" w:cs="Arial"/>
          <w:sz w:val="18"/>
          <w:szCs w:val="18"/>
        </w:rPr>
        <w:t>TEM image and HR-TEM of the GSH-AuNPs and GSH-AuNCs.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cs="Arial"/>
          <w:sz w:val="18"/>
          <w:szCs w:val="18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Fig. S2.</w:t>
      </w:r>
      <w:r>
        <w:rPr>
          <w:rFonts w:hint="eastAsia" w:ascii="Arial" w:hAnsi="Arial" w:eastAsia="宋体" w:cs="Arial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XPS of GSH-AuNPs and GSH-AuNCs.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cs="Arial"/>
          <w:sz w:val="18"/>
          <w:szCs w:val="18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 xml:space="preserve">Fig. S3. Optical properties of GSH-AuNCs.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Fig.</w:t>
      </w:r>
      <w:r>
        <w:rPr>
          <w:rFonts w:hint="eastAsia" w:ascii="Arial" w:hAnsi="Arial" w:eastAsia="宋体" w:cs="Arial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S4.</w:t>
      </w:r>
      <w:r>
        <w:rPr>
          <w:rFonts w:hint="eastAsia" w:ascii="Arial" w:hAnsi="Arial" w:eastAsia="宋体" w:cs="Arial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Antioxidant ability of GSH,GSH-AuNCs and GSH-AuNPs.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cs="Arial"/>
          <w:sz w:val="18"/>
          <w:szCs w:val="18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Table</w:t>
      </w:r>
      <w:r>
        <w:rPr>
          <w:rFonts w:hint="eastAsia" w:ascii="Arial" w:hAnsi="Arial" w:eastAsia="宋体" w:cs="Arial"/>
          <w:color w:val="000000"/>
          <w:kern w:val="0"/>
          <w:sz w:val="18"/>
          <w:szCs w:val="18"/>
          <w:lang w:bidi="ar"/>
        </w:rPr>
        <w:t>.</w: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S1</w:t>
      </w:r>
      <w:r>
        <w:rPr>
          <w:rFonts w:hint="eastAsia" w:ascii="Arial" w:hAnsi="Arial" w:eastAsia="宋体" w:cs="Arial"/>
          <w:color w:val="000000"/>
          <w:kern w:val="0"/>
          <w:sz w:val="18"/>
          <w:szCs w:val="18"/>
          <w:lang w:bidi="ar"/>
        </w:rPr>
        <w:t xml:space="preserve">. </w:t>
      </w:r>
      <w:r>
        <w:rPr>
          <w:rFonts w:ascii="Arial" w:hAnsi="Arial" w:cs="Arial"/>
          <w:sz w:val="18"/>
          <w:szCs w:val="18"/>
        </w:rPr>
        <w:t>The pharmacokinetic parameters of GSH-AuNCs.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cs="Arial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eastAsia="AdvGulliv-B" w:cs="Arial"/>
          <w:b/>
          <w:bCs/>
          <w:kern w:val="0"/>
          <w:sz w:val="24"/>
          <w:lang w:bidi="ar"/>
        </w:rPr>
      </w:pPr>
      <w:r>
        <w:rPr>
          <w:rFonts w:hint="eastAsia" w:ascii="Arial" w:hAnsi="Arial" w:eastAsia="AdvGulliv-B" w:cs="Arial"/>
          <w:b/>
          <w:bCs/>
          <w:kern w:val="0"/>
          <w:sz w:val="24"/>
          <w:lang w:bidi="ar"/>
        </w:rPr>
        <w:t xml:space="preserve">Material and methods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cs="Arial"/>
          <w:sz w:val="24"/>
        </w:rPr>
      </w:pPr>
      <w:r>
        <w:rPr>
          <w:rFonts w:ascii="Arial" w:hAnsi="Arial" w:cs="Arial"/>
          <w:b/>
          <w:bCs/>
          <w:szCs w:val="21"/>
        </w:rPr>
        <w:t>Synthesis of GSH-AuNCs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250 μL of HAuCl4 (50 mM) and 150 μL of D-glutathione (GSH) (100 mM) were mixed with 4.7 mL of ultra-stilled water at room temperature. Then, the solution was transferred to a water bath and heated to 70 °C for 24 h. GSH-AuNCs were dialyzed with a dialysis tube (3500 MWCO) before use.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>Synthesis of GSH-AuNPs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400 μL of HAuCl4 (25 mM) and 300 μL of D-glutathione (GSH) (100 mM) were mixed with 1.6 mL of ultra-stilled water at room temperature. The solution was adjusted to pH 6 with 0.1 M NaOH. Finally, 200 μL 100 mM NaBH4 and 2 mL water were added. After the reaction proceeded for 24 hours, the samples were dialyzed with a dialysis tube (3500 MWCO) before use.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cs="Arial"/>
          <w:b/>
          <w:bCs/>
          <w:szCs w:val="21"/>
        </w:rPr>
      </w:pPr>
      <w:r>
        <w:rPr>
          <w:rFonts w:ascii="Arial" w:hAnsi="Arial" w:cs="Arial"/>
          <w:b/>
          <w:bCs/>
          <w:szCs w:val="21"/>
        </w:rPr>
        <w:t>Characterization of the materials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Transmission electron microscope (TEM) were obtained on a transmission electron microscope operated at 75 kV (FEI Tecnai G2 F30). The specimen was made by placing one drop of the purified sample in a water solution on a carbon thin-film coated TEM grid. X-ray photoelectron spectroscopy (XPS) measurements were investigated under ultrahigh vacuum (UHV) with 1.0×10-7 Torr (Thermo, ESCALAB 250Xi). The fluorescence spectra were measured by a fluorescence spectrometer (F-97).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eastAsia="宋体" w:cs="Arial"/>
          <w:b/>
          <w:bCs/>
          <w:kern w:val="0"/>
          <w:sz w:val="24"/>
          <w:lang w:bidi="ar"/>
        </w:rPr>
      </w:pPr>
      <w:r>
        <w:rPr>
          <w:rFonts w:ascii="Arial" w:hAnsi="Arial" w:eastAsia="AdvGulliv-B" w:cs="Arial"/>
          <w:b/>
          <w:bCs/>
          <w:kern w:val="0"/>
          <w:sz w:val="24"/>
          <w:lang w:bidi="ar"/>
        </w:rPr>
        <w:t>Results</w:t>
      </w:r>
      <w:r>
        <w:rPr>
          <w:rFonts w:ascii="Arial" w:hAnsi="Arial" w:eastAsia="宋体" w:cs="Arial"/>
          <w:b/>
          <w:bCs/>
          <w:kern w:val="0"/>
          <w:sz w:val="24"/>
          <w:lang w:bidi="ar"/>
        </w:rPr>
        <w:t xml:space="preserve">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In the UV-vis characterization (Fig. S3a), no peak is observed at about 520 nm for the normal size gold nanoparticles. Gold nanoparticles are classified into three states: metallic (&gt;2.3 nm), transition regime (from 2.3 and 1.7 nm), and non-metallic clusters (smaller than 1.7 nm)</w:t>
      </w:r>
      <w:r>
        <w:rPr>
          <w:rFonts w:hint="eastAsia" w:ascii="Arial" w:hAnsi="Arial" w:eastAsia="宋体" w:cs="Arial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fldChar w:fldCharType="begin"/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instrText xml:space="preserve"> ADDIN EN.CITE &lt;EndNote&gt;&lt;Cite&gt;&lt;Author&gt;Zhou&lt;/Author&gt;&lt;Year&gt;2016&lt;/Year&gt;&lt;RecNum&gt;52&lt;/RecNum&gt;&lt;DisplayText&gt;[1]&lt;/DisplayText&gt;&lt;record&gt;&lt;rec-number&gt;52&lt;/rec-number&gt;&lt;foreign-keys&gt;&lt;key app="EN" db-id="w05sds0t52azroer0pbx2peqpftrvaedaeza" timestamp="1637314536"&gt;52&lt;/key&gt;&lt;/foreign-keys&gt;&lt;ref-type name="Journal Article"&gt;17&lt;/ref-type&gt;&lt;contributors&gt;&lt;authors&gt;&lt;author&gt;Zhou, M.&lt;/author&gt;&lt;author&gt;Zeng, C.&lt;/author&gt;&lt;author&gt;Chen, Y.&lt;/author&gt;&lt;author&gt;Zhao, S.&lt;/author&gt;&lt;author&gt;Sfeir, M. Y.&lt;/author&gt;&lt;author&gt;Zhu, M.&lt;/author&gt;&lt;author&gt;Jin, R.&lt;/author&gt;&lt;/authors&gt;&lt;/contributors&gt;&lt;auth-address&gt;Department of Chemistry, Carnegie Mellon University, Pittsburgh, Pennsylvania 15213, USA.&amp;#xD;Center for Functional Nanomaterials, Brookhaven National Laboratory, Upton, New York 11973, USA.&amp;#xD;Department of Chemistry and Center for Atomic Engineering of Advanced Materials, Anhui University, Hefei, Anhui 230601, China.&lt;/auth-address&gt;&lt;titles&gt;&lt;title&gt;Evolution from the plasmon to exciton state in ligand-protected atomically precise gold nanoparticles&lt;/title&gt;&lt;secondary-title&gt;Nat Commun&lt;/secondary-title&gt;&lt;/titles&gt;&lt;periodical&gt;&lt;full-title&gt;Nat Commun&lt;/full-title&gt;&lt;/periodical&gt;&lt;pages&gt;13240&lt;/pages&gt;&lt;volume&gt;7&lt;/volume&gt;&lt;edition&gt;2016/10/25&lt;/edition&gt;&lt;dates&gt;&lt;year&gt;2016&lt;/year&gt;&lt;pub-dates&gt;&lt;date&gt;Oct 24&lt;/date&gt;&lt;/pub-dates&gt;&lt;/dates&gt;&lt;isbn&gt;2041-1723 (Electronic)&amp;#xD;2041-1723 (Linking)&lt;/isbn&gt;&lt;accession-num&gt;27775036&lt;/accession-num&gt;&lt;urls&gt;&lt;related-urls&gt;&lt;url&gt;https://www.ncbi.nlm.nih.gov/pubmed/27775036&lt;/url&gt;&lt;/related-urls&gt;&lt;/urls&gt;&lt;custom2&gt;PMC5078994&lt;/custom2&gt;&lt;electronic-resource-num&gt;10.1038/ncomms13240&lt;/electronic-resource-num&gt;&lt;/record&gt;&lt;/Cite&gt;&lt;/EndNote&gt;</w:instrTex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fldChar w:fldCharType="separate"/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[1]</w: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fldChar w:fldCharType="end"/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. In a cluster with an ultra-small gold core, the plasmon-like resonance is confined in the metal core by the molecular layer</w:t>
      </w:r>
      <w:r>
        <w:rPr>
          <w:rFonts w:hint="eastAsia" w:ascii="Arial" w:hAnsi="Arial" w:eastAsia="宋体" w:cs="Arial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fldChar w:fldCharType="begin"/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instrText xml:space="preserve"> ADDIN EN.CITE &lt;EndNote&gt;&lt;Cite&gt;&lt;Author&gt;Malola&lt;/Author&gt;&lt;Year&gt;2013&lt;/Year&gt;&lt;RecNum&gt;53&lt;/RecNum&gt;&lt;DisplayText&gt;[2]&lt;/DisplayText&gt;&lt;record&gt;&lt;rec-number&gt;53&lt;/rec-number&gt;&lt;foreign-keys&gt;&lt;key app="EN" db-id="w05sds0t52azroer0pbx2peqpftrvaedaeza" timestamp="1637314590"&gt;53&lt;/key&gt;&lt;/foreign-keys&gt;&lt;ref-type name="Journal Article"&gt;17&lt;/ref-type&gt;&lt;contributors&gt;&lt;authors&gt;&lt;author&gt;Malola, S.&lt;/author&gt;&lt;author&gt;Lehtovaara, L.&lt;/author&gt;&lt;author&gt;Enkovaara, J.&lt;/author&gt;&lt;author&gt;Hakkinen, H.&lt;/author&gt;&lt;/authors&gt;&lt;/contributors&gt;&lt;auth-address&gt;Department of Physics and double daggerDepartment of Chemistry, Nanoscience Center, University of Jyvaskyla , FI-40014 Jyvaskyla, Finland.&lt;/auth-address&gt;&lt;titles&gt;&lt;title&gt;Birth of the localized surface plasmon resonance in monolayer-protected gold nanoclusters&lt;/title&gt;&lt;secondary-title&gt;ACS Nano&lt;/secondary-title&gt;&lt;/titles&gt;&lt;periodical&gt;&lt;full-title&gt;ACS Nano&lt;/full-title&gt;&lt;/periodical&gt;&lt;pages&gt;10263-70&lt;/pages&gt;&lt;volume&gt;7&lt;/volume&gt;&lt;number&gt;11&lt;/number&gt;&lt;edition&gt;2013/10/11&lt;/edition&gt;&lt;keywords&gt;&lt;keyword&gt;Algorithms&lt;/keyword&gt;&lt;keyword&gt;*Biosensing Techniques&lt;/keyword&gt;&lt;keyword&gt;Colloids/chemistry&lt;/keyword&gt;&lt;keyword&gt;Electronics&lt;/keyword&gt;&lt;keyword&gt;Gold/*chemistry&lt;/keyword&gt;&lt;keyword&gt;Ligands&lt;/keyword&gt;&lt;keyword&gt;Metal Nanoparticles/*chemistry&lt;/keyword&gt;&lt;keyword&gt;Nanostructures&lt;/keyword&gt;&lt;keyword&gt;Nanotechnology/methods&lt;/keyword&gt;&lt;keyword&gt;Optics and Photonics&lt;/keyword&gt;&lt;keyword&gt;Particle Size&lt;/keyword&gt;&lt;keyword&gt;Software&lt;/keyword&gt;&lt;keyword&gt;Surface Plasmon Resonance/instrumentation/*methods&lt;/keyword&gt;&lt;keyword&gt;Surface Properties&lt;/keyword&gt;&lt;/keywords&gt;&lt;dates&gt;&lt;year&gt;2013&lt;/year&gt;&lt;pub-dates&gt;&lt;date&gt;Nov 26&lt;/date&gt;&lt;/pub-dates&gt;&lt;/dates&gt;&lt;isbn&gt;1936-086X (Electronic)&amp;#xD;1936-0851 (Linking)&lt;/isbn&gt;&lt;accession-num&gt;24107127&lt;/accession-num&gt;&lt;urls&gt;&lt;related-urls&gt;&lt;url&gt;https://www.ncbi.nlm.nih.gov/pubmed/24107127&lt;/url&gt;&lt;/related-urls&gt;&lt;/urls&gt;&lt;electronic-resource-num&gt;10.1021/nn4046634&lt;/electronic-resource-num&gt;&lt;/record&gt;&lt;/Cite&gt;&lt;/EndNote&gt;</w:instrTex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fldChar w:fldCharType="separate"/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[2]</w: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fldChar w:fldCharType="end"/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. Therefore, no plasmon resonance peak is observed. On the other hand, a unique fluorescence is observed (Fig. S3b). It can be seen that the GSH-AuNCs have a maximum excitation and emission at 413 nm and 609 nm respectively. However, the fluorescence was quite weak with a quantum yield smaller than 2%. Thus, for tracking the samples, highly fluorescent FITC was labeled on both GSH-AuNPs and GSH-AuNCs.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cs="Arial"/>
          <w:b/>
          <w:bCs/>
          <w:sz w:val="24"/>
        </w:rPr>
      </w:pPr>
      <w:r>
        <w:rPr>
          <w:rFonts w:hint="eastAsia" w:ascii="Arial" w:hAnsi="Arial" w:cs="Arial"/>
          <w:b/>
          <w:bCs/>
          <w:sz w:val="24"/>
        </w:rPr>
        <w:t>Reference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fldChar w:fldCharType="begin"/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instrText xml:space="preserve"> ADDIN EN.REFLIST </w:instrTex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fldChar w:fldCharType="separate"/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[1] Zhou M, Zeng C, Chen Y, Zhao S, Sfeir MY, Zhu M, Jin R. Evolution from the plasmon to exciton state in ligand-protected atomically precise gold nanoparticles. Nat Commun. 2016;7:13240.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[2] Malola S, Lehtovaara L, Enkovaara J, Hakkinen H. Birth of the localized surface plasmon resonance in monolayer-protected gold nanoclusters. ACS Nano. 2013;7(11):10263-70.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cs="Arial"/>
          <w:sz w:val="24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cs="Arial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cs="Arial"/>
          <w:sz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drawing>
          <wp:inline distT="0" distB="0" distL="114300" distR="114300">
            <wp:extent cx="5271135" cy="4480560"/>
            <wp:effectExtent l="0" t="0" r="1905" b="0"/>
            <wp:docPr id="6" name="图片 6" descr="Figure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igure.S1"/>
                    <pic:cNvPicPr>
                      <a:picLocks noChangeAspect="1"/>
                    </pic:cNvPicPr>
                  </pic:nvPicPr>
                  <pic:blipFill>
                    <a:blip r:embed="rId5"/>
                    <a:srcRect b="3987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480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Fig</w:t>
      </w:r>
      <w:r>
        <w:rPr>
          <w:rFonts w:hint="eastAsia" w:ascii="Arial" w:hAnsi="Arial" w:eastAsia="宋体" w:cs="Arial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S1</w:t>
      </w:r>
      <w:r>
        <w:rPr>
          <w:rFonts w:hint="eastAsia" w:ascii="Arial" w:hAnsi="Arial" w:eastAsia="宋体" w:cs="Arial"/>
          <w:color w:val="000000"/>
          <w:kern w:val="0"/>
          <w:sz w:val="18"/>
          <w:szCs w:val="18"/>
          <w:lang w:bidi="ar"/>
        </w:rPr>
        <w:t xml:space="preserve">. </w: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 xml:space="preserve">TEM (a, c) image and High-Resolution Transmission Electron Microscopy (HR-TEM) (b, d) of the GSH-AuNPs (a, b) and GSH-AuNCs (c, d). The scale bars represent 20 nm.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/>
        </w:rPr>
        <w:drawing>
          <wp:inline distT="0" distB="0" distL="114300" distR="114300">
            <wp:extent cx="5271135" cy="4587240"/>
            <wp:effectExtent l="0" t="0" r="1905" b="0"/>
            <wp:docPr id="7" name="图片 7" descr="Figure.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.S2"/>
                    <pic:cNvPicPr>
                      <a:picLocks noChangeAspect="1"/>
                    </pic:cNvPicPr>
                  </pic:nvPicPr>
                  <pic:blipFill>
                    <a:blip r:embed="rId6"/>
                    <a:srcRect b="3844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58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Fig S2. XPS survey (a) and Au 4f spectra (b</w:t>
      </w:r>
      <w:r>
        <w:rPr>
          <w:rFonts w:hint="eastAsia" w:ascii="Arial" w:hAnsi="Arial" w:eastAsia="宋体" w:cs="Arial"/>
          <w:color w:val="000000"/>
          <w:kern w:val="0"/>
          <w:sz w:val="18"/>
          <w:szCs w:val="18"/>
          <w:lang w:bidi="ar"/>
        </w:rPr>
        <w:t>,</w: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 xml:space="preserve"> c) of GSH-AuNPs (a, b) and GSH-AuNCs (a, c). NCs and NPs indicate GSH-AuNCs and GSH-AuNPs respectively.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i/>
          <w:i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i/>
          <w:i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i/>
          <w:iCs/>
        </w:rPr>
      </w:pPr>
      <w:r>
        <w:rPr>
          <w:rFonts w:hint="eastAsia"/>
          <w:i/>
          <w:iCs/>
        </w:rPr>
        <w:drawing>
          <wp:inline distT="0" distB="0" distL="114300" distR="114300">
            <wp:extent cx="5271135" cy="2418080"/>
            <wp:effectExtent l="0" t="0" r="1905" b="5080"/>
            <wp:docPr id="8" name="图片 8" descr="Figure.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.S3"/>
                    <pic:cNvPicPr>
                      <a:picLocks noChangeAspect="1"/>
                    </pic:cNvPicPr>
                  </pic:nvPicPr>
                  <pic:blipFill>
                    <a:blip r:embed="rId7"/>
                    <a:srcRect b="67553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418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Fig S3. UV-vis (a), fluorescence excitation, and emission spectra (b) of GSH-AuNCs.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i/>
          <w:i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i/>
          <w:i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i/>
          <w:iCs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i/>
          <w:iCs/>
        </w:rPr>
      </w:pPr>
      <w:r>
        <w:rPr>
          <w:rFonts w:hint="eastAsia"/>
          <w:i/>
          <w:iCs/>
        </w:rPr>
        <w:drawing>
          <wp:inline distT="0" distB="0" distL="114300" distR="114300">
            <wp:extent cx="5271135" cy="2219960"/>
            <wp:effectExtent l="0" t="0" r="1905" b="5080"/>
            <wp:docPr id="10" name="图片 10" descr="Figure.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.S4"/>
                    <pic:cNvPicPr>
                      <a:picLocks noChangeAspect="1"/>
                    </pic:cNvPicPr>
                  </pic:nvPicPr>
                  <pic:blipFill>
                    <a:blip r:embed="rId8"/>
                    <a:srcRect b="702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19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Fig S4. ABTS assay was used to determine the antioxidant ability of GSH</w:t>
      </w:r>
      <w:r>
        <w:rPr>
          <w:rFonts w:hint="eastAsia" w:ascii="Arial" w:hAnsi="Arial" w:eastAsia="宋体" w:cs="Arial"/>
          <w:color w:val="000000"/>
          <w:kern w:val="0"/>
          <w:sz w:val="18"/>
          <w:szCs w:val="18"/>
          <w:lang w:bidi="ar"/>
        </w:rPr>
        <w:t xml:space="preserve">, </w: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GSH-AuNCs and GSH-AuNPs.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Arial" w:hAnsi="Arial" w:cs="Arial"/>
          <w:i/>
          <w:iCs/>
          <w:sz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</w:pPr>
      <w:r>
        <w:rPr>
          <w:rFonts w:hint="eastAsia" w:ascii="Arial" w:hAnsi="Arial" w:eastAsia="宋体" w:cs="Arial"/>
          <w:color w:val="000000"/>
          <w:kern w:val="0"/>
          <w:sz w:val="18"/>
          <w:szCs w:val="18"/>
          <w:lang w:bidi="ar"/>
        </w:rPr>
        <w:t xml:space="preserve">Table </w: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S1</w:t>
      </w:r>
      <w:r>
        <w:rPr>
          <w:rFonts w:hint="eastAsia" w:ascii="Arial" w:hAnsi="Arial" w:eastAsia="宋体" w:cs="Arial"/>
          <w:color w:val="000000"/>
          <w:kern w:val="0"/>
          <w:sz w:val="18"/>
          <w:szCs w:val="18"/>
          <w:lang w:bidi="ar"/>
        </w:rPr>
        <w:t xml:space="preserve">. </w:t>
      </w:r>
      <w:r>
        <w:rPr>
          <w:rFonts w:ascii="Arial" w:hAnsi="Arial" w:eastAsia="宋体" w:cs="Arial"/>
          <w:color w:val="000000"/>
          <w:kern w:val="0"/>
          <w:sz w:val="18"/>
          <w:szCs w:val="18"/>
          <w:lang w:bidi="ar"/>
        </w:rPr>
        <w:t>The pharmacokinetic parameters were calculated by dual-compartment analysis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Style w:val="10"/>
              </w:rPr>
            </w:pPr>
          </w:p>
        </w:tc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Style w:val="10"/>
                <w:rFonts w:ascii="Arial" w:hAnsi="Arial" w:cs="Arial"/>
              </w:rPr>
            </w:pPr>
            <w:r>
              <w:rPr>
                <w:rStyle w:val="10"/>
                <w:rFonts w:ascii="Arial" w:hAnsi="Arial" w:cs="Arial"/>
              </w:rPr>
              <w:t>GSH</w:t>
            </w:r>
            <w:r>
              <w:rPr>
                <w:rStyle w:val="10"/>
                <w:rFonts w:hint="eastAsia" w:ascii="Arial" w:hAnsi="Arial" w:cs="Arial"/>
              </w:rPr>
              <w:t>-AuNCs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Style w:val="10"/>
                <w:rFonts w:ascii="Arial" w:hAnsi="Arial" w:cs="Arial"/>
              </w:rPr>
            </w:pPr>
            <w:r>
              <w:rPr>
                <w:rStyle w:val="10"/>
                <w:rFonts w:ascii="Arial" w:hAnsi="Arial" w:cs="Arial"/>
              </w:rPr>
              <w:t>T1/2</w:t>
            </w:r>
            <w:r>
              <w:rPr>
                <w:rStyle w:val="10"/>
                <w:rFonts w:ascii="Arial" w:hAnsi="Arial" w:eastAsia="宋体" w:cs="Arial"/>
              </w:rPr>
              <w:t>α</w:t>
            </w:r>
            <w:r>
              <w:rPr>
                <w:rStyle w:val="10"/>
                <w:rFonts w:ascii="Arial" w:hAnsi="Arial" w:cs="Arial"/>
              </w:rPr>
              <w:t>(h)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Style w:val="10"/>
                <w:rFonts w:ascii="Arial" w:hAnsi="Arial" w:cs="Arial"/>
              </w:rPr>
            </w:pPr>
            <w:r>
              <w:rPr>
                <w:rStyle w:val="10"/>
                <w:rFonts w:ascii="Arial" w:hAnsi="Arial" w:cs="Arial"/>
              </w:rPr>
              <w:t>T1/2</w:t>
            </w:r>
            <w:r>
              <w:rPr>
                <w:rStyle w:val="10"/>
                <w:rFonts w:ascii="Arial" w:hAnsi="Arial" w:eastAsia="宋体" w:cs="Arial"/>
              </w:rPr>
              <w:t>β</w:t>
            </w:r>
            <w:r>
              <w:rPr>
                <w:rStyle w:val="10"/>
                <w:rFonts w:ascii="Arial" w:hAnsi="Arial" w:cs="Arial"/>
              </w:rPr>
              <w:t>(h)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Style w:val="10"/>
                <w:rFonts w:ascii="Arial" w:hAnsi="Arial" w:cs="Arial"/>
              </w:rPr>
            </w:pPr>
            <w:r>
              <w:rPr>
                <w:rStyle w:val="10"/>
                <w:rFonts w:ascii="Arial" w:hAnsi="Arial" w:cs="Arial"/>
              </w:rPr>
              <w:t>AUC(0-</w:t>
            </w:r>
            <w:r>
              <w:rPr>
                <w:rStyle w:val="10"/>
                <w:rFonts w:ascii="Arial" w:hAnsi="Arial" w:eastAsia="微软雅黑" w:cs="Arial"/>
              </w:rPr>
              <w:t>∞</w:t>
            </w:r>
            <w:r>
              <w:rPr>
                <w:rStyle w:val="10"/>
                <w:rFonts w:ascii="Arial" w:hAnsi="Arial" w:cs="Arial"/>
              </w:rPr>
              <w:t>)(mg/L</w:t>
            </w:r>
            <w:r>
              <w:rPr>
                <w:rStyle w:val="10"/>
                <w:rFonts w:ascii="Arial" w:hAnsi="Arial" w:eastAsia="微软雅黑" w:cs="Arial"/>
              </w:rPr>
              <w:t>×</w:t>
            </w:r>
            <w:r>
              <w:rPr>
                <w:rStyle w:val="10"/>
                <w:rFonts w:ascii="Arial" w:hAnsi="Arial" w:cs="Arial"/>
              </w:rPr>
              <w:t>h)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</w:t>
            </w:r>
            <w:r>
              <w:rPr>
                <w:rFonts w:ascii="Arial" w:hAnsi="Arial" w:cs="Arial"/>
                <w:szCs w:val="21"/>
                <w:vertAlign w:val="subscript"/>
              </w:rPr>
              <w:t>max</w:t>
            </w:r>
            <w:r>
              <w:rPr>
                <w:rFonts w:ascii="Arial" w:hAnsi="Arial" w:cs="Arial"/>
                <w:szCs w:val="21"/>
              </w:rPr>
              <w:t>(mg/L)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</w:pPr>
            <w:r>
              <w:rPr>
                <w:rFonts w:ascii="Arial" w:hAnsi="Arial" w:cs="Arial"/>
                <w:szCs w:val="21"/>
              </w:rPr>
              <w:t>CL(L/h/kg)</w:t>
            </w:r>
          </w:p>
        </w:tc>
        <w:tc>
          <w:tcPr>
            <w:tcW w:w="426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Style w:val="10"/>
                <w:rFonts w:ascii="Arial" w:hAnsi="Arial" w:cs="Arial"/>
              </w:rPr>
            </w:pPr>
            <w:r>
              <w:rPr>
                <w:rStyle w:val="10"/>
                <w:rFonts w:ascii="Arial" w:hAnsi="Arial" w:cs="Arial"/>
              </w:rPr>
              <w:t>0.191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Style w:val="10"/>
                <w:rFonts w:ascii="Arial" w:hAnsi="Arial" w:cs="Arial"/>
              </w:rPr>
            </w:pPr>
            <w:r>
              <w:rPr>
                <w:rStyle w:val="10"/>
                <w:rFonts w:ascii="Arial" w:hAnsi="Arial" w:cs="Arial"/>
              </w:rPr>
              <w:t>4.654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Style w:val="10"/>
                <w:rFonts w:ascii="Arial" w:hAnsi="Arial" w:cs="Arial"/>
              </w:rPr>
            </w:pPr>
            <w:r>
              <w:rPr>
                <w:rStyle w:val="10"/>
                <w:rFonts w:ascii="Arial" w:hAnsi="Arial" w:cs="Arial"/>
              </w:rPr>
              <w:t>3.737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Style w:val="10"/>
                <w:rFonts w:ascii="Arial" w:hAnsi="Arial" w:cs="Arial"/>
              </w:rPr>
            </w:pPr>
            <w:r>
              <w:rPr>
                <w:rStyle w:val="10"/>
                <w:rFonts w:ascii="Arial" w:hAnsi="Arial" w:cs="Arial"/>
              </w:rPr>
              <w:t>2.245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textAlignment w:val="auto"/>
              <w:rPr>
                <w:rStyle w:val="10"/>
                <w:rFonts w:ascii="Arial" w:hAnsi="Arial" w:cs="Arial"/>
              </w:rPr>
            </w:pPr>
            <w:r>
              <w:rPr>
                <w:rStyle w:val="10"/>
                <w:rFonts w:ascii="Arial" w:hAnsi="Arial" w:cs="Arial"/>
              </w:rPr>
              <w:t>5.352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Gulliv-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vGulliv-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S1MDOwMDS2NDG0NDdU0lEKTi0uzszPAykwqQUAC4gBwi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1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05sds0t52azroer0pbx2peqpftrvaedaeza&quot;&gt;123&lt;record-ids&gt;&lt;item&gt;52&lt;/item&gt;&lt;item&gt;53&lt;/item&gt;&lt;/record-ids&gt;&lt;/item&gt;&lt;/Libraries&gt;"/>
  </w:docVars>
  <w:rsids>
    <w:rsidRoot w:val="2D48144F"/>
    <w:rsid w:val="00075484"/>
    <w:rsid w:val="000A4F26"/>
    <w:rsid w:val="000F05B5"/>
    <w:rsid w:val="001168EF"/>
    <w:rsid w:val="003043AB"/>
    <w:rsid w:val="003276DA"/>
    <w:rsid w:val="00340D61"/>
    <w:rsid w:val="00362C2B"/>
    <w:rsid w:val="0037479E"/>
    <w:rsid w:val="003C00E9"/>
    <w:rsid w:val="003F0627"/>
    <w:rsid w:val="004B6D4C"/>
    <w:rsid w:val="00556BCC"/>
    <w:rsid w:val="0057005F"/>
    <w:rsid w:val="006B1F7C"/>
    <w:rsid w:val="00717FD8"/>
    <w:rsid w:val="00752696"/>
    <w:rsid w:val="00785A57"/>
    <w:rsid w:val="007A0B31"/>
    <w:rsid w:val="0092119B"/>
    <w:rsid w:val="00935D6D"/>
    <w:rsid w:val="009410AA"/>
    <w:rsid w:val="009B63C6"/>
    <w:rsid w:val="009F17FE"/>
    <w:rsid w:val="00AC5AB4"/>
    <w:rsid w:val="00B561FA"/>
    <w:rsid w:val="00BF1C5E"/>
    <w:rsid w:val="00CA2E4B"/>
    <w:rsid w:val="00CB4A13"/>
    <w:rsid w:val="00D72F47"/>
    <w:rsid w:val="00E50253"/>
    <w:rsid w:val="00FD295C"/>
    <w:rsid w:val="00FF7AD5"/>
    <w:rsid w:val="037D2395"/>
    <w:rsid w:val="0A9B6453"/>
    <w:rsid w:val="0D11661B"/>
    <w:rsid w:val="0E0917B7"/>
    <w:rsid w:val="111827E8"/>
    <w:rsid w:val="12375C0D"/>
    <w:rsid w:val="12E01924"/>
    <w:rsid w:val="15557480"/>
    <w:rsid w:val="160550C9"/>
    <w:rsid w:val="172760F4"/>
    <w:rsid w:val="17E112AA"/>
    <w:rsid w:val="187D7BCD"/>
    <w:rsid w:val="188E75F7"/>
    <w:rsid w:val="18DD61AE"/>
    <w:rsid w:val="1B3C232D"/>
    <w:rsid w:val="1CF87C86"/>
    <w:rsid w:val="1F74789B"/>
    <w:rsid w:val="203C73BC"/>
    <w:rsid w:val="213B6367"/>
    <w:rsid w:val="21FC1C01"/>
    <w:rsid w:val="261A4BAE"/>
    <w:rsid w:val="2659407F"/>
    <w:rsid w:val="28A32C4B"/>
    <w:rsid w:val="29FA282B"/>
    <w:rsid w:val="2C4E3E93"/>
    <w:rsid w:val="2D004D70"/>
    <w:rsid w:val="2D1265F1"/>
    <w:rsid w:val="2D304217"/>
    <w:rsid w:val="2D48144F"/>
    <w:rsid w:val="2E283A51"/>
    <w:rsid w:val="2E881622"/>
    <w:rsid w:val="2EBD258D"/>
    <w:rsid w:val="2F7C08D9"/>
    <w:rsid w:val="2F7E7F6E"/>
    <w:rsid w:val="2FA653B8"/>
    <w:rsid w:val="30126165"/>
    <w:rsid w:val="3075253D"/>
    <w:rsid w:val="30BE4502"/>
    <w:rsid w:val="31F34794"/>
    <w:rsid w:val="31F509CB"/>
    <w:rsid w:val="32670A3A"/>
    <w:rsid w:val="32690A61"/>
    <w:rsid w:val="33A962C9"/>
    <w:rsid w:val="38BC5693"/>
    <w:rsid w:val="39B72DD3"/>
    <w:rsid w:val="39C173D5"/>
    <w:rsid w:val="3AF70BD4"/>
    <w:rsid w:val="3C8F37BA"/>
    <w:rsid w:val="3CE05DC4"/>
    <w:rsid w:val="3DB963A0"/>
    <w:rsid w:val="3DD42A2E"/>
    <w:rsid w:val="3EAF52E8"/>
    <w:rsid w:val="3EF22E35"/>
    <w:rsid w:val="3FDB4A82"/>
    <w:rsid w:val="3FFC494F"/>
    <w:rsid w:val="408056BB"/>
    <w:rsid w:val="40C5625C"/>
    <w:rsid w:val="412D35A2"/>
    <w:rsid w:val="41A86E73"/>
    <w:rsid w:val="43367A90"/>
    <w:rsid w:val="44246DFF"/>
    <w:rsid w:val="471F4FF3"/>
    <w:rsid w:val="486B6EDA"/>
    <w:rsid w:val="48792256"/>
    <w:rsid w:val="49CD4408"/>
    <w:rsid w:val="4B82207D"/>
    <w:rsid w:val="4CC15367"/>
    <w:rsid w:val="4D740C0F"/>
    <w:rsid w:val="4E9E163B"/>
    <w:rsid w:val="4FC40EBC"/>
    <w:rsid w:val="53266552"/>
    <w:rsid w:val="55885CEB"/>
    <w:rsid w:val="56322EA4"/>
    <w:rsid w:val="56AB52C9"/>
    <w:rsid w:val="58241437"/>
    <w:rsid w:val="59F478F2"/>
    <w:rsid w:val="5B525C87"/>
    <w:rsid w:val="5B997251"/>
    <w:rsid w:val="5C7C2736"/>
    <w:rsid w:val="5DD134F8"/>
    <w:rsid w:val="5F117B58"/>
    <w:rsid w:val="60D64C64"/>
    <w:rsid w:val="61490FC9"/>
    <w:rsid w:val="62DC2BB8"/>
    <w:rsid w:val="64600B26"/>
    <w:rsid w:val="65AB0328"/>
    <w:rsid w:val="65DD51BE"/>
    <w:rsid w:val="67A70DC7"/>
    <w:rsid w:val="67DD7C46"/>
    <w:rsid w:val="682575C3"/>
    <w:rsid w:val="6B3D44FB"/>
    <w:rsid w:val="6B70538D"/>
    <w:rsid w:val="6CC41712"/>
    <w:rsid w:val="6CF0373E"/>
    <w:rsid w:val="6D4A78AB"/>
    <w:rsid w:val="6DAD5CE1"/>
    <w:rsid w:val="6DDB5076"/>
    <w:rsid w:val="6EE5159D"/>
    <w:rsid w:val="6FA841C0"/>
    <w:rsid w:val="701D7AED"/>
    <w:rsid w:val="712F3EBC"/>
    <w:rsid w:val="71892EC6"/>
    <w:rsid w:val="72BA5B78"/>
    <w:rsid w:val="73E70E18"/>
    <w:rsid w:val="749F6347"/>
    <w:rsid w:val="7528245B"/>
    <w:rsid w:val="75C31EEC"/>
    <w:rsid w:val="77980A6E"/>
    <w:rsid w:val="77C813F0"/>
    <w:rsid w:val="79BD4620"/>
    <w:rsid w:val="7A170C50"/>
    <w:rsid w:val="7C330017"/>
    <w:rsid w:val="7DAA4869"/>
    <w:rsid w:val="7DAA5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qFormat/>
    <w:uiPriority w:val="0"/>
    <w:pPr>
      <w:jc w:val="left"/>
    </w:pPr>
  </w:style>
  <w:style w:type="paragraph" w:styleId="3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qFormat/>
    <w:uiPriority w:val="0"/>
    <w:rPr>
      <w:b/>
      <w:bCs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styleId="10">
    <w:name w:val="annotation reference"/>
    <w:basedOn w:val="8"/>
    <w:qFormat/>
    <w:uiPriority w:val="0"/>
    <w:rPr>
      <w:sz w:val="21"/>
      <w:szCs w:val="21"/>
    </w:rPr>
  </w:style>
  <w:style w:type="character" w:customStyle="1" w:styleId="11">
    <w:name w:val="批注文字 字符"/>
    <w:basedOn w:val="8"/>
    <w:link w:val="2"/>
    <w:qFormat/>
    <w:uiPriority w:val="0"/>
    <w:rPr>
      <w:kern w:val="2"/>
      <w:sz w:val="21"/>
      <w:szCs w:val="24"/>
    </w:rPr>
  </w:style>
  <w:style w:type="character" w:customStyle="1" w:styleId="12">
    <w:name w:val="批注主题 字符"/>
    <w:basedOn w:val="11"/>
    <w:link w:val="5"/>
    <w:qFormat/>
    <w:uiPriority w:val="0"/>
    <w:rPr>
      <w:b/>
      <w:bCs/>
      <w:kern w:val="2"/>
      <w:sz w:val="21"/>
      <w:szCs w:val="24"/>
    </w:rPr>
  </w:style>
  <w:style w:type="paragraph" w:customStyle="1" w:styleId="13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4">
    <w:name w:val="页眉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8"/>
    <w:link w:val="3"/>
    <w:qFormat/>
    <w:uiPriority w:val="0"/>
    <w:rPr>
      <w:kern w:val="2"/>
      <w:sz w:val="18"/>
      <w:szCs w:val="18"/>
    </w:rPr>
  </w:style>
  <w:style w:type="paragraph" w:customStyle="1" w:styleId="16">
    <w:name w:val="EndNote Bibliography Title"/>
    <w:basedOn w:val="1"/>
    <w:link w:val="17"/>
    <w:qFormat/>
    <w:uiPriority w:val="0"/>
    <w:pPr>
      <w:jc w:val="center"/>
    </w:pPr>
    <w:rPr>
      <w:rFonts w:ascii="Calibri" w:hAnsi="Calibri" w:cs="Calibri"/>
      <w:sz w:val="20"/>
    </w:rPr>
  </w:style>
  <w:style w:type="character" w:customStyle="1" w:styleId="17">
    <w:name w:val="EndNote Bibliography Title 字符"/>
    <w:basedOn w:val="8"/>
    <w:link w:val="16"/>
    <w:qFormat/>
    <w:uiPriority w:val="0"/>
    <w:rPr>
      <w:rFonts w:ascii="Calibri" w:hAnsi="Calibri" w:cs="Calibri" w:eastAsiaTheme="minorEastAsia"/>
      <w:kern w:val="2"/>
      <w:szCs w:val="24"/>
    </w:rPr>
  </w:style>
  <w:style w:type="paragraph" w:customStyle="1" w:styleId="18">
    <w:name w:val="EndNote Bibliography"/>
    <w:basedOn w:val="1"/>
    <w:link w:val="19"/>
    <w:qFormat/>
    <w:uiPriority w:val="0"/>
    <w:rPr>
      <w:rFonts w:ascii="Calibri" w:hAnsi="Calibri" w:cs="Calibri"/>
      <w:sz w:val="20"/>
    </w:rPr>
  </w:style>
  <w:style w:type="character" w:customStyle="1" w:styleId="19">
    <w:name w:val="EndNote Bibliography 字符"/>
    <w:basedOn w:val="8"/>
    <w:link w:val="18"/>
    <w:qFormat/>
    <w:uiPriority w:val="0"/>
    <w:rPr>
      <w:rFonts w:ascii="Calibri" w:hAnsi="Calibri" w:cs="Calibri" w:eastAsiaTheme="minorEastAsia"/>
      <w:kern w:val="2"/>
      <w:szCs w:val="24"/>
    </w:rPr>
  </w:style>
  <w:style w:type="character" w:customStyle="1" w:styleId="20">
    <w:name w:val="15"/>
    <w:basedOn w:val="8"/>
    <w:qFormat/>
    <w:uiPriority w:val="0"/>
    <w:rPr>
      <w:rFonts w:hint="default" w:ascii="Times New Roman" w:hAnsi="Times New Roman" w:cs="Times New Roman"/>
    </w:rPr>
  </w:style>
  <w:style w:type="character" w:customStyle="1" w:styleId="21">
    <w:name w:val="16"/>
    <w:basedOn w:val="8"/>
    <w:qFormat/>
    <w:uiPriority w:val="0"/>
    <w:rPr>
      <w:rFonts w:hint="default" w:ascii="Times New Roman" w:hAnsi="Times New Roman" w:cs="Times New Roman"/>
      <w:color w:val="0000FF"/>
      <w:u w:val="single"/>
    </w:rPr>
  </w:style>
  <w:style w:type="paragraph" w:customStyle="1" w:styleId="22">
    <w:name w:val="RSC H01 Paper Title"/>
    <w:basedOn w:val="1"/>
    <w:next w:val="1"/>
    <w:qFormat/>
    <w:uiPriority w:val="0"/>
    <w:pPr>
      <w:tabs>
        <w:tab w:val="left" w:pos="284"/>
      </w:tabs>
      <w:spacing w:before="400" w:after="160"/>
    </w:pPr>
    <w:rPr>
      <w:rFonts w:cs="Times New Roman"/>
      <w:b/>
      <w:sz w:val="29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1117</Words>
  <Characters>6372</Characters>
  <Lines>53</Lines>
  <Paragraphs>14</Paragraphs>
  <TotalTime>6</TotalTime>
  <ScaleCrop>false</ScaleCrop>
  <LinksUpToDate>false</LinksUpToDate>
  <CharactersWithSpaces>7475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2022-03-17T23:04:00Z</dcterms:created>
  <dc:creator>Yn.clown</dc:creator>
  <cp:lastModifiedBy>Yn.clown</cp:lastModifiedBy>
  <dcterms:modified xsi:type="dcterms:W3CDTF">2022-03-18T10:32:48Z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5B121084A9FE4B499C02662F7A0FD5DE</vt:lpwstr>
  </property>
</Properties>
</file>