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794A" w14:textId="73110BD7" w:rsidR="00891682" w:rsidRDefault="00891682" w:rsidP="00891682">
      <w:pPr>
        <w:pStyle w:val="Otsikko1"/>
        <w:jc w:val="both"/>
        <w:rPr>
          <w:lang w:val="en-US"/>
        </w:rPr>
      </w:pPr>
      <w:r>
        <w:rPr>
          <w:lang w:val="en-US"/>
        </w:rPr>
        <w:t>Supplemental Tables</w:t>
      </w:r>
    </w:p>
    <w:p w14:paraId="2891C054" w14:textId="77777777" w:rsidR="00802888" w:rsidRPr="00132822" w:rsidRDefault="00802888" w:rsidP="00802888">
      <w:pPr>
        <w:jc w:val="both"/>
        <w:rPr>
          <w:rFonts w:eastAsia="Calibri" w:cs="Times New Roman"/>
          <w:color w:val="000000"/>
          <w:lang w:val="en-US"/>
        </w:rPr>
      </w:pPr>
      <w:r>
        <w:rPr>
          <w:rFonts w:eastAsia="Calibri" w:cs="Times New Roman"/>
          <w:color w:val="000000"/>
          <w:lang w:val="en-US"/>
        </w:rPr>
        <w:t xml:space="preserve">Supplemental </w:t>
      </w:r>
      <w:r w:rsidRPr="00132822">
        <w:rPr>
          <w:rFonts w:eastAsia="Calibri" w:cs="Times New Roman"/>
          <w:color w:val="000000"/>
          <w:lang w:val="en-US"/>
        </w:rPr>
        <w:t xml:space="preserve">Table </w:t>
      </w:r>
      <w:r>
        <w:rPr>
          <w:rFonts w:eastAsia="Calibri" w:cs="Times New Roman"/>
          <w:color w:val="000000"/>
          <w:lang w:val="en-US"/>
        </w:rPr>
        <w:t>1</w:t>
      </w:r>
      <w:r w:rsidRPr="00132822">
        <w:rPr>
          <w:rFonts w:eastAsia="Calibri" w:cs="Times New Roman"/>
          <w:color w:val="000000"/>
          <w:lang w:val="en-US"/>
        </w:rPr>
        <w:t xml:space="preserve">. Examples of </w:t>
      </w:r>
      <w:r>
        <w:rPr>
          <w:rFonts w:eastAsia="Calibri" w:cs="Times New Roman"/>
          <w:color w:val="000000"/>
          <w:lang w:val="en-US"/>
        </w:rPr>
        <w:t xml:space="preserve">eukaryotic viral DNA </w:t>
      </w:r>
      <w:proofErr w:type="spellStart"/>
      <w:r>
        <w:rPr>
          <w:rFonts w:eastAsia="Calibri" w:cs="Times New Roman"/>
          <w:color w:val="000000"/>
          <w:lang w:val="en-US"/>
        </w:rPr>
        <w:t>prevalences</w:t>
      </w:r>
      <w:proofErr w:type="spellEnd"/>
      <w:r w:rsidRPr="00132822">
        <w:rPr>
          <w:rFonts w:eastAsia="Calibri" w:cs="Times New Roman"/>
          <w:color w:val="000000"/>
          <w:lang w:val="en-US"/>
        </w:rPr>
        <w:t xml:space="preserve"> reported in </w:t>
      </w:r>
      <w:proofErr w:type="spellStart"/>
      <w:r w:rsidRPr="00132822">
        <w:rPr>
          <w:rFonts w:eastAsia="Calibri" w:cs="Times New Roman"/>
          <w:color w:val="000000"/>
          <w:lang w:val="en-US"/>
        </w:rPr>
        <w:t>virome</w:t>
      </w:r>
      <w:proofErr w:type="spellEnd"/>
      <w:r w:rsidRPr="00132822">
        <w:rPr>
          <w:rFonts w:eastAsia="Calibri" w:cs="Times New Roman"/>
          <w:color w:val="000000"/>
          <w:lang w:val="en-US"/>
        </w:rPr>
        <w:t xml:space="preserve"> studies</w:t>
      </w:r>
    </w:p>
    <w:tbl>
      <w:tblPr>
        <w:tblStyle w:val="TaulukkoRuudukko"/>
        <w:tblW w:w="10065" w:type="dxa"/>
        <w:tblInd w:w="-5" w:type="dxa"/>
        <w:tblLayout w:type="fixed"/>
        <w:tblLook w:val="04A0" w:firstRow="1" w:lastRow="0" w:firstColumn="1" w:lastColumn="0" w:noHBand="0" w:noVBand="1"/>
      </w:tblPr>
      <w:tblGrid>
        <w:gridCol w:w="851"/>
        <w:gridCol w:w="850"/>
        <w:gridCol w:w="851"/>
        <w:gridCol w:w="1134"/>
        <w:gridCol w:w="1843"/>
        <w:gridCol w:w="1701"/>
        <w:gridCol w:w="1417"/>
        <w:gridCol w:w="213"/>
        <w:gridCol w:w="1205"/>
      </w:tblGrid>
      <w:tr w:rsidR="00802888" w:rsidRPr="00802888" w14:paraId="61D5543D" w14:textId="77777777" w:rsidTr="002342FE">
        <w:tc>
          <w:tcPr>
            <w:tcW w:w="851" w:type="dxa"/>
          </w:tcPr>
          <w:p w14:paraId="7A8C165A"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Study</w:t>
            </w:r>
            <w:proofErr w:type="spellEnd"/>
          </w:p>
        </w:tc>
        <w:tc>
          <w:tcPr>
            <w:tcW w:w="850" w:type="dxa"/>
          </w:tcPr>
          <w:p w14:paraId="6B42719B" w14:textId="77777777" w:rsidR="00802888" w:rsidRDefault="00802888" w:rsidP="002342FE">
            <w:pPr>
              <w:spacing w:line="240" w:lineRule="auto"/>
              <w:rPr>
                <w:rFonts w:cs="Arial"/>
                <w:sz w:val="16"/>
                <w:szCs w:val="16"/>
              </w:rPr>
            </w:pPr>
            <w:proofErr w:type="spellStart"/>
            <w:r w:rsidRPr="00E44711">
              <w:rPr>
                <w:rFonts w:cs="Arial"/>
                <w:sz w:val="16"/>
                <w:szCs w:val="16"/>
              </w:rPr>
              <w:t>Organ</w:t>
            </w:r>
            <w:proofErr w:type="spellEnd"/>
            <w:r w:rsidRPr="00E44711">
              <w:rPr>
                <w:rFonts w:cs="Arial"/>
                <w:sz w:val="16"/>
                <w:szCs w:val="16"/>
              </w:rPr>
              <w:t>/</w:t>
            </w:r>
          </w:p>
          <w:p w14:paraId="6F0D2B56"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system</w:t>
            </w:r>
            <w:proofErr w:type="spellEnd"/>
          </w:p>
        </w:tc>
        <w:tc>
          <w:tcPr>
            <w:tcW w:w="851" w:type="dxa"/>
          </w:tcPr>
          <w:p w14:paraId="67446EF6"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Sample</w:t>
            </w:r>
            <w:proofErr w:type="spellEnd"/>
            <w:r w:rsidRPr="00E44711">
              <w:rPr>
                <w:rFonts w:cs="Arial"/>
                <w:sz w:val="16"/>
                <w:szCs w:val="16"/>
              </w:rPr>
              <w:t xml:space="preserve"> </w:t>
            </w:r>
            <w:proofErr w:type="spellStart"/>
            <w:r w:rsidRPr="00E44711">
              <w:rPr>
                <w:rFonts w:cs="Arial"/>
                <w:sz w:val="16"/>
                <w:szCs w:val="16"/>
              </w:rPr>
              <w:t>type</w:t>
            </w:r>
            <w:proofErr w:type="spellEnd"/>
          </w:p>
        </w:tc>
        <w:tc>
          <w:tcPr>
            <w:tcW w:w="1134" w:type="dxa"/>
          </w:tcPr>
          <w:p w14:paraId="4761C2C9"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Enrichment</w:t>
            </w:r>
            <w:proofErr w:type="spellEnd"/>
            <w:r w:rsidRPr="00E44711">
              <w:rPr>
                <w:rFonts w:cs="Arial"/>
                <w:sz w:val="16"/>
                <w:szCs w:val="16"/>
              </w:rPr>
              <w:t xml:space="preserve"> </w:t>
            </w:r>
            <w:proofErr w:type="spellStart"/>
            <w:r w:rsidRPr="00E44711">
              <w:rPr>
                <w:rFonts w:cs="Arial"/>
                <w:sz w:val="16"/>
                <w:szCs w:val="16"/>
              </w:rPr>
              <w:t>methods</w:t>
            </w:r>
            <w:proofErr w:type="spellEnd"/>
            <w:r w:rsidRPr="00E44711">
              <w:rPr>
                <w:rFonts w:cs="Arial"/>
                <w:sz w:val="16"/>
                <w:szCs w:val="16"/>
              </w:rPr>
              <w:t xml:space="preserve"> / </w:t>
            </w:r>
            <w:proofErr w:type="spellStart"/>
            <w:r w:rsidRPr="00E44711">
              <w:rPr>
                <w:rFonts w:cs="Arial"/>
                <w:sz w:val="16"/>
                <w:szCs w:val="16"/>
              </w:rPr>
              <w:t>pooling</w:t>
            </w:r>
            <w:proofErr w:type="spellEnd"/>
            <w:r w:rsidRPr="00E44711">
              <w:rPr>
                <w:rFonts w:cs="Arial"/>
                <w:sz w:val="16"/>
                <w:szCs w:val="16"/>
              </w:rPr>
              <w:t xml:space="preserve"> *</w:t>
            </w:r>
          </w:p>
        </w:tc>
        <w:tc>
          <w:tcPr>
            <w:tcW w:w="1843" w:type="dxa"/>
          </w:tcPr>
          <w:p w14:paraId="0C7A76AF" w14:textId="77777777" w:rsidR="00802888" w:rsidRPr="00E44711" w:rsidRDefault="00802888" w:rsidP="002342FE">
            <w:pPr>
              <w:spacing w:line="240" w:lineRule="auto"/>
              <w:rPr>
                <w:rFonts w:cs="Arial"/>
                <w:sz w:val="16"/>
                <w:szCs w:val="16"/>
              </w:rPr>
            </w:pPr>
            <w:r w:rsidRPr="00E44711">
              <w:rPr>
                <w:rFonts w:cs="Arial"/>
                <w:sz w:val="16"/>
                <w:szCs w:val="16"/>
              </w:rPr>
              <w:t xml:space="preserve">Library </w:t>
            </w:r>
            <w:proofErr w:type="spellStart"/>
            <w:r w:rsidRPr="00E44711">
              <w:rPr>
                <w:rFonts w:cs="Arial"/>
                <w:sz w:val="16"/>
                <w:szCs w:val="16"/>
              </w:rPr>
              <w:t>preparation</w:t>
            </w:r>
            <w:proofErr w:type="spellEnd"/>
            <w:r w:rsidRPr="00E44711">
              <w:rPr>
                <w:rFonts w:cs="Arial"/>
                <w:sz w:val="16"/>
                <w:szCs w:val="16"/>
              </w:rPr>
              <w:t xml:space="preserve"> + </w:t>
            </w:r>
            <w:proofErr w:type="spellStart"/>
            <w:r w:rsidRPr="00E44711">
              <w:rPr>
                <w:rFonts w:cs="Arial"/>
                <w:sz w:val="16"/>
                <w:szCs w:val="16"/>
              </w:rPr>
              <w:t>sequencing</w:t>
            </w:r>
            <w:proofErr w:type="spellEnd"/>
            <w:r w:rsidRPr="00E44711">
              <w:rPr>
                <w:rFonts w:cs="Arial"/>
                <w:sz w:val="16"/>
                <w:szCs w:val="16"/>
              </w:rPr>
              <w:t xml:space="preserve"> </w:t>
            </w:r>
            <w:proofErr w:type="spellStart"/>
            <w:r w:rsidRPr="00E44711">
              <w:rPr>
                <w:rFonts w:cs="Arial"/>
                <w:sz w:val="16"/>
                <w:szCs w:val="16"/>
              </w:rPr>
              <w:t>platforms</w:t>
            </w:r>
            <w:proofErr w:type="spellEnd"/>
          </w:p>
        </w:tc>
        <w:tc>
          <w:tcPr>
            <w:tcW w:w="1701" w:type="dxa"/>
          </w:tcPr>
          <w:p w14:paraId="5127CCFF"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Cohort</w:t>
            </w:r>
            <w:proofErr w:type="spellEnd"/>
          </w:p>
        </w:tc>
        <w:tc>
          <w:tcPr>
            <w:tcW w:w="2835" w:type="dxa"/>
            <w:gridSpan w:val="3"/>
          </w:tcPr>
          <w:p w14:paraId="7EF04007"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Human DNA virus prevalence ca.</w:t>
            </w:r>
          </w:p>
        </w:tc>
      </w:tr>
      <w:tr w:rsidR="00802888" w:rsidRPr="00802888" w14:paraId="53191AB8" w14:textId="77777777" w:rsidTr="002342FE">
        <w:tc>
          <w:tcPr>
            <w:tcW w:w="851" w:type="dxa"/>
          </w:tcPr>
          <w:p w14:paraId="500D8033" w14:textId="77777777" w:rsidR="00802888" w:rsidRPr="00E44711" w:rsidRDefault="00802888" w:rsidP="002342FE">
            <w:pPr>
              <w:spacing w:line="240" w:lineRule="auto"/>
              <w:rPr>
                <w:rFonts w:cs="Arial"/>
                <w:sz w:val="16"/>
                <w:szCs w:val="16"/>
              </w:rPr>
            </w:pPr>
            <w:r w:rsidRPr="00E44711">
              <w:rPr>
                <w:rFonts w:cs="Arial"/>
                <w:sz w:val="16"/>
                <w:szCs w:val="16"/>
              </w:rPr>
              <w:fldChar w:fldCharType="begin" w:fldLock="1"/>
            </w:r>
            <w:r>
              <w:rPr>
                <w:rFonts w:cs="Arial"/>
                <w:sz w:val="16"/>
                <w:szCs w:val="16"/>
              </w:rPr>
              <w:instrText>ADDIN CSL_CITATION {"citationItems":[{"id":"ITEM-1","itemData":{"DOI":"10.1371/journal.ppat.1006292","ISSN":"15537374","PMID":"28328962","abstract":"The characterization of the blood virome is important for the safety of blood-derived transfusion products, and for the identification of emerging pathogens. We explored non-human sequence data from whole-genome sequencing of blood from 8,240 individuals, none of whom were ascertained for any infectious disease. Viral sequences were extracted from the pool of sequence reads that did not map to the human reference genome. Analyses sifted through close to 1 Petabyte of sequence data and performed 0.5 trillion similarity searches. With a lower bound for identification of 2 viral genomes/100,000 cells, we mapped sequences to 94 different viruses, including sequences from 19 human DNA viruses, proviruses and RNA viruses (herpesviruses, anelloviruses, papillomaviruses, three polyomaviruses, adenovirus, HIV, HTLV, hepatitis B, hepatitis C, parvovirus B19, and influenza virus) in 42% of the study participants. Of possible relevance to transfusion medicine, we identified Merkel cell polyomavirus in 49 individuals, papillomavirus in blood of 13 individuals, parvovirus B19 in 6 individuals, and the presence of herpesvirus 8 in 3 individuals. The presence of DNA sequences from two RNA viruses was unexpected: Hepatitis C virus is revealing of an integration event, while the influenza virus sequence resulted from immunization with a DNA vaccine. Age, sex and ancestry contributed significantly to the prevalence of infection. The remaining 75 viruses mostly reflect extensive contamination of commercial reagents and from the environment. These technical problems represent a major challenge for the identification of novel human pathogens. Increasing availability of human whole-genome sequences will contribute substantial amounts of data on the composition of the normal and pathogenic human blood virome. Distinguishing contaminants from real human viruses is challenging.","author":[{"dropping-particle":"","family":"Moustafa","given":"Ahmed","non-dropping-particle":"","parse-names":false,"suffix":""},{"dropping-particle":"","family":"Xie","given":"Chao","non-dropping-particle":"","parse-names":false,"suffix":""},{"dropping-particle":"","family":"Kirkness","given":"Ewen","non-dropping-particle":"","parse-names":false,"suffix":""},{"dropping-particle":"","family":"Biggs","given":"William","non-dropping-particle":"","parse-names":false,"suffix":""},{"dropping-particle":"","family":"Wong","given":"Emily","non-dropping-particle":"","parse-names":false,"suffix":""},{"dropping-particle":"","family":"Turpaz","given":"Yaron","non-dropping-particle":"","parse-names":false,"suffix":""},{"dropping-particle":"","family":"Bloom","given":"Kenneth","non-dropping-particle":"","parse-names":false,"suffix":""},{"dropping-particle":"","family":"Delwart","given":"Eric","non-dropping-particle":"","parse-names":false,"suffix":""},{"dropping-particle":"","family":"Nelson","given":"Karen E.","non-dropping-particle":"","parse-names":false,"suffix":""},{"dropping-particle":"","family":"Venter","given":"J. Craig","non-dropping-particle":"","parse-names":false,"suffix":""},{"dropping-particle":"","family":"Telenti","given":"Amalio","non-dropping-particle":"","parse-names":false,"suffix":""}],"container-title":"PLoS Pathogens","editor":[{"dropping-particle":"","family":"Belshaw","given":"Robert","non-dropping-particle":"","parse-names":false,"suffix":""}],"id":"ITEM-1","issue":"3","issued":{"date-parts":[["2017","3","22"]]},"page":"e1006292","publisher":"Public Library of Science","title":"The blood DNA virome in 8,000 humans","type":"article-journal","volume":"13"},"uris":["http://www.mendeley.com/documents/?uuid=3ed95ff0-80f5-3c96-bd23-6c2d5bce8a6b"]}],"mendeley":{"formattedCitation":"[1]","plainTextFormattedCitation":"[1]","previouslyFormattedCitation":"(Moustafa et al., 2017)"},"properties":{"noteIndex":0},"schema":"https://github.com/citation-style-language/schema/raw/master/csl-citation.json"}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rPr>
              <w:t>[1]</w:t>
            </w:r>
            <w:r w:rsidRPr="00E44711">
              <w:rPr>
                <w:rFonts w:cs="Arial"/>
                <w:sz w:val="16"/>
                <w:szCs w:val="16"/>
              </w:rPr>
              <w:fldChar w:fldCharType="end"/>
            </w:r>
          </w:p>
        </w:tc>
        <w:tc>
          <w:tcPr>
            <w:tcW w:w="850" w:type="dxa"/>
          </w:tcPr>
          <w:p w14:paraId="30FC0EC7"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blood</w:t>
            </w:r>
            <w:proofErr w:type="spellEnd"/>
          </w:p>
        </w:tc>
        <w:tc>
          <w:tcPr>
            <w:tcW w:w="851" w:type="dxa"/>
          </w:tcPr>
          <w:p w14:paraId="50CFB17F"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whole</w:t>
            </w:r>
            <w:proofErr w:type="spellEnd"/>
            <w:r w:rsidRPr="00E44711">
              <w:rPr>
                <w:rFonts w:cs="Arial"/>
                <w:sz w:val="16"/>
                <w:szCs w:val="16"/>
              </w:rPr>
              <w:t xml:space="preserve"> </w:t>
            </w:r>
            <w:proofErr w:type="spellStart"/>
            <w:r w:rsidRPr="00E44711">
              <w:rPr>
                <w:rFonts w:cs="Arial"/>
                <w:sz w:val="16"/>
                <w:szCs w:val="16"/>
              </w:rPr>
              <w:t>blood</w:t>
            </w:r>
            <w:proofErr w:type="spellEnd"/>
          </w:p>
        </w:tc>
        <w:tc>
          <w:tcPr>
            <w:tcW w:w="1134" w:type="dxa"/>
          </w:tcPr>
          <w:p w14:paraId="4AD940BC" w14:textId="77777777" w:rsidR="00802888" w:rsidRPr="00E44711" w:rsidRDefault="00802888" w:rsidP="002342FE">
            <w:pPr>
              <w:spacing w:line="240" w:lineRule="auto"/>
              <w:rPr>
                <w:rFonts w:cs="Arial"/>
                <w:sz w:val="16"/>
                <w:szCs w:val="16"/>
              </w:rPr>
            </w:pPr>
            <w:r w:rsidRPr="00E44711">
              <w:rPr>
                <w:rFonts w:cs="Arial"/>
                <w:sz w:val="16"/>
                <w:szCs w:val="16"/>
              </w:rPr>
              <w:t xml:space="preserve">No </w:t>
            </w:r>
            <w:proofErr w:type="spellStart"/>
            <w:r w:rsidRPr="00E44711">
              <w:rPr>
                <w:rFonts w:cs="Arial"/>
                <w:sz w:val="16"/>
                <w:szCs w:val="16"/>
              </w:rPr>
              <w:t>enrichment</w:t>
            </w:r>
            <w:proofErr w:type="spellEnd"/>
            <w:r w:rsidRPr="00E44711">
              <w:rPr>
                <w:rFonts w:cs="Arial"/>
                <w:sz w:val="16"/>
                <w:szCs w:val="16"/>
              </w:rPr>
              <w:t xml:space="preserve"> / 6-sample </w:t>
            </w:r>
            <w:proofErr w:type="spellStart"/>
            <w:r w:rsidRPr="00E44711">
              <w:rPr>
                <w:rFonts w:cs="Arial"/>
                <w:sz w:val="16"/>
                <w:szCs w:val="16"/>
              </w:rPr>
              <w:t>pools</w:t>
            </w:r>
            <w:proofErr w:type="spellEnd"/>
          </w:p>
        </w:tc>
        <w:tc>
          <w:tcPr>
            <w:tcW w:w="1843" w:type="dxa"/>
          </w:tcPr>
          <w:p w14:paraId="0B953FD8" w14:textId="77777777" w:rsidR="00802888" w:rsidRPr="00E44711" w:rsidRDefault="00802888" w:rsidP="002342FE">
            <w:pPr>
              <w:spacing w:line="240" w:lineRule="auto"/>
              <w:rPr>
                <w:rFonts w:cs="Arial"/>
                <w:sz w:val="16"/>
                <w:szCs w:val="16"/>
              </w:rPr>
            </w:pPr>
            <w:proofErr w:type="spellStart"/>
            <w:r w:rsidRPr="00E44711">
              <w:rPr>
                <w:rFonts w:cs="Arial"/>
                <w:sz w:val="16"/>
                <w:szCs w:val="16"/>
              </w:rPr>
              <w:t>TruSeq</w:t>
            </w:r>
            <w:proofErr w:type="spellEnd"/>
            <w:r w:rsidRPr="00E44711">
              <w:rPr>
                <w:rFonts w:cs="Arial"/>
                <w:sz w:val="16"/>
                <w:szCs w:val="16"/>
              </w:rPr>
              <w:t xml:space="preserve"> Nano DNA HT </w:t>
            </w:r>
            <w:proofErr w:type="spellStart"/>
            <w:r w:rsidRPr="00E44711">
              <w:rPr>
                <w:rFonts w:cs="Arial"/>
                <w:sz w:val="16"/>
                <w:szCs w:val="16"/>
              </w:rPr>
              <w:t>kit</w:t>
            </w:r>
            <w:proofErr w:type="spellEnd"/>
            <w:r w:rsidRPr="00E44711">
              <w:rPr>
                <w:rFonts w:cs="Arial"/>
                <w:sz w:val="16"/>
                <w:szCs w:val="16"/>
              </w:rPr>
              <w:t xml:space="preserve"> + </w:t>
            </w:r>
            <w:proofErr w:type="spellStart"/>
            <w:r w:rsidRPr="00E44711">
              <w:rPr>
                <w:rFonts w:cs="Arial"/>
                <w:sz w:val="16"/>
                <w:szCs w:val="16"/>
              </w:rPr>
              <w:t>HiSeqX</w:t>
            </w:r>
            <w:proofErr w:type="spellEnd"/>
            <w:r w:rsidRPr="00E44711">
              <w:rPr>
                <w:rFonts w:cs="Arial"/>
                <w:sz w:val="16"/>
                <w:szCs w:val="16"/>
              </w:rPr>
              <w:t xml:space="preserve"> </w:t>
            </w:r>
            <w:proofErr w:type="spellStart"/>
            <w:r w:rsidRPr="00E44711">
              <w:rPr>
                <w:rFonts w:cs="Arial"/>
                <w:sz w:val="16"/>
                <w:szCs w:val="16"/>
              </w:rPr>
              <w:t>sequencer</w:t>
            </w:r>
            <w:proofErr w:type="spellEnd"/>
            <w:r w:rsidRPr="00E44711">
              <w:rPr>
                <w:rFonts w:cs="Arial"/>
                <w:sz w:val="16"/>
                <w:szCs w:val="16"/>
              </w:rPr>
              <w:t xml:space="preserve"> (</w:t>
            </w:r>
            <w:proofErr w:type="spellStart"/>
            <w:r w:rsidRPr="00E44711">
              <w:rPr>
                <w:rFonts w:cs="Arial"/>
                <w:sz w:val="16"/>
                <w:szCs w:val="16"/>
              </w:rPr>
              <w:t>Illumina</w:t>
            </w:r>
            <w:proofErr w:type="spellEnd"/>
            <w:r w:rsidRPr="00E44711">
              <w:rPr>
                <w:rFonts w:cs="Arial"/>
                <w:sz w:val="16"/>
                <w:szCs w:val="16"/>
              </w:rPr>
              <w:t>)</w:t>
            </w:r>
          </w:p>
        </w:tc>
        <w:tc>
          <w:tcPr>
            <w:tcW w:w="1701" w:type="dxa"/>
          </w:tcPr>
          <w:p w14:paraId="77BF093F" w14:textId="77777777" w:rsidR="00802888" w:rsidRPr="00E44711" w:rsidRDefault="00802888" w:rsidP="002342FE">
            <w:pPr>
              <w:spacing w:line="240" w:lineRule="auto"/>
              <w:rPr>
                <w:rFonts w:cs="Arial"/>
                <w:sz w:val="16"/>
                <w:szCs w:val="16"/>
              </w:rPr>
            </w:pPr>
            <w:r w:rsidRPr="00E44711">
              <w:rPr>
                <w:rFonts w:cs="Arial"/>
                <w:sz w:val="16"/>
                <w:szCs w:val="16"/>
              </w:rPr>
              <w:t xml:space="preserve">8240 </w:t>
            </w:r>
            <w:proofErr w:type="spellStart"/>
            <w:r w:rsidRPr="00E44711">
              <w:rPr>
                <w:rFonts w:cs="Arial"/>
                <w:sz w:val="16"/>
                <w:szCs w:val="16"/>
              </w:rPr>
              <w:t>healthy</w:t>
            </w:r>
            <w:proofErr w:type="spellEnd"/>
            <w:r w:rsidRPr="00E44711">
              <w:rPr>
                <w:rFonts w:cs="Arial"/>
                <w:sz w:val="16"/>
                <w:szCs w:val="16"/>
              </w:rPr>
              <w:t xml:space="preserve"> </w:t>
            </w:r>
            <w:proofErr w:type="spellStart"/>
            <w:r w:rsidRPr="00E44711">
              <w:rPr>
                <w:rFonts w:cs="Arial"/>
                <w:sz w:val="16"/>
                <w:szCs w:val="16"/>
              </w:rPr>
              <w:t>blood</w:t>
            </w:r>
            <w:proofErr w:type="spellEnd"/>
            <w:r w:rsidRPr="00E44711">
              <w:rPr>
                <w:rFonts w:cs="Arial"/>
                <w:sz w:val="16"/>
                <w:szCs w:val="16"/>
              </w:rPr>
              <w:t xml:space="preserve"> </w:t>
            </w:r>
            <w:proofErr w:type="spellStart"/>
            <w:r w:rsidRPr="00E44711">
              <w:rPr>
                <w:rFonts w:cs="Arial"/>
                <w:sz w:val="16"/>
                <w:szCs w:val="16"/>
              </w:rPr>
              <w:t>donors</w:t>
            </w:r>
            <w:proofErr w:type="spellEnd"/>
            <w:r w:rsidRPr="00E44711">
              <w:rPr>
                <w:rFonts w:cs="Arial"/>
                <w:sz w:val="16"/>
                <w:szCs w:val="16"/>
              </w:rPr>
              <w:t xml:space="preserve"> (0-102yr.)</w:t>
            </w:r>
          </w:p>
        </w:tc>
        <w:tc>
          <w:tcPr>
            <w:tcW w:w="1417" w:type="dxa"/>
            <w:tcBorders>
              <w:right w:val="nil"/>
            </w:tcBorders>
          </w:tcPr>
          <w:p w14:paraId="76D2B689" w14:textId="77777777" w:rsidR="00802888" w:rsidRPr="00802888" w:rsidRDefault="00802888" w:rsidP="002342FE">
            <w:pPr>
              <w:spacing w:line="240" w:lineRule="auto"/>
              <w:rPr>
                <w:rFonts w:cs="Arial"/>
                <w:sz w:val="16"/>
                <w:szCs w:val="16"/>
              </w:rPr>
            </w:pPr>
            <w:proofErr w:type="gramStart"/>
            <w:r w:rsidRPr="00802888">
              <w:rPr>
                <w:rFonts w:cs="Arial"/>
                <w:sz w:val="16"/>
                <w:szCs w:val="16"/>
              </w:rPr>
              <w:t>20%</w:t>
            </w:r>
            <w:proofErr w:type="gramEnd"/>
            <w:r w:rsidRPr="00802888">
              <w:rPr>
                <w:rFonts w:cs="Arial"/>
                <w:sz w:val="16"/>
                <w:szCs w:val="16"/>
              </w:rPr>
              <w:t>, HHV-7</w:t>
            </w:r>
          </w:p>
          <w:p w14:paraId="0CB1A154" w14:textId="77777777" w:rsidR="00802888" w:rsidRPr="00802888" w:rsidRDefault="00802888" w:rsidP="002342FE">
            <w:pPr>
              <w:spacing w:line="240" w:lineRule="auto"/>
              <w:rPr>
                <w:rFonts w:cs="Arial"/>
                <w:sz w:val="16"/>
                <w:szCs w:val="16"/>
              </w:rPr>
            </w:pPr>
            <w:proofErr w:type="gramStart"/>
            <w:r w:rsidRPr="00802888">
              <w:rPr>
                <w:rFonts w:cs="Arial"/>
                <w:sz w:val="16"/>
                <w:szCs w:val="16"/>
              </w:rPr>
              <w:t>15%</w:t>
            </w:r>
            <w:proofErr w:type="gramEnd"/>
            <w:r w:rsidRPr="00802888">
              <w:rPr>
                <w:rFonts w:cs="Arial"/>
                <w:sz w:val="16"/>
                <w:szCs w:val="16"/>
              </w:rPr>
              <w:t xml:space="preserve">, EBV </w:t>
            </w:r>
          </w:p>
          <w:p w14:paraId="1586DB3A" w14:textId="77777777" w:rsidR="00802888" w:rsidRPr="00802888" w:rsidRDefault="00802888" w:rsidP="002342FE">
            <w:pPr>
              <w:spacing w:line="240" w:lineRule="auto"/>
              <w:rPr>
                <w:rFonts w:cs="Arial"/>
                <w:sz w:val="16"/>
                <w:szCs w:val="16"/>
              </w:rPr>
            </w:pPr>
            <w:proofErr w:type="gramStart"/>
            <w:r w:rsidRPr="00802888">
              <w:rPr>
                <w:rFonts w:cs="Arial"/>
                <w:sz w:val="16"/>
                <w:szCs w:val="16"/>
              </w:rPr>
              <w:t>9%</w:t>
            </w:r>
            <w:proofErr w:type="gramEnd"/>
            <w:r w:rsidRPr="00802888">
              <w:rPr>
                <w:rFonts w:cs="Arial"/>
                <w:sz w:val="16"/>
                <w:szCs w:val="16"/>
              </w:rPr>
              <w:t xml:space="preserve">, TTV </w:t>
            </w:r>
          </w:p>
          <w:p w14:paraId="7194ED06" w14:textId="77777777" w:rsidR="00802888" w:rsidRPr="00802888" w:rsidRDefault="00802888" w:rsidP="002342FE">
            <w:pPr>
              <w:spacing w:line="240" w:lineRule="auto"/>
              <w:rPr>
                <w:rFonts w:cs="Arial"/>
                <w:sz w:val="16"/>
                <w:szCs w:val="16"/>
              </w:rPr>
            </w:pPr>
            <w:proofErr w:type="gramStart"/>
            <w:r w:rsidRPr="00802888">
              <w:rPr>
                <w:rFonts w:cs="Arial"/>
                <w:sz w:val="16"/>
                <w:szCs w:val="16"/>
              </w:rPr>
              <w:t>5%</w:t>
            </w:r>
            <w:proofErr w:type="gramEnd"/>
            <w:r w:rsidRPr="00802888">
              <w:rPr>
                <w:rFonts w:cs="Arial"/>
                <w:sz w:val="16"/>
                <w:szCs w:val="16"/>
              </w:rPr>
              <w:t>, HHV-6B</w:t>
            </w:r>
          </w:p>
          <w:p w14:paraId="7955FEC8" w14:textId="77777777" w:rsidR="00802888" w:rsidRPr="00802888" w:rsidRDefault="00802888" w:rsidP="002342FE">
            <w:pPr>
              <w:spacing w:line="240" w:lineRule="auto"/>
              <w:rPr>
                <w:rFonts w:cs="Arial"/>
                <w:sz w:val="16"/>
                <w:szCs w:val="16"/>
              </w:rPr>
            </w:pPr>
            <w:proofErr w:type="gramStart"/>
            <w:r w:rsidRPr="00802888">
              <w:rPr>
                <w:rFonts w:cs="Arial"/>
                <w:sz w:val="16"/>
                <w:szCs w:val="16"/>
              </w:rPr>
              <w:t>1%</w:t>
            </w:r>
            <w:proofErr w:type="gramEnd"/>
            <w:r w:rsidRPr="00802888">
              <w:rPr>
                <w:rFonts w:cs="Arial"/>
                <w:sz w:val="16"/>
                <w:szCs w:val="16"/>
              </w:rPr>
              <w:t xml:space="preserve">, HHV-6A  </w:t>
            </w:r>
          </w:p>
        </w:tc>
        <w:tc>
          <w:tcPr>
            <w:tcW w:w="1418" w:type="dxa"/>
            <w:gridSpan w:val="2"/>
            <w:tcBorders>
              <w:left w:val="nil"/>
            </w:tcBorders>
          </w:tcPr>
          <w:p w14:paraId="731C2561" w14:textId="77777777" w:rsidR="00802888" w:rsidRPr="00802888" w:rsidRDefault="00802888" w:rsidP="002342FE">
            <w:pPr>
              <w:spacing w:line="240" w:lineRule="auto"/>
              <w:rPr>
                <w:rFonts w:cs="Arial"/>
                <w:sz w:val="16"/>
                <w:szCs w:val="16"/>
              </w:rPr>
            </w:pPr>
            <w:proofErr w:type="gramStart"/>
            <w:r w:rsidRPr="00802888">
              <w:rPr>
                <w:rFonts w:cs="Arial"/>
                <w:sz w:val="16"/>
                <w:szCs w:val="16"/>
              </w:rPr>
              <w:t>0.6%</w:t>
            </w:r>
            <w:proofErr w:type="gramEnd"/>
            <w:r w:rsidRPr="00802888">
              <w:rPr>
                <w:rFonts w:cs="Arial"/>
                <w:sz w:val="16"/>
                <w:szCs w:val="16"/>
              </w:rPr>
              <w:t xml:space="preserve">, </w:t>
            </w:r>
            <w:proofErr w:type="spellStart"/>
            <w:r w:rsidRPr="00802888">
              <w:rPr>
                <w:rFonts w:cs="Arial"/>
                <w:sz w:val="16"/>
                <w:szCs w:val="16"/>
              </w:rPr>
              <w:t>MCPyV</w:t>
            </w:r>
            <w:proofErr w:type="spellEnd"/>
            <w:r w:rsidRPr="00802888">
              <w:rPr>
                <w:rFonts w:cs="Arial"/>
                <w:sz w:val="16"/>
                <w:szCs w:val="16"/>
              </w:rPr>
              <w:t xml:space="preserve">   </w:t>
            </w:r>
          </w:p>
          <w:p w14:paraId="19D2FBA4" w14:textId="77777777" w:rsidR="00802888" w:rsidRPr="00802888" w:rsidRDefault="00802888" w:rsidP="002342FE">
            <w:pPr>
              <w:spacing w:line="240" w:lineRule="auto"/>
              <w:rPr>
                <w:rFonts w:cs="Arial"/>
                <w:sz w:val="16"/>
                <w:szCs w:val="16"/>
              </w:rPr>
            </w:pPr>
            <w:proofErr w:type="gramStart"/>
            <w:r w:rsidRPr="00802888">
              <w:rPr>
                <w:rFonts w:cs="Arial"/>
                <w:sz w:val="16"/>
                <w:szCs w:val="16"/>
              </w:rPr>
              <w:t>0.4%</w:t>
            </w:r>
            <w:proofErr w:type="gramEnd"/>
            <w:r w:rsidRPr="00802888">
              <w:rPr>
                <w:rFonts w:cs="Arial"/>
                <w:sz w:val="16"/>
                <w:szCs w:val="16"/>
              </w:rPr>
              <w:t>, HCMV</w:t>
            </w:r>
          </w:p>
          <w:p w14:paraId="4E0C90BA" w14:textId="77777777" w:rsidR="00802888" w:rsidRPr="00802888" w:rsidRDefault="00802888" w:rsidP="002342FE">
            <w:pPr>
              <w:spacing w:line="240" w:lineRule="auto"/>
              <w:rPr>
                <w:rFonts w:cs="Arial"/>
                <w:sz w:val="16"/>
                <w:szCs w:val="16"/>
              </w:rPr>
            </w:pPr>
            <w:r w:rsidRPr="00802888">
              <w:rPr>
                <w:rFonts w:cs="Arial"/>
                <w:sz w:val="16"/>
                <w:szCs w:val="16"/>
              </w:rPr>
              <w:t>&lt;</w:t>
            </w:r>
            <w:proofErr w:type="gramStart"/>
            <w:r w:rsidRPr="00802888">
              <w:rPr>
                <w:rFonts w:cs="Arial"/>
                <w:sz w:val="16"/>
                <w:szCs w:val="16"/>
              </w:rPr>
              <w:t>0.1%</w:t>
            </w:r>
            <w:proofErr w:type="gramEnd"/>
            <w:r w:rsidRPr="00802888">
              <w:rPr>
                <w:rFonts w:cs="Arial"/>
                <w:sz w:val="16"/>
                <w:szCs w:val="16"/>
              </w:rPr>
              <w:t xml:space="preserve"> B19V, </w:t>
            </w:r>
            <w:proofErr w:type="spellStart"/>
            <w:r w:rsidRPr="00802888">
              <w:rPr>
                <w:rFonts w:cs="Arial"/>
                <w:sz w:val="16"/>
                <w:szCs w:val="16"/>
              </w:rPr>
              <w:t>AdV</w:t>
            </w:r>
            <w:proofErr w:type="spellEnd"/>
            <w:r w:rsidRPr="00802888">
              <w:rPr>
                <w:rFonts w:cs="Arial"/>
                <w:sz w:val="16"/>
                <w:szCs w:val="16"/>
              </w:rPr>
              <w:t xml:space="preserve">, KSHV, </w:t>
            </w:r>
            <w:proofErr w:type="spellStart"/>
            <w:r w:rsidRPr="00802888">
              <w:rPr>
                <w:rFonts w:cs="Arial"/>
                <w:sz w:val="16"/>
                <w:szCs w:val="16"/>
              </w:rPr>
              <w:t>HpyV</w:t>
            </w:r>
            <w:proofErr w:type="spellEnd"/>
          </w:p>
        </w:tc>
      </w:tr>
      <w:tr w:rsidR="00802888" w:rsidRPr="00802888" w14:paraId="7A258AD0" w14:textId="77777777" w:rsidTr="002342FE">
        <w:tc>
          <w:tcPr>
            <w:tcW w:w="851" w:type="dxa"/>
          </w:tcPr>
          <w:p w14:paraId="0522D4F2" w14:textId="77777777" w:rsidR="00802888" w:rsidRPr="00E44711" w:rsidRDefault="00802888" w:rsidP="002342FE">
            <w:pPr>
              <w:spacing w:line="240" w:lineRule="auto"/>
              <w:rPr>
                <w:rFonts w:cs="Arial"/>
                <w:sz w:val="16"/>
                <w:szCs w:val="16"/>
                <w:lang w:val="en-US"/>
              </w:rPr>
            </w:pPr>
            <w:r w:rsidRPr="00E44711">
              <w:rPr>
                <w:rFonts w:cs="Arial"/>
                <w:sz w:val="16"/>
                <w:szCs w:val="16"/>
              </w:rPr>
              <w:fldChar w:fldCharType="begin" w:fldLock="1"/>
            </w:r>
            <w:r>
              <w:rPr>
                <w:rFonts w:cs="Arial"/>
                <w:sz w:val="16"/>
                <w:szCs w:val="16"/>
              </w:rPr>
              <w:instrText>ADDIN CSL_CITATION {"citationItems":[{"id":"ITEM-1","itemData":{"DOI":"10.1111/ajt.13031","ISSN":"16006143","PMID":"25403800","abstract":"Few studies have examined the lung virome in health and disease. Outcomes of lung transplantation are known to be influenced by several recognized respiratory viruses, but global understanding of the virome of the transplanted lung is incomplete. To define the DNA virome within the respiratory tract following lung transplantation we carried out metagenomic analysis of allograft bronchoalveolar lavage (BAL), and compared with healthy and HIV+ subjects. Viral concentrates were purified from BAL and analyzed by shotgun DNA sequencing. All of the BAL samples contained reads mapping to anelloviruses, with high proportions in lung transplant samples. Anellovirus populations in transplant recipients were complex, with multiple concurrent variants. Quantitative polymerase chain reaction quantification revealed that anellovirus sequences were 56-fold more abundant in BAL from lung transplant recipients compared with healthy controls or HIV+ subjects (p&lt;0.0001). Anellovirus sequences were also more abundant in upper respiratory tract specimens from lung transplant recipients than controls (p=0.006). Comparison to metagenomic data on bacterial populations showed that high anellovirus loads correlated with dysbiotic bacterial communities in allograft BAL (p=0.008). Thus the respiratory tracts of lung transplant recipients contain high levels and complex populations of anelloviruses, warranting studies of anellovirus lung infection and transplant outcome. The authors analyze viral sequences in bronchoalveolar lavage fluid from lung transplant recipients using shotgun metagenomics and quantitative PCR, revealing high levels and complex populations of anelloviruses within the lung allografts.","author":[{"dropping-particle":"","family":"Young","given":"J. C.","non-dropping-particle":"","parse-names":false,"suffix":""},{"dropping-particle":"","family":"Chehoud","given":"C.","non-dropping-particle":"","parse-names":false,"suffix":""},{"dropping-particle":"","family":"Bittinger","given":"K.","non-dropping-particle":"","parse-names":false,"suffix":""},{"dropping-particle":"","family":"Bailey","given":"A.","non-dropping-particle":"","parse-names":false,"suffix":""},{"dropping-particle":"","family":"Diamond","given":"J. M.","non-dropping-particle":"","parse-names":false,"suffix":""},{"dropping-particle":"","family":"Cantu","given":"E.","non-dropping-particle</w:instrText>
            </w:r>
            <w:r w:rsidRPr="00D313A6">
              <w:rPr>
                <w:rFonts w:cs="Arial"/>
                <w:sz w:val="16"/>
                <w:szCs w:val="16"/>
                <w:lang w:val="en-US"/>
              </w:rPr>
              <w:instrText>":"","parse-names":false,"suffix":""},{"dropping-particle":"","family":"Haas","given":"A. R.","non-dropping-particle":"","parse-names":false,"suffix":""},{"dropping-particle":"","family":"Abbas","given":"A.","non-dropping-particle":"","parse-names":false,"suffix":""},{"dropping-particle":"","family":"Frye","given":"L.","non-dropping-particle":"","parse-names":false,"suffix":""},{"dropping-particle":"","family":"Christie","given":"J. D.","non-dropping-particle":"","parse-names":false,"suffix":""},{"dropping-particle":"","family":"Bushman","given":"F. D.","non-dropping-particle":"","parse-names":false,"suffix":""},{"dropping-particle":"","family":"Collman","given":"R. G.","non-dropping-particle":"","parse-names":false,"suffix":""}],"container-title":"American Journal of Transplantation","id":"ITEM-1","issue":"1","issued":{"date-parts":[["2015","1","1"]]},"note":"BALista tehty NGS käytännössä löytää TTV:tä sekä muutamia readeja EBV ja HHV7","page":"200-209","publisher":"Blackwell Publishing Ltd","title":"Viral metagenomics reveal blooms of anelloviruses in the respiratory tract of lung transplant recipients","type":"article-journal","volume":"15"},"uris":["http://www.mendeley.com/documents/?uuid=bf080184-d065-356f-a29c-10d87760ff3d"]}],"mendeley":{"formattedCitation":"[2]","plainTextFormattedCitation":"[2]","previouslyFormattedCitation":"(Young et al., 2015)"},"properties":{"noteIndex":0},"schema":"https://github.com/citation-style-language/schema/raw/master/csl-citation.json"}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[2]</w:t>
            </w:r>
            <w:r w:rsidRPr="00E44711">
              <w:rPr>
                <w:rFonts w:cs="Arial"/>
                <w:sz w:val="16"/>
                <w:szCs w:val="16"/>
              </w:rPr>
              <w:fldChar w:fldCharType="end"/>
            </w:r>
          </w:p>
        </w:tc>
        <w:tc>
          <w:tcPr>
            <w:tcW w:w="850" w:type="dxa"/>
          </w:tcPr>
          <w:p w14:paraId="2450020F"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lung</w:t>
            </w:r>
          </w:p>
        </w:tc>
        <w:tc>
          <w:tcPr>
            <w:tcW w:w="851" w:type="dxa"/>
          </w:tcPr>
          <w:p w14:paraId="2C6BD17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BAL / OPW</w:t>
            </w:r>
          </w:p>
        </w:tc>
        <w:tc>
          <w:tcPr>
            <w:tcW w:w="1134" w:type="dxa"/>
          </w:tcPr>
          <w:p w14:paraId="3F5092A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VLP enrichment (</w:t>
            </w:r>
            <w:proofErr w:type="gramStart"/>
            <w:r w:rsidRPr="00E44711">
              <w:rPr>
                <w:rFonts w:cs="Arial"/>
                <w:sz w:val="16"/>
                <w:szCs w:val="16"/>
                <w:lang w:val="en-US"/>
              </w:rPr>
              <w:t>filtration,  concentration</w:t>
            </w:r>
            <w:proofErr w:type="gramEnd"/>
            <w:r w:rsidRPr="00E44711">
              <w:rPr>
                <w:rFonts w:cs="Arial"/>
                <w:sz w:val="16"/>
                <w:szCs w:val="16"/>
                <w:lang w:val="en-US"/>
              </w:rPr>
              <w:t xml:space="preserve"> with 100kDa filter, nuclease treatment) +MDA</w:t>
            </w:r>
          </w:p>
        </w:tc>
        <w:tc>
          <w:tcPr>
            <w:tcW w:w="1843" w:type="dxa"/>
          </w:tcPr>
          <w:p w14:paraId="1117269A" w14:textId="77777777" w:rsidR="00802888" w:rsidRPr="00E44711" w:rsidRDefault="00802888" w:rsidP="002342FE">
            <w:pPr>
              <w:spacing w:line="240" w:lineRule="auto"/>
              <w:rPr>
                <w:rFonts w:cs="Arial"/>
                <w:sz w:val="16"/>
                <w:szCs w:val="16"/>
                <w:lang w:val="en-US"/>
              </w:rPr>
            </w:pPr>
            <w:proofErr w:type="spellStart"/>
            <w:r w:rsidRPr="00E44711">
              <w:rPr>
                <w:rFonts w:cs="Arial"/>
                <w:sz w:val="16"/>
                <w:szCs w:val="16"/>
                <w:lang w:val="en-US"/>
              </w:rPr>
              <w:t>Nextera</w:t>
            </w:r>
            <w:proofErr w:type="spellEnd"/>
            <w:r w:rsidRPr="00E44711">
              <w:rPr>
                <w:rFonts w:cs="Arial"/>
                <w:sz w:val="16"/>
                <w:szCs w:val="16"/>
                <w:lang w:val="en-US"/>
              </w:rPr>
              <w:t xml:space="preserve"> XT DNA library preparation kit + </w:t>
            </w:r>
            <w:proofErr w:type="spellStart"/>
            <w:r w:rsidRPr="00E44711">
              <w:rPr>
                <w:rFonts w:cs="Arial"/>
                <w:sz w:val="16"/>
                <w:szCs w:val="16"/>
                <w:lang w:val="en-US"/>
              </w:rPr>
              <w:t>MiSeq</w:t>
            </w:r>
            <w:proofErr w:type="spellEnd"/>
            <w:r w:rsidRPr="00E44711">
              <w:rPr>
                <w:rFonts w:cs="Arial"/>
                <w:sz w:val="16"/>
                <w:szCs w:val="16"/>
                <w:lang w:val="en-US"/>
              </w:rPr>
              <w:t xml:space="preserve"> (Illumina)</w:t>
            </w:r>
          </w:p>
        </w:tc>
        <w:tc>
          <w:tcPr>
            <w:tcW w:w="1701" w:type="dxa"/>
          </w:tcPr>
          <w:p w14:paraId="4030A72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6 lung transplant recipients; 3 HIV-positives without </w:t>
            </w:r>
            <w:proofErr w:type="spellStart"/>
            <w:r w:rsidRPr="00E44711">
              <w:rPr>
                <w:rFonts w:cs="Arial"/>
                <w:sz w:val="16"/>
                <w:szCs w:val="16"/>
                <w:lang w:val="en-US"/>
              </w:rPr>
              <w:t>antitetroviral</w:t>
            </w:r>
            <w:proofErr w:type="spellEnd"/>
            <w:r w:rsidRPr="00E44711">
              <w:rPr>
                <w:rFonts w:cs="Arial"/>
                <w:sz w:val="16"/>
                <w:szCs w:val="16"/>
                <w:lang w:val="en-US"/>
              </w:rPr>
              <w:t xml:space="preserve"> therapy</w:t>
            </w:r>
          </w:p>
        </w:tc>
        <w:tc>
          <w:tcPr>
            <w:tcW w:w="2835" w:type="dxa"/>
            <w:gridSpan w:val="3"/>
          </w:tcPr>
          <w:p w14:paraId="258A6342"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100%, TTV </w:t>
            </w:r>
          </w:p>
          <w:p w14:paraId="490EA2C2"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22%, HHV-7 </w:t>
            </w:r>
          </w:p>
          <w:p w14:paraId="5186C6C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11%, EBV</w:t>
            </w:r>
          </w:p>
          <w:p w14:paraId="3A84225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11%, HPV</w:t>
            </w:r>
          </w:p>
        </w:tc>
      </w:tr>
      <w:tr w:rsidR="00802888" w:rsidRPr="00802888" w14:paraId="375C5F69" w14:textId="77777777" w:rsidTr="002342FE">
        <w:tc>
          <w:tcPr>
            <w:tcW w:w="851" w:type="dxa"/>
          </w:tcPr>
          <w:p w14:paraId="0D4B4467" w14:textId="77777777" w:rsidR="00802888" w:rsidRPr="00E44711" w:rsidRDefault="00802888" w:rsidP="002342FE">
            <w:pPr>
              <w:spacing w:line="240" w:lineRule="auto"/>
              <w:rPr>
                <w:rFonts w:cs="Arial"/>
                <w:sz w:val="16"/>
                <w:szCs w:val="16"/>
                <w:lang w:val="en-US"/>
              </w:rPr>
            </w:pPr>
            <w:r w:rsidRPr="00E44711">
              <w:rPr>
                <w:rFonts w:cs="Arial"/>
                <w:sz w:val="16"/>
                <w:szCs w:val="16"/>
              </w:rPr>
              <w:fldChar w:fldCharType="begin" w:fldLock="1"/>
            </w:r>
            <w:r>
              <w:rPr>
                <w:rFonts w:cs="Arial"/>
                <w:sz w:val="16"/>
                <w:szCs w:val="16"/>
                <w:lang w:val="en-US"/>
              </w:rPr>
              <w:instrText>ADDIN CSL_CITATION {"citationItems":[{"id":"ITEM-1","itemData":{"DOI":"10.1111/ajt.14076","ISSN":"16006143","PMID":"27731934","abstract":"Primary graft dysfunction (PGD) is a principal cause of early morbidity and mortality after lung transplantation, but its pathogenic mechanisms are not fully clarified. To date, studies using standard clinical assays have not linked microbial factors to PGD. We previously used comprehensive metagenomic methods to characterize viruses in lung allografts &gt;1 mo after transplant and found that levels of Anellovirus, mainly torque teno viruses (TTVs), were significantly higher than in nontransplanted healthy controls. We used quantitative polymerase chain reaction to analyze TTV and shotgun metagenomics to characterize full viral communities in acellular bronchoalveolar lavage from donor organs and postreperfusion allografts in PGD and non-PGD lung transplant recipient pairs. Unexpectedly, TTV DNA levels were elevated 100-fold in donor lungs compared with healthy adults (p = 0.0026). Although absolute TTV levels did not differ by PGD status, PGD cases showed a smaller increase in TTV levels from before to after transplant than did control recipients (p = 0.041). Metagenomic sequencing revealed mainly TTV and bacteriophages of respiratory tract bacteria, but no viral taxa distinguished PGD cases from controls. These findings suggest that conditions associated with brain death promote TTV replication and that greater immune activation or tissue injury associated with PGD may restrict TTV abundance in the lung.","author":[{"dropping-particle":"","family":"Abbas","given":"A. A.","non-dropping-particle":"","parse-names":false,"suffix":""},{"dropping-particle":"","family":"Diamond","given":"J. M.","non-dropping-particle":"","parse-names":false,"suffix":""},{"dropping-particle":"","family":"Chehoud","given":"C.","non-dropping-particle":"","parse-names":false,"suffix":""},{"dropping-particle":"","family":"Chang","given":"B.","non-dropping-particle":"","parse-names":false,"suffix":""},{"dropping-particle":"","family":"Kotzin","given":"J. J.","non-dropping-particle":"","parse-names":false,"suffix":""},{"dropping-particle":"","family":"Young","given":"J. C.","non-dropping-particle":"","parse-names":false,"suffix":""},{"dropping-particle":"","family":"Imai","given":"I.","non-dropping-particle":"","parse-names":false,"suffix":""},{"dropping-particle":"","family":"Haas","given":"A. R.","non-dropping-particle":"","parse-names":false,"suffix":""},{"dropping-particle":"","family":"Cantu","given":"E.","non-dropping-particle":"","parse-names":false,"suffix":""},{"dropping-particle":"","family":"Lederer","given":"D. J.","non-dropping-particle":"","parse-names":false,"suffix":""},{"dropping-particle":"","family":"Meyer","given":"K. C.","non-dropping-particle":"","parse-names":false,"suffix":""},{"dropping-particle":"","family":"Milewski","given":"R. K.","non-dropping-particle":"","parse-names":false,"suffix":""},{"dropping-particle":"","family":"Olthoff","given":"K. M.","non-dropping-particle":"","parse-names":false,"suffix":""},{"dropping-particle":"","family":"Shaked","given":"A.","non-dropping-particle":"","parse-names":false,"suffix":""},{"dropping-particle":"","family":"Christie","given":"J. D.","non-dropping-particle":"","parse-names":false,"suffix":""},{"dropping-particle":"","family":"Bushman","given":"F. D.","non-dropping-particle":"","parse-names":false,"suffix":""},{"dropping-particle":"","family":"Collman","given":"R. G.","non-dropping-particle":"","parse-names":false,"suffix":""}],"container-title":"American Journal of Transplantation","id":"ITEM-1","issue":"5","issued":{"date-parts":[["2017","5","1"]]},"page":"1313-1324","publisher":"Am J Transplant","title":"The Perioperative Lung Transplant Virome: Torque Teno Viruses Are Elevated in Donor Lungs and Show Divergent Dynamics in Primary Graft Dysfunction","type":"article-journal","volume":"17"},"uris":["http://www.mendeley.com/documents/?uuid=2daa1d8d-e055-36e6-8106-436b8ccd9883"]}],"mendeley":{"formattedCitation":"[3]","plainTextFormattedCitation":"[3]","previouslyFormattedCitation":"(Abbas et al., 2017)"},"properties":{"noteIndex":0},"schema":"https://github.com/citation-style-language/schema/raw/master/csl-citation.json"}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[3]</w:t>
            </w:r>
            <w:r w:rsidRPr="00E44711">
              <w:rPr>
                <w:rFonts w:cs="Arial"/>
                <w:sz w:val="16"/>
                <w:szCs w:val="16"/>
              </w:rPr>
              <w:fldChar w:fldCharType="end"/>
            </w:r>
          </w:p>
        </w:tc>
        <w:tc>
          <w:tcPr>
            <w:tcW w:w="850" w:type="dxa"/>
          </w:tcPr>
          <w:p w14:paraId="1B8BDA3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lung</w:t>
            </w:r>
          </w:p>
        </w:tc>
        <w:tc>
          <w:tcPr>
            <w:tcW w:w="851" w:type="dxa"/>
          </w:tcPr>
          <w:p w14:paraId="5F3E5B2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BAL</w:t>
            </w:r>
          </w:p>
        </w:tc>
        <w:tc>
          <w:tcPr>
            <w:tcW w:w="1134" w:type="dxa"/>
          </w:tcPr>
          <w:p w14:paraId="763C8AD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VLP enrichment (concentration with 100kDA filter, nuclease treatment) + MDA</w:t>
            </w:r>
          </w:p>
        </w:tc>
        <w:tc>
          <w:tcPr>
            <w:tcW w:w="1843" w:type="dxa"/>
          </w:tcPr>
          <w:p w14:paraId="0BA81EFF" w14:textId="77777777" w:rsidR="00802888" w:rsidRPr="00E44711" w:rsidRDefault="00802888" w:rsidP="002342FE">
            <w:pPr>
              <w:spacing w:line="240" w:lineRule="auto"/>
              <w:rPr>
                <w:rFonts w:cs="Arial"/>
                <w:sz w:val="16"/>
                <w:szCs w:val="16"/>
                <w:lang w:val="en-US"/>
              </w:rPr>
            </w:pPr>
            <w:proofErr w:type="spellStart"/>
            <w:r w:rsidRPr="00E44711">
              <w:rPr>
                <w:rFonts w:cs="Arial"/>
                <w:sz w:val="16"/>
                <w:szCs w:val="16"/>
                <w:lang w:val="en-US"/>
              </w:rPr>
              <w:t>Nextera</w:t>
            </w:r>
            <w:proofErr w:type="spellEnd"/>
            <w:r w:rsidRPr="00E44711">
              <w:rPr>
                <w:rFonts w:cs="Arial"/>
                <w:sz w:val="16"/>
                <w:szCs w:val="16"/>
                <w:lang w:val="en-US"/>
              </w:rPr>
              <w:t xml:space="preserve"> XT DNA library preparation kit + </w:t>
            </w:r>
            <w:proofErr w:type="spellStart"/>
            <w:r w:rsidRPr="00E44711">
              <w:rPr>
                <w:rFonts w:cs="Arial"/>
                <w:sz w:val="16"/>
                <w:szCs w:val="16"/>
                <w:lang w:val="en-US"/>
              </w:rPr>
              <w:t>HiSeq</w:t>
            </w:r>
            <w:proofErr w:type="spellEnd"/>
            <w:r w:rsidRPr="00E44711">
              <w:rPr>
                <w:rFonts w:cs="Arial"/>
                <w:sz w:val="16"/>
                <w:szCs w:val="16"/>
                <w:lang w:val="en-US"/>
              </w:rPr>
              <w:t xml:space="preserve"> (Illumina)</w:t>
            </w:r>
          </w:p>
        </w:tc>
        <w:tc>
          <w:tcPr>
            <w:tcW w:w="1701" w:type="dxa"/>
          </w:tcPr>
          <w:p w14:paraId="4BB9E6E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Transplant patients (perioperative samples):  23 primary graft dysfunction, 23 healthy volunteers</w:t>
            </w:r>
          </w:p>
        </w:tc>
        <w:tc>
          <w:tcPr>
            <w:tcW w:w="2835" w:type="dxa"/>
            <w:gridSpan w:val="3"/>
          </w:tcPr>
          <w:p w14:paraId="35DB92E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76%, TTV </w:t>
            </w:r>
          </w:p>
          <w:p w14:paraId="439F1B6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 HCMV</w:t>
            </w:r>
          </w:p>
          <w:p w14:paraId="49EB31CF"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 </w:t>
            </w:r>
            <w:proofErr w:type="spellStart"/>
            <w:r w:rsidRPr="00E44711">
              <w:rPr>
                <w:rFonts w:cs="Arial"/>
                <w:sz w:val="16"/>
                <w:szCs w:val="16"/>
                <w:lang w:val="en-US"/>
              </w:rPr>
              <w:t>circoviridae</w:t>
            </w:r>
            <w:proofErr w:type="spellEnd"/>
          </w:p>
          <w:p w14:paraId="5EE2A18C" w14:textId="77777777" w:rsidR="00802888" w:rsidRPr="00E44711" w:rsidRDefault="00802888" w:rsidP="002342FE">
            <w:pPr>
              <w:spacing w:line="240" w:lineRule="auto"/>
              <w:rPr>
                <w:rFonts w:cs="Arial"/>
                <w:sz w:val="16"/>
                <w:szCs w:val="16"/>
                <w:lang w:val="en-US"/>
              </w:rPr>
            </w:pPr>
          </w:p>
        </w:tc>
      </w:tr>
      <w:tr w:rsidR="00802888" w:rsidRPr="00802888" w14:paraId="2A8FF404" w14:textId="77777777" w:rsidTr="002342FE">
        <w:trPr>
          <w:trHeight w:val="301"/>
        </w:trPr>
        <w:tc>
          <w:tcPr>
            <w:tcW w:w="851" w:type="dxa"/>
          </w:tcPr>
          <w:p w14:paraId="6DC51A08" w14:textId="77777777" w:rsidR="00802888" w:rsidRPr="00E44711" w:rsidRDefault="00802888" w:rsidP="002342FE">
            <w:pPr>
              <w:spacing w:line="240" w:lineRule="auto"/>
              <w:rPr>
                <w:rFonts w:cs="Arial"/>
                <w:sz w:val="16"/>
                <w:szCs w:val="16"/>
                <w:lang w:val="en-US"/>
              </w:rPr>
            </w:pPr>
            <w:r w:rsidRPr="00E44711">
              <w:rPr>
                <w:rFonts w:cs="Arial"/>
                <w:sz w:val="16"/>
                <w:szCs w:val="16"/>
              </w:rPr>
              <w:fldChar w:fldCharType="begin" w:fldLock="1"/>
            </w:r>
            <w:r>
              <w:rPr>
                <w:rFonts w:cs="Arial"/>
                <w:sz w:val="16"/>
                <w:szCs w:val="16"/>
                <w:lang w:val="en-US"/>
              </w:rPr>
              <w:instrText>ADDIN CSL_CITATION {"citationItems":[{"id":"ITEM-1","itemData":{"DOI":"10.1371/journal.pone.0038499","ISSN":"19326203","PMID":"22723863","abstract":"The human skin is a complex ecosystem that hosts a heterogeneous flora. Until recently, the diversity of the cutaneous microbiota was mainly investigated for bacteria through culture based assays subsequently confirmed by molecular techniques. There are now many evidences that viruses represent a significant part of the cutaneous flora as demonstrated by the asymptomatic carriage of beta and gamma-human papillomaviruses on the healthy skin. Furthermore, it has been recently suggested that some representatives of the Polyomavirus genus might share a similar feature. In the present study, the cutaneous virome of the surface of the normal-appearing skin from five healthy individuals and one patient with Merkel cell carcinoma was investigated through a high throughput metagenomic sequencing approach in an attempt to provide a thorough description of the cutaneous flora, with a particular focus on its viral component. The results emphasize the high diversity of the viral cutaneous flora with multiple polyomaviruses, papillomaviruses and circoviruses being detected on normal-appearing skin. Moreover, this approach resulted in the identification of new Papillomavirus and Circovirus genomes and confirmed a very low level of genetic diversity within human polyomavirus species. Although viruses are generally considered as pathogen agents, our findings support the existence of a complex viral flora present at the surface of healthy-appearing human skin in various individuals. The dynamics and anatomical variations of this skin virome and its variations according to pathological conditions remain to be further studied. The potential involvement of these viruses, alone or in combination, in skin proliferative disorders and oncogenesis is another crucial issue to be elucidated. © 2012 Foulongne et al.","author":[{"dropping-particle":"","family":"Foulongne","given":"Vincent","non-dropping-particle":"","parse-names":false,"suffix":""},{"dropping-particle":"","family":"Sauvage","given":"Virginie","non-dropping-particle":"","parse-names":false,"suffix":""},{"dropping-particle":"","family":"Hebert","given":"Charles","non-dropping-particle":"","parse-names":false,"suffix":""},{"dropping-particle":"","family":"Dereure","given":"Olivier","non-dropping-particle":"","parse-names":false,"suffix":""},{"dropping-particle":"","family":"Cheval","given":"Justine","non-dropping-particle":"","parse-names":false,"suffix":""},{"dropping-particle":"","family":"Gouilh","given":"Meriadeg Ar","non-dropping-particle":"","parse-names":false,"suffix":""},{"dropping-particle":"","family":"Pariente","given":"Kevin","non-dropping-particle":"","parse-names":false,"suffix":""},{"dropping-particle":"","family":"Segondy","given":"Michel","non-dropping-particle":"","parse-names":false,"suffix":""},{"dropping-particle":"","family":"Burguière","given":"Ana","non-dropping-particle":"","parse-names":false,"suffix":""},{"dropping-particle":"","family":"Manuguerra","given":"Jean Claude","non-dropping-particle":"","parse-names":false,"suffix":""},{"dropping-particle":"","family":"Caro","given":"Valérie","non-dropping-particle":"","parse-names":false,"suffix":""},{"dropping-particle":"","family":"Eloit","given":"Marc","non-dropping-particle":"","parse-names":false,"suffix":""}],"container-title":"PLoS ONE","id":"ITEM-1","issue":"6","issued":{"date-parts":[["2012","6","19"]]},"page":"e38499","publisher":"PLoS One","title":"Human skin Microbiota: High diversity of DNA viruses identified on the human skin by high throughput sequencing","type":"article-journal","volume":"7"},"uris":["http://www.mendeley.com/documents/?uuid=c3dc1438-f639-3026-a8a7-cccb40ecb937"]}],"mendeley":{"formattedCitation":"[4]","plainTextFormattedCitation":"[4]","previouslyFormattedCitation":"(Foulongne et al., 2012)"},"properties":{"noteIndex":0},"schema":"https://github.com/citation-style-language/schema/raw/master/csl-citation.json"}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[4]</w:t>
            </w:r>
            <w:r w:rsidRPr="00E44711">
              <w:rPr>
                <w:rFonts w:cs="Arial"/>
                <w:sz w:val="16"/>
                <w:szCs w:val="16"/>
              </w:rPr>
              <w:fldChar w:fldCharType="end"/>
            </w:r>
          </w:p>
        </w:tc>
        <w:tc>
          <w:tcPr>
            <w:tcW w:w="850" w:type="dxa"/>
            <w:tcBorders>
              <w:bottom w:val="single" w:sz="4" w:space="0" w:color="auto"/>
            </w:tcBorders>
          </w:tcPr>
          <w:p w14:paraId="3D848B6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skin</w:t>
            </w:r>
          </w:p>
        </w:tc>
        <w:tc>
          <w:tcPr>
            <w:tcW w:w="851" w:type="dxa"/>
          </w:tcPr>
          <w:p w14:paraId="20E5013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skin swab</w:t>
            </w:r>
          </w:p>
        </w:tc>
        <w:tc>
          <w:tcPr>
            <w:tcW w:w="1134" w:type="dxa"/>
          </w:tcPr>
          <w:p w14:paraId="0C6BFB5D" w14:textId="77777777" w:rsidR="00802888" w:rsidRPr="00E44711" w:rsidRDefault="00802888" w:rsidP="002342FE">
            <w:pPr>
              <w:spacing w:line="240" w:lineRule="auto"/>
              <w:rPr>
                <w:rFonts w:cs="Arial"/>
                <w:sz w:val="16"/>
                <w:szCs w:val="16"/>
                <w:lang w:val="en-US"/>
              </w:rPr>
            </w:pPr>
          </w:p>
        </w:tc>
        <w:tc>
          <w:tcPr>
            <w:tcW w:w="1843" w:type="dxa"/>
          </w:tcPr>
          <w:p w14:paraId="2596DF9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Library preparation unspecified + HiSeq2000 (Illumina)</w:t>
            </w:r>
          </w:p>
        </w:tc>
        <w:tc>
          <w:tcPr>
            <w:tcW w:w="1701" w:type="dxa"/>
          </w:tcPr>
          <w:p w14:paraId="280CCEF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5 healthy individuals + one </w:t>
            </w:r>
            <w:proofErr w:type="gramStart"/>
            <w:r w:rsidRPr="00E44711">
              <w:rPr>
                <w:rFonts w:cs="Arial"/>
                <w:sz w:val="16"/>
                <w:szCs w:val="16"/>
                <w:lang w:val="en-US"/>
              </w:rPr>
              <w:t>individual</w:t>
            </w:r>
            <w:proofErr w:type="gramEnd"/>
            <w:r w:rsidRPr="00E44711">
              <w:rPr>
                <w:rFonts w:cs="Arial"/>
                <w:sz w:val="16"/>
                <w:szCs w:val="16"/>
                <w:lang w:val="en-US"/>
              </w:rPr>
              <w:t xml:space="preserve"> with previous MCC lesion</w:t>
            </w:r>
          </w:p>
        </w:tc>
        <w:tc>
          <w:tcPr>
            <w:tcW w:w="1417" w:type="dxa"/>
            <w:tcBorders>
              <w:right w:val="nil"/>
            </w:tcBorders>
          </w:tcPr>
          <w:p w14:paraId="0E6DBB0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100% </w:t>
            </w:r>
            <w:r w:rsidRPr="00E44711">
              <w:rPr>
                <w:rFonts w:cs="Arial"/>
                <w:sz w:val="16"/>
                <w:szCs w:val="16"/>
              </w:rPr>
              <w:t>β</w:t>
            </w:r>
            <w:r w:rsidRPr="00E44711">
              <w:rPr>
                <w:rFonts w:cs="Arial"/>
                <w:sz w:val="16"/>
                <w:szCs w:val="16"/>
                <w:lang w:val="en-US"/>
              </w:rPr>
              <w:t xml:space="preserve">-HPV </w:t>
            </w:r>
          </w:p>
          <w:p w14:paraId="22AC730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83%, </w:t>
            </w:r>
            <w:r w:rsidRPr="00E44711">
              <w:rPr>
                <w:rFonts w:cs="Arial"/>
                <w:sz w:val="16"/>
                <w:szCs w:val="16"/>
              </w:rPr>
              <w:t>γ</w:t>
            </w:r>
            <w:r w:rsidRPr="00E44711">
              <w:rPr>
                <w:rFonts w:cs="Arial"/>
                <w:sz w:val="16"/>
                <w:szCs w:val="16"/>
                <w:lang w:val="en-US"/>
              </w:rPr>
              <w:t>-HPV</w:t>
            </w:r>
          </w:p>
          <w:p w14:paraId="4CC4AC1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83%, </w:t>
            </w:r>
            <w:proofErr w:type="spellStart"/>
            <w:r w:rsidRPr="00E44711">
              <w:rPr>
                <w:rFonts w:cs="Arial"/>
                <w:sz w:val="16"/>
                <w:szCs w:val="16"/>
                <w:lang w:val="en-US"/>
              </w:rPr>
              <w:t>MCPyV</w:t>
            </w:r>
            <w:proofErr w:type="spellEnd"/>
            <w:r w:rsidRPr="00E44711">
              <w:rPr>
                <w:rFonts w:cs="Arial"/>
                <w:sz w:val="16"/>
                <w:szCs w:val="16"/>
                <w:lang w:val="en-US"/>
              </w:rPr>
              <w:t xml:space="preserve"> </w:t>
            </w:r>
          </w:p>
          <w:p w14:paraId="300A566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33</w:t>
            </w:r>
            <w:proofErr w:type="gramStart"/>
            <w:r w:rsidRPr="00E44711">
              <w:rPr>
                <w:rFonts w:cs="Arial"/>
                <w:sz w:val="16"/>
                <w:szCs w:val="16"/>
                <w:lang w:val="en-US"/>
              </w:rPr>
              <w:t>%,circoviridae</w:t>
            </w:r>
            <w:proofErr w:type="gramEnd"/>
            <w:r w:rsidRPr="00E44711">
              <w:rPr>
                <w:rFonts w:cs="Arial"/>
                <w:sz w:val="16"/>
                <w:szCs w:val="16"/>
                <w:lang w:val="en-US"/>
              </w:rPr>
              <w:t xml:space="preserve">  </w:t>
            </w:r>
          </w:p>
        </w:tc>
        <w:tc>
          <w:tcPr>
            <w:tcW w:w="1418" w:type="dxa"/>
            <w:gridSpan w:val="2"/>
            <w:tcBorders>
              <w:left w:val="nil"/>
            </w:tcBorders>
          </w:tcPr>
          <w:p w14:paraId="17A09C4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17%, HPyV6   </w:t>
            </w:r>
          </w:p>
          <w:p w14:paraId="0798563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17%, HPyV7  </w:t>
            </w:r>
          </w:p>
          <w:p w14:paraId="7A305092"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17%, HPyV9  </w:t>
            </w:r>
          </w:p>
        </w:tc>
      </w:tr>
      <w:tr w:rsidR="00802888" w:rsidRPr="00802888" w14:paraId="61CF677F" w14:textId="77777777" w:rsidTr="002342FE">
        <w:trPr>
          <w:trHeight w:val="53"/>
        </w:trPr>
        <w:tc>
          <w:tcPr>
            <w:tcW w:w="851" w:type="dxa"/>
            <w:vMerge w:val="restart"/>
          </w:tcPr>
          <w:p w14:paraId="6F910468" w14:textId="77777777" w:rsidR="00802888" w:rsidRPr="00D313A6" w:rsidRDefault="00802888" w:rsidP="002342FE">
            <w:pPr>
              <w:spacing w:line="240" w:lineRule="auto"/>
              <w:rPr>
                <w:rFonts w:cs="Arial"/>
                <w:sz w:val="16"/>
                <w:szCs w:val="16"/>
                <w:lang w:val="en-US"/>
              </w:rPr>
            </w:pPr>
            <w:r w:rsidRPr="00E44711">
              <w:rPr>
                <w:rFonts w:cs="Arial"/>
                <w:sz w:val="16"/>
                <w:szCs w:val="16"/>
              </w:rPr>
              <w:fldChar w:fldCharType="begin" w:fldLock="1"/>
            </w:r>
            <w:r>
              <w:rPr>
                <w:rFonts w:cs="Arial"/>
                <w:sz w:val="16"/>
                <w:szCs w:val="16"/>
                <w:lang w:val="en-US"/>
              </w:rPr>
              <w:instrText>ADDIN CSL_CITATION {"citationItems":[{"id":"ITEM-1","itemData":{"DOI":"10.1186/s12915-014-0071-7","ISSN":"17417015","PMID":"25212266","abstract":"Background: The Human Microbiome Project (HMP) was undertaken with the goal of defining microbial communities in and on the bodies of healthy individuals using high-throughput metagenomic sequencing analysis. The viruses present in these microbial communities, the 'human virome,' are an important aspect of the human microbiome that is particularly understudied in the absence of overt disease. We analyzed eukaryotic double-stranded DNA (dsDNA) viruses, together with dsDNA replicative intermediates of single-stranded DNA viruses, in metagenomic sequence data generated by the HMP. We studied 706 samples from 102 subjects were studied, with each subject sampled at up to five major body habitats: nose, skin, mouth, vagina, and stool. Fifty-one individuals had samples taken at two or three time points 30 to 359 days apart from at least one of the body habitats. Results: We detected an average of 5.5 viral genera in each individual. At least one virus was detected in 92% of the individuals sampled. These viruses included herpesviruses, papillomaviruses, polyomaviruses, adenoviruses, anelloviruses, parvoviruses, and circoviruses. Each individual had a distinct viral profile, demonstrating the high interpersonal diversity of the virome. Some components of the virome were stable over time. Conclusions: This study is the first to use high-throughput DNA sequencing to describe the diversity of eukaryotic dsDNA viruses in a large cohort of normal individuals who were sampled at multiple body sites. Our results show that the human virome is a complex component of the microbial flora. Some viruses establish long-term infections that may be associated with increased risk or possibly with protection from disease. A better understanding of the composition and dynamics of the virome may hold important keys to human health.","author":[{"dropping-particle":"","family":"Wylie","given":"Kristine M.","non-dropping-particle":"","parse-names":false,"suffix":""},{"dropping-particle":"","family":"Mihindukulasuriya","given":"Kathie A.","non-dropping-particle":"","parse-names":false,"suffix":""},{"dropping-particle":"","family":"Zhou","given":"Yanjiao","non-dropping-particle":"","parse-names":false,"suffix":""},{"dropping-particle":"","family":"Sodergren","given":"Erica","non-dropping-particle":"","parse-names":false,"suffix":""},{"dropping-particle":"","family":"Storch","given":"Gregory A.","non-dropping-particle":"","parse-names":false,"suffix":""},{"dropping-particle":"","family":"Weinstock","given":"George M.","non-dropping-particle":"","parse-names":false,"suffix":""}],"container-title":"BMC Medicine","id":"ITEM-1","issue":"1","issued":{"date-parts":[["2014","9","10"]]},"page":"71","publisher":"BioMed Central","title":"Metagenomic analysis of double-stranded DNA viruses in healthy adults","type":"article-journal","volume":"12"},"uris":["http://www.mendeley.com/documents/?uuid=fb7404ca-589a-337f-9cec-3f2d5bd660a0"]}],"mendeley":{"formattedCitation":"[5]","plainTextFormattedCitation":"[5]","previouslyFormattedCitation":"(Wylie et al., 2014)"},"properties":{"noteIndex":0},"schema":"https://github.com/citation-style-language/schema/raw/master/csl-citation.json"}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[5]</w:t>
            </w:r>
            <w:r w:rsidRPr="00E44711">
              <w:rPr>
                <w:rFonts w:cs="Arial"/>
                <w:sz w:val="16"/>
                <w:szCs w:val="16"/>
              </w:rPr>
              <w:fldChar w:fldCharType="end"/>
            </w:r>
          </w:p>
        </w:tc>
        <w:tc>
          <w:tcPr>
            <w:tcW w:w="850" w:type="dxa"/>
            <w:tcBorders>
              <w:tr2bl w:val="nil"/>
            </w:tcBorders>
          </w:tcPr>
          <w:p w14:paraId="29630A83"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skin</w:t>
            </w:r>
          </w:p>
          <w:p w14:paraId="5796F976" w14:textId="77777777" w:rsidR="00802888" w:rsidRPr="00D313A6" w:rsidRDefault="00802888" w:rsidP="002342FE">
            <w:pPr>
              <w:spacing w:line="240" w:lineRule="auto"/>
              <w:rPr>
                <w:rFonts w:cs="Arial"/>
                <w:sz w:val="16"/>
                <w:szCs w:val="16"/>
                <w:lang w:val="en-US"/>
              </w:rPr>
            </w:pPr>
          </w:p>
          <w:p w14:paraId="55ED14B5" w14:textId="77777777" w:rsidR="00802888" w:rsidRPr="00D313A6" w:rsidRDefault="00802888" w:rsidP="002342FE">
            <w:pPr>
              <w:spacing w:line="240" w:lineRule="auto"/>
              <w:rPr>
                <w:rFonts w:cs="Arial"/>
                <w:sz w:val="16"/>
                <w:szCs w:val="16"/>
                <w:lang w:val="en-US"/>
              </w:rPr>
            </w:pPr>
          </w:p>
          <w:p w14:paraId="034052BA" w14:textId="77777777" w:rsidR="00802888" w:rsidRPr="00D313A6" w:rsidRDefault="00802888" w:rsidP="002342FE">
            <w:pPr>
              <w:spacing w:line="240" w:lineRule="auto"/>
              <w:rPr>
                <w:rFonts w:cs="Arial"/>
                <w:sz w:val="16"/>
                <w:szCs w:val="16"/>
                <w:lang w:val="en-US"/>
              </w:rPr>
            </w:pPr>
          </w:p>
          <w:p w14:paraId="55B25D6B" w14:textId="77777777" w:rsidR="00802888" w:rsidRPr="00D313A6" w:rsidRDefault="00802888" w:rsidP="002342FE">
            <w:pPr>
              <w:spacing w:line="240" w:lineRule="auto"/>
              <w:rPr>
                <w:rFonts w:cs="Arial"/>
                <w:sz w:val="16"/>
                <w:szCs w:val="16"/>
                <w:lang w:val="en-US"/>
              </w:rPr>
            </w:pPr>
          </w:p>
        </w:tc>
        <w:tc>
          <w:tcPr>
            <w:tcW w:w="851" w:type="dxa"/>
          </w:tcPr>
          <w:p w14:paraId="36B6C663"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skin swab (multiple sites)</w:t>
            </w:r>
          </w:p>
        </w:tc>
        <w:tc>
          <w:tcPr>
            <w:tcW w:w="1134" w:type="dxa"/>
            <w:vMerge w:val="restart"/>
          </w:tcPr>
          <w:p w14:paraId="1CE59FC1" w14:textId="77777777" w:rsidR="00802888" w:rsidRPr="00D313A6" w:rsidRDefault="00802888" w:rsidP="002342FE">
            <w:pPr>
              <w:spacing w:line="240" w:lineRule="auto"/>
              <w:rPr>
                <w:rFonts w:cs="Arial"/>
                <w:sz w:val="16"/>
                <w:szCs w:val="16"/>
                <w:lang w:val="en-US"/>
              </w:rPr>
            </w:pPr>
          </w:p>
        </w:tc>
        <w:tc>
          <w:tcPr>
            <w:tcW w:w="1843" w:type="dxa"/>
            <w:vMerge w:val="restart"/>
          </w:tcPr>
          <w:p w14:paraId="302E7626"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GAIIX platform (Illumina)</w:t>
            </w:r>
          </w:p>
        </w:tc>
        <w:tc>
          <w:tcPr>
            <w:tcW w:w="1701" w:type="dxa"/>
            <w:vMerge w:val="restart"/>
          </w:tcPr>
          <w:p w14:paraId="01774AC7"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102 healthy individuals</w:t>
            </w:r>
          </w:p>
        </w:tc>
        <w:tc>
          <w:tcPr>
            <w:tcW w:w="1417" w:type="dxa"/>
            <w:tcBorders>
              <w:right w:val="nil"/>
            </w:tcBorders>
          </w:tcPr>
          <w:p w14:paraId="587C65E5"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77%, </w:t>
            </w:r>
            <w:r w:rsidRPr="00E44711">
              <w:rPr>
                <w:rFonts w:cs="Arial"/>
                <w:sz w:val="16"/>
                <w:szCs w:val="16"/>
              </w:rPr>
              <w:t>β</w:t>
            </w:r>
            <w:r w:rsidRPr="00D313A6">
              <w:rPr>
                <w:rFonts w:cs="Arial"/>
                <w:sz w:val="16"/>
                <w:szCs w:val="16"/>
                <w:lang w:val="en-US"/>
              </w:rPr>
              <w:t xml:space="preserve">-HPV </w:t>
            </w:r>
          </w:p>
          <w:p w14:paraId="375DE579"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77%, </w:t>
            </w:r>
            <w:r w:rsidRPr="00E44711">
              <w:rPr>
                <w:rFonts w:cs="Arial"/>
                <w:sz w:val="16"/>
                <w:szCs w:val="16"/>
              </w:rPr>
              <w:t>γ</w:t>
            </w:r>
            <w:r w:rsidRPr="00D313A6">
              <w:rPr>
                <w:rFonts w:cs="Arial"/>
                <w:sz w:val="16"/>
                <w:szCs w:val="16"/>
                <w:lang w:val="en-US"/>
              </w:rPr>
              <w:t>-HPV</w:t>
            </w:r>
          </w:p>
          <w:p w14:paraId="28392BC0"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71%, other-HPV</w:t>
            </w:r>
          </w:p>
          <w:p w14:paraId="34502198"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41%, </w:t>
            </w:r>
            <w:r w:rsidRPr="00E44711">
              <w:rPr>
                <w:rFonts w:cs="Arial"/>
                <w:sz w:val="16"/>
                <w:szCs w:val="16"/>
              </w:rPr>
              <w:t>α</w:t>
            </w:r>
            <w:r w:rsidRPr="00D313A6">
              <w:rPr>
                <w:rFonts w:cs="Arial"/>
                <w:sz w:val="16"/>
                <w:szCs w:val="16"/>
                <w:lang w:val="en-US"/>
              </w:rPr>
              <w:t>-HPV</w:t>
            </w:r>
          </w:p>
          <w:p w14:paraId="01258A95"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41%, </w:t>
            </w:r>
            <w:proofErr w:type="spellStart"/>
            <w:r w:rsidRPr="00D313A6">
              <w:rPr>
                <w:rFonts w:cs="Arial"/>
                <w:sz w:val="16"/>
                <w:szCs w:val="16"/>
                <w:lang w:val="en-US"/>
              </w:rPr>
              <w:t>HPyV</w:t>
            </w:r>
            <w:proofErr w:type="spellEnd"/>
          </w:p>
        </w:tc>
        <w:tc>
          <w:tcPr>
            <w:tcW w:w="1418" w:type="dxa"/>
            <w:gridSpan w:val="2"/>
            <w:tcBorders>
              <w:left w:val="nil"/>
              <w:bottom w:val="single" w:sz="4" w:space="0" w:color="auto"/>
            </w:tcBorders>
          </w:tcPr>
          <w:p w14:paraId="184218C0"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18%, HHV-6/7 </w:t>
            </w:r>
          </w:p>
          <w:p w14:paraId="3ABC2E15"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18%, </w:t>
            </w:r>
            <w:proofErr w:type="spellStart"/>
            <w:r w:rsidRPr="00D313A6">
              <w:rPr>
                <w:rFonts w:cs="Arial"/>
                <w:sz w:val="16"/>
                <w:szCs w:val="16"/>
                <w:lang w:val="en-US"/>
              </w:rPr>
              <w:t>AdV</w:t>
            </w:r>
            <w:proofErr w:type="spellEnd"/>
            <w:r w:rsidRPr="00D313A6">
              <w:rPr>
                <w:rFonts w:cs="Arial"/>
                <w:sz w:val="16"/>
                <w:szCs w:val="16"/>
                <w:lang w:val="en-US"/>
              </w:rPr>
              <w:t xml:space="preserve"> </w:t>
            </w:r>
          </w:p>
          <w:p w14:paraId="6040A0AC"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12%, TTV </w:t>
            </w:r>
          </w:p>
          <w:p w14:paraId="2A60E21E"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 6%, HCMV </w:t>
            </w:r>
          </w:p>
        </w:tc>
      </w:tr>
      <w:tr w:rsidR="00802888" w:rsidRPr="00802888" w14:paraId="74569B8D" w14:textId="77777777" w:rsidTr="002342FE">
        <w:trPr>
          <w:trHeight w:val="327"/>
        </w:trPr>
        <w:tc>
          <w:tcPr>
            <w:tcW w:w="851" w:type="dxa"/>
            <w:vMerge/>
          </w:tcPr>
          <w:p w14:paraId="6CC261BA" w14:textId="77777777" w:rsidR="00802888" w:rsidRPr="00D313A6" w:rsidRDefault="00802888" w:rsidP="002342FE">
            <w:pPr>
              <w:spacing w:line="240" w:lineRule="auto"/>
              <w:rPr>
                <w:rFonts w:cs="Arial"/>
                <w:sz w:val="16"/>
                <w:szCs w:val="16"/>
                <w:lang w:val="en-US"/>
              </w:rPr>
            </w:pPr>
          </w:p>
        </w:tc>
        <w:tc>
          <w:tcPr>
            <w:tcW w:w="850" w:type="dxa"/>
            <w:tcBorders>
              <w:tr2bl w:val="nil"/>
            </w:tcBorders>
          </w:tcPr>
          <w:p w14:paraId="782C20AA"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gut</w:t>
            </w:r>
          </w:p>
        </w:tc>
        <w:tc>
          <w:tcPr>
            <w:tcW w:w="851" w:type="dxa"/>
          </w:tcPr>
          <w:p w14:paraId="4FEE22F3"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stool</w:t>
            </w:r>
          </w:p>
        </w:tc>
        <w:tc>
          <w:tcPr>
            <w:tcW w:w="1134" w:type="dxa"/>
            <w:vMerge/>
          </w:tcPr>
          <w:p w14:paraId="7DBFB497" w14:textId="77777777" w:rsidR="00802888" w:rsidRPr="00D313A6" w:rsidRDefault="00802888" w:rsidP="002342FE">
            <w:pPr>
              <w:spacing w:line="240" w:lineRule="auto"/>
              <w:rPr>
                <w:rFonts w:cs="Arial"/>
                <w:sz w:val="16"/>
                <w:szCs w:val="16"/>
                <w:lang w:val="en-US"/>
              </w:rPr>
            </w:pPr>
          </w:p>
        </w:tc>
        <w:tc>
          <w:tcPr>
            <w:tcW w:w="1843" w:type="dxa"/>
            <w:vMerge/>
          </w:tcPr>
          <w:p w14:paraId="3E800FC6" w14:textId="77777777" w:rsidR="00802888" w:rsidRPr="00D313A6" w:rsidRDefault="00802888" w:rsidP="002342FE">
            <w:pPr>
              <w:spacing w:line="240" w:lineRule="auto"/>
              <w:rPr>
                <w:rFonts w:cs="Arial"/>
                <w:sz w:val="16"/>
                <w:szCs w:val="16"/>
                <w:lang w:val="en-US"/>
              </w:rPr>
            </w:pPr>
          </w:p>
        </w:tc>
        <w:tc>
          <w:tcPr>
            <w:tcW w:w="1701" w:type="dxa"/>
            <w:vMerge/>
          </w:tcPr>
          <w:p w14:paraId="51E9EFC7" w14:textId="77777777" w:rsidR="00802888" w:rsidRPr="00D313A6" w:rsidRDefault="00802888" w:rsidP="002342FE">
            <w:pPr>
              <w:spacing w:line="240" w:lineRule="auto"/>
              <w:rPr>
                <w:rFonts w:cs="Arial"/>
                <w:sz w:val="16"/>
                <w:szCs w:val="16"/>
                <w:lang w:val="en-US"/>
              </w:rPr>
            </w:pPr>
          </w:p>
        </w:tc>
        <w:tc>
          <w:tcPr>
            <w:tcW w:w="1417" w:type="dxa"/>
            <w:tcBorders>
              <w:right w:val="nil"/>
            </w:tcBorders>
          </w:tcPr>
          <w:p w14:paraId="16A07EC3"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5%, </w:t>
            </w:r>
            <w:r w:rsidRPr="00E44711">
              <w:rPr>
                <w:rFonts w:cs="Arial"/>
                <w:sz w:val="16"/>
                <w:szCs w:val="16"/>
              </w:rPr>
              <w:t>α</w:t>
            </w:r>
            <w:r w:rsidRPr="00D313A6">
              <w:rPr>
                <w:rFonts w:cs="Arial"/>
                <w:sz w:val="16"/>
                <w:szCs w:val="16"/>
                <w:lang w:val="en-US"/>
              </w:rPr>
              <w:t>-HPV</w:t>
            </w:r>
          </w:p>
          <w:p w14:paraId="262BADAC"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5%, </w:t>
            </w:r>
            <w:proofErr w:type="spellStart"/>
            <w:r w:rsidRPr="00D313A6">
              <w:rPr>
                <w:rFonts w:cs="Arial"/>
                <w:sz w:val="16"/>
                <w:szCs w:val="16"/>
                <w:lang w:val="en-US"/>
              </w:rPr>
              <w:t>AdV</w:t>
            </w:r>
            <w:proofErr w:type="spellEnd"/>
          </w:p>
          <w:p w14:paraId="74B2671D"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5%, unclassified circovirus</w:t>
            </w:r>
          </w:p>
        </w:tc>
        <w:tc>
          <w:tcPr>
            <w:tcW w:w="1418" w:type="dxa"/>
            <w:gridSpan w:val="2"/>
            <w:tcBorders>
              <w:left w:val="nil"/>
            </w:tcBorders>
          </w:tcPr>
          <w:p w14:paraId="7B2AB63F"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3%, </w:t>
            </w:r>
            <w:proofErr w:type="spellStart"/>
            <w:r w:rsidRPr="00D313A6">
              <w:rPr>
                <w:rFonts w:cs="Arial"/>
                <w:sz w:val="16"/>
                <w:szCs w:val="16"/>
                <w:lang w:val="en-US"/>
              </w:rPr>
              <w:t>HPyV</w:t>
            </w:r>
            <w:proofErr w:type="spellEnd"/>
          </w:p>
          <w:p w14:paraId="309E92B0"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2%, HHV-6/7 </w:t>
            </w:r>
          </w:p>
          <w:p w14:paraId="4E6E30E5"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2%, </w:t>
            </w:r>
            <w:r w:rsidRPr="00E44711">
              <w:rPr>
                <w:rFonts w:cs="Arial"/>
                <w:sz w:val="16"/>
                <w:szCs w:val="16"/>
              </w:rPr>
              <w:t>γ</w:t>
            </w:r>
            <w:r w:rsidRPr="00D313A6">
              <w:rPr>
                <w:rFonts w:cs="Arial"/>
                <w:sz w:val="16"/>
                <w:szCs w:val="16"/>
                <w:lang w:val="en-US"/>
              </w:rPr>
              <w:t>-HPV</w:t>
            </w:r>
          </w:p>
        </w:tc>
      </w:tr>
      <w:tr w:rsidR="00802888" w:rsidRPr="00802888" w14:paraId="30F35900" w14:textId="77777777" w:rsidTr="002342FE">
        <w:tc>
          <w:tcPr>
            <w:tcW w:w="851" w:type="dxa"/>
          </w:tcPr>
          <w:p w14:paraId="399A72AC" w14:textId="77777777" w:rsidR="00802888" w:rsidRPr="00D313A6" w:rsidRDefault="00802888" w:rsidP="002342FE">
            <w:pPr>
              <w:spacing w:line="240" w:lineRule="auto"/>
              <w:rPr>
                <w:rFonts w:cs="Arial"/>
                <w:sz w:val="16"/>
                <w:szCs w:val="16"/>
                <w:lang w:val="en-US"/>
              </w:rPr>
            </w:pPr>
            <w:r w:rsidRPr="00E44711">
              <w:rPr>
                <w:rFonts w:cs="Arial"/>
                <w:sz w:val="16"/>
                <w:szCs w:val="16"/>
              </w:rPr>
              <w:fldChar w:fldCharType="begin" w:fldLock="1"/>
            </w:r>
            <w:r w:rsidRPr="00D313A6">
              <w:rPr>
                <w:rFonts w:cs="Arial"/>
                <w:sz w:val="16"/>
                <w:szCs w:val="16"/>
                <w:lang w:val="en-US"/>
              </w:rPr>
              <w:instrText>ADDIN CSL_CITATION {"citationItems":[{"id":"ITEM-1","itemData":{"DOI":"10.1038/s41591-018-0211-7","ISSN":"1546170X","PMID":"30397357","abstract":"Human microbiome studies have revealed the intricate interplay of host immunity and bacterial communities to achieve homeostatic balance. Healthy skin microbial communities are dominated by bacteria with low viral representation1–3, mainly bacteriophage. Specific eukaryotic viruses have been implicated in both common and rare skin diseases, but cataloging skin viral communities has been limited. Alterations in host immunity provide an opportunity to expand our understanding of microbial–host interactions. Primary immunodeficient patients manifest with various viral, bacterial, fungal, and parasitic infections, including skin infections4. Dedicator of cytokinesis 8 (DOCK8) deficiency is a rare primary human immunodeficiency characterized by recurrent cutaneous and systemic infections, as well as atopy and cancer susceptibility5. DOCK8, encoding a guanine nucleotide exchange factor highly expressed in lymphocytes, regulates actin cytoskeleton, which is critical for migration through collagen-dense tissues such as skin6. Analyzing deep metagenomic se</w:instrText>
            </w:r>
            <w:r>
              <w:rPr>
                <w:rFonts w:cs="Arial"/>
                <w:sz w:val="16"/>
                <w:szCs w:val="16"/>
              </w:rPr>
              <w:instrText>quencing data from DOCK8-deficient skin samples demonstrated a notable increase in eukaryotic viral representation and diversity compared with healthy volunteers. De novo assembly approaches identified hundreds of novel human papillomavirus genomes, illuminating microbial dark matter. Expansion of the skin virome in DOCK8-deficient patients underscores the importance of immune surveillance in controlling eukaryotic viral colonization and infection.","author":[{"dropping-particle":"","family":"Tirosh","given":"Osnat","non-dropping-particle":"","parse-names":false,"suffix":""},{"dropping-particle":"","family":"Conlan","given":"Sean","non-dropping-particle":"","parse-names":false,"suffix":""},{"dropping-particle":"","family":"Deming","given":"Clay","non-dropping-particle":"","parse-names":false,"suffix":""},{"dropping-particle":"","family":"Lee-Lin","given":"Shih Queen","non-dropping-particle":"","parse-names":false,"suffix":""},{"dropping-particle":"","family":"Huang","given":"Xin","non-dropping-particle":"","parse-names":false,"suffix":""},{"dropping-particle":"","family":"Barnabas","given":"Beatrice B.","non-dropping-particle":"","parse-names":false,"suffix":""},{"dropping-particle":"","family":"Bouffard","given":"Gerard G.","non-dropping-particle":"","parse-names":false,"suffix":""},{"dropping-particle":"","family":"Brooks","given":"Shelise Y.","non-dropping-particle":"","parse-names":false,"suffix":""},{"dropping-particle":"","family":"Marfani","given":"Holly","non-dropping-particle":"","parse-names":false,"suffix":""},{"dropping-particle":"","family":"Dekhtyar","given":"Lyudmila","non-dropping-particle":"","parse-names":false,"suffix":""},{"dropping-particle":"","family":"Guan","given":"Xiaobin","non-dropping-particle":"","parse-names":false,"suffix":""},{"dropping-particle":"","family":"Han","given":"Joel","non-dropping-particle":"","parse-names":false,"suffix":""},{"dropping-particle":"","family":"Ho","given":"Shi ling","non-dropping-particle":"","parse-names":false,"suffix":""},{"dropping-particle":"","family":"Legaspi","given":"Richelle","non-dropping-particle":"","parse-names":false,"suffix":""},{"dropping-particle":"","family":"Maduro","given":"Quino L.","non-dropping-particle":"","parse-names":false,"suffix":""},{"dropping-particle":"","family":"Masiello","given":"Catherine A.","non-dropping-particle":"","parse-names":false,"suffix":""},{"dropping-particle":"","family":"McDowell","given":"Jennifer C.","non-dropping-particle":"","parse-names":false,"suffix":""},{"dropping-particle":"","family":"Montemayor","given":"Casandra","non-dropping-particle":"","parse-names":false,"suffix":""},{"dropping-particle":"","family":"Mullikin","given":"James C.","non-dropping-particle":"","parse-names":false,"suffix":""},{"dropping-particle":"","family":"Park","given":"Morgan","non-dropping-particle":"","parse-names":false,"suffix":""},{"dropping-particle":"","family":"Riebow","given":"Nancy L.","non-dropping-particle":"","parse-names":false,"suffix":""},{"dropping-particle":"","family":"Schandler","given":"Karen","non-dropping-particle":"","parse-names":false,"suffix":""},{"dropping-particle":"","family":"Scharer","given":"Chanthra","non-dropping-particle":"","parse-names":false,"suffix":""},{"dropping-particle":"","family":"Schmidt","given":"Brian","non-dropping-particle":"","parse-names":false,"suffix":""},{"dropping-particle":"","family":"Sison","given":"Christina","non-dropping-particle":"","parse-names":false,"suffix":""},{"dropping-particle":"","family":"Stantripop","given":"Sirintorn","non-dropping-particle":"","parse-names":false,"suffix":""},{"dropping-particle":"","family":"Thomas","given":"James W.","non-droppi</w:instrText>
            </w:r>
            <w:r w:rsidRPr="00D313A6">
              <w:rPr>
                <w:rFonts w:cs="Arial"/>
                <w:sz w:val="16"/>
                <w:szCs w:val="16"/>
                <w:lang w:val="en-US"/>
              </w:rPr>
              <w:instrText>ng-particle":"","parse-names":false,"suffix":""},{"dropping-particle":"","family":"Thomas","given":"Pamela J.","non-dropping-particle":"","parse-names":false,"suffix":""},{"dropping-particle":"","family":"Vemulapalli","given":"Meghana","non-dropping-particle":"","parse-names":false,"suffix":""},{"dropping-particle":"","family":"Young","given":"Alice C.","non-dropping-particle":"","parse-names":false,"suffix":""},{"dropping-particle":"","family":"Su","given":"Helen C.","non-dropping-particle":"","parse-names":false,"suffix":""},{"dropping-particle":"","family":"Freeman","given":"Alexandra F.","non-dropping-particle":"","parse-names":false,"suffix":""},{"dropping-particle":"","family":"Segre","given":"Julia A.","non-dropping-particle":"","parse-names":false,"suffix":""},{"dropping-particle":"","family":"Kong","given":"Heidi H.","non-dropping-particle":"","parse-names":false,"suffix":""}],"container-title":"Nature Medicine","id":"ITEM-1","issue":"12","issued":{"date-parts":[["2018","12","1"]]},"page":"1815-1821","publisher":"Nature Publishing Group","title":"Expanded skin virome in DOCK8-deficient patients","type":"article-journal","volume":"24"},"uris":["http://www.mendeley.com/documents/?uuid=0837c3c4-33d3-3d13-aa6a-b9368a7c2ce7"]}],"mendeley":{"formattedCitation":"[6]","plainTextFormattedCitation":"[6]","previouslyFormattedCitation":"(Tirosh et al., 2018)"},"properties":{"noteIndex":0},"schema":"https://github.com/citation-style-language/schema/raw/master/csl-citation.json"}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[6]</w:t>
            </w:r>
            <w:r w:rsidRPr="00E44711">
              <w:rPr>
                <w:rFonts w:cs="Arial"/>
                <w:sz w:val="16"/>
                <w:szCs w:val="16"/>
              </w:rPr>
              <w:fldChar w:fldCharType="end"/>
            </w:r>
          </w:p>
        </w:tc>
        <w:tc>
          <w:tcPr>
            <w:tcW w:w="850" w:type="dxa"/>
          </w:tcPr>
          <w:p w14:paraId="752E1376"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skin</w:t>
            </w:r>
          </w:p>
        </w:tc>
        <w:tc>
          <w:tcPr>
            <w:tcW w:w="851" w:type="dxa"/>
          </w:tcPr>
          <w:p w14:paraId="03AD940D"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skin swab (multiple sites)</w:t>
            </w:r>
          </w:p>
        </w:tc>
        <w:tc>
          <w:tcPr>
            <w:tcW w:w="1134" w:type="dxa"/>
          </w:tcPr>
          <w:p w14:paraId="351565B4" w14:textId="77777777" w:rsidR="00802888" w:rsidRPr="00D313A6" w:rsidRDefault="00802888" w:rsidP="002342FE">
            <w:pPr>
              <w:spacing w:line="240" w:lineRule="auto"/>
              <w:rPr>
                <w:rFonts w:cs="Arial"/>
                <w:sz w:val="16"/>
                <w:szCs w:val="16"/>
                <w:lang w:val="en-US"/>
              </w:rPr>
            </w:pPr>
          </w:p>
        </w:tc>
        <w:tc>
          <w:tcPr>
            <w:tcW w:w="1843" w:type="dxa"/>
          </w:tcPr>
          <w:p w14:paraId="10EB7FF6" w14:textId="77777777" w:rsidR="00802888" w:rsidRPr="00D313A6" w:rsidRDefault="00802888" w:rsidP="002342FE">
            <w:pPr>
              <w:spacing w:line="240" w:lineRule="auto"/>
              <w:rPr>
                <w:rFonts w:cs="Arial"/>
                <w:sz w:val="16"/>
                <w:szCs w:val="16"/>
                <w:lang w:val="en-US"/>
              </w:rPr>
            </w:pPr>
            <w:proofErr w:type="spellStart"/>
            <w:r w:rsidRPr="00D313A6">
              <w:rPr>
                <w:rFonts w:cs="Arial"/>
                <w:sz w:val="16"/>
                <w:szCs w:val="16"/>
                <w:lang w:val="en-US"/>
              </w:rPr>
              <w:t>Nextera</w:t>
            </w:r>
            <w:proofErr w:type="spellEnd"/>
            <w:r w:rsidRPr="00D313A6">
              <w:rPr>
                <w:rFonts w:cs="Arial"/>
                <w:sz w:val="16"/>
                <w:szCs w:val="16"/>
                <w:lang w:val="en-US"/>
              </w:rPr>
              <w:t xml:space="preserve"> XT DNA library preparation kit + </w:t>
            </w:r>
            <w:proofErr w:type="spellStart"/>
            <w:r w:rsidRPr="00D313A6">
              <w:rPr>
                <w:rFonts w:cs="Arial"/>
                <w:sz w:val="16"/>
                <w:szCs w:val="16"/>
                <w:lang w:val="en-US"/>
              </w:rPr>
              <w:t>HiSeq</w:t>
            </w:r>
            <w:proofErr w:type="spellEnd"/>
            <w:r w:rsidRPr="00D313A6">
              <w:rPr>
                <w:rFonts w:cs="Arial"/>
                <w:sz w:val="16"/>
                <w:szCs w:val="16"/>
                <w:lang w:val="en-US"/>
              </w:rPr>
              <w:t xml:space="preserve"> (Illumina)</w:t>
            </w:r>
          </w:p>
        </w:tc>
        <w:tc>
          <w:tcPr>
            <w:tcW w:w="1701" w:type="dxa"/>
          </w:tcPr>
          <w:p w14:paraId="3598C47A"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27 patients with DOCK8-deficiency (17 adults and 10 children)</w:t>
            </w:r>
          </w:p>
        </w:tc>
        <w:tc>
          <w:tcPr>
            <w:tcW w:w="1417" w:type="dxa"/>
            <w:tcBorders>
              <w:right w:val="nil"/>
            </w:tcBorders>
          </w:tcPr>
          <w:p w14:paraId="40B65A6E"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100%, </w:t>
            </w:r>
            <w:r w:rsidRPr="00E44711">
              <w:rPr>
                <w:rFonts w:cs="Arial"/>
                <w:sz w:val="16"/>
                <w:szCs w:val="16"/>
              </w:rPr>
              <w:t>α</w:t>
            </w:r>
            <w:r w:rsidRPr="00D313A6">
              <w:rPr>
                <w:rFonts w:cs="Arial"/>
                <w:sz w:val="16"/>
                <w:szCs w:val="16"/>
                <w:lang w:val="en-US"/>
              </w:rPr>
              <w:t>-HPV</w:t>
            </w:r>
          </w:p>
          <w:p w14:paraId="2EB80D32"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100%, </w:t>
            </w:r>
            <w:r w:rsidRPr="00E44711">
              <w:rPr>
                <w:rFonts w:cs="Arial"/>
                <w:sz w:val="16"/>
                <w:szCs w:val="16"/>
              </w:rPr>
              <w:t>β</w:t>
            </w:r>
            <w:r w:rsidRPr="00D313A6">
              <w:rPr>
                <w:rFonts w:cs="Arial"/>
                <w:sz w:val="16"/>
                <w:szCs w:val="16"/>
                <w:lang w:val="en-US"/>
              </w:rPr>
              <w:t xml:space="preserve">-HPV </w:t>
            </w:r>
          </w:p>
          <w:p w14:paraId="65DF0BD5"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100%, </w:t>
            </w:r>
            <w:r w:rsidRPr="00E44711">
              <w:rPr>
                <w:rFonts w:cs="Arial"/>
                <w:sz w:val="16"/>
                <w:szCs w:val="16"/>
              </w:rPr>
              <w:t>γ</w:t>
            </w:r>
            <w:r w:rsidRPr="00D313A6">
              <w:rPr>
                <w:rFonts w:cs="Arial"/>
                <w:sz w:val="16"/>
                <w:szCs w:val="16"/>
                <w:lang w:val="en-US"/>
              </w:rPr>
              <w:t>-HPV</w:t>
            </w:r>
          </w:p>
          <w:p w14:paraId="38D5CDF6"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100%, MCV</w:t>
            </w:r>
          </w:p>
          <w:p w14:paraId="7D4B1933"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100%, </w:t>
            </w:r>
            <w:r w:rsidRPr="00E44711">
              <w:rPr>
                <w:rFonts w:cs="Arial"/>
                <w:sz w:val="16"/>
                <w:szCs w:val="16"/>
              </w:rPr>
              <w:t>α</w:t>
            </w:r>
            <w:r w:rsidRPr="00D313A6">
              <w:rPr>
                <w:rFonts w:cs="Arial"/>
                <w:sz w:val="16"/>
                <w:szCs w:val="16"/>
                <w:lang w:val="en-US"/>
              </w:rPr>
              <w:t>-</w:t>
            </w:r>
            <w:proofErr w:type="spellStart"/>
            <w:r w:rsidRPr="00D313A6">
              <w:rPr>
                <w:rFonts w:cs="Arial"/>
                <w:sz w:val="16"/>
                <w:szCs w:val="16"/>
                <w:lang w:val="en-US"/>
              </w:rPr>
              <w:t>PyV</w:t>
            </w:r>
            <w:proofErr w:type="spellEnd"/>
          </w:p>
          <w:p w14:paraId="4512BAA1"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100%, </w:t>
            </w:r>
            <w:r w:rsidRPr="00E44711">
              <w:rPr>
                <w:rFonts w:ascii="Cambria Math" w:hAnsi="Cambria Math" w:cs="Cambria Math"/>
                <w:sz w:val="16"/>
                <w:szCs w:val="16"/>
              </w:rPr>
              <w:t>𝛿</w:t>
            </w:r>
            <w:r w:rsidRPr="00D313A6">
              <w:rPr>
                <w:rFonts w:cs="Arial"/>
                <w:sz w:val="16"/>
                <w:szCs w:val="16"/>
                <w:lang w:val="en-US"/>
              </w:rPr>
              <w:t xml:space="preserve"> -</w:t>
            </w:r>
            <w:proofErr w:type="spellStart"/>
            <w:r w:rsidRPr="00D313A6">
              <w:rPr>
                <w:rFonts w:cs="Arial"/>
                <w:sz w:val="16"/>
                <w:szCs w:val="16"/>
                <w:lang w:val="en-US"/>
              </w:rPr>
              <w:t>PyV</w:t>
            </w:r>
            <w:proofErr w:type="spellEnd"/>
          </w:p>
          <w:p w14:paraId="7A8E8B20"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93%, µ-HPV</w:t>
            </w:r>
          </w:p>
        </w:tc>
        <w:tc>
          <w:tcPr>
            <w:tcW w:w="1418" w:type="dxa"/>
            <w:gridSpan w:val="2"/>
            <w:tcBorders>
              <w:left w:val="nil"/>
            </w:tcBorders>
          </w:tcPr>
          <w:p w14:paraId="497C4642"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67%, </w:t>
            </w:r>
            <w:r w:rsidRPr="00E44711">
              <w:rPr>
                <w:rFonts w:cs="Arial"/>
                <w:sz w:val="16"/>
                <w:szCs w:val="16"/>
              </w:rPr>
              <w:t>β</w:t>
            </w:r>
            <w:r w:rsidRPr="00D313A6">
              <w:rPr>
                <w:rFonts w:cs="Arial"/>
                <w:sz w:val="16"/>
                <w:szCs w:val="16"/>
                <w:lang w:val="en-US"/>
              </w:rPr>
              <w:t>-</w:t>
            </w:r>
            <w:proofErr w:type="spellStart"/>
            <w:r w:rsidRPr="00D313A6">
              <w:rPr>
                <w:rFonts w:cs="Arial"/>
                <w:sz w:val="16"/>
                <w:szCs w:val="16"/>
                <w:lang w:val="en-US"/>
              </w:rPr>
              <w:t>PyV</w:t>
            </w:r>
            <w:proofErr w:type="spellEnd"/>
          </w:p>
          <w:p w14:paraId="3FA020BA"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41%, HSV-1/2 </w:t>
            </w:r>
          </w:p>
          <w:p w14:paraId="7D1455BC"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33%, EBV </w:t>
            </w:r>
          </w:p>
          <w:p w14:paraId="102A0928"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22%, TTV </w:t>
            </w:r>
          </w:p>
          <w:p w14:paraId="37AE00C0"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19%, HCMV </w:t>
            </w:r>
          </w:p>
          <w:p w14:paraId="295F8896"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 xml:space="preserve">7%, HHV-6/7 </w:t>
            </w:r>
          </w:p>
          <w:p w14:paraId="5107BD3B" w14:textId="77777777" w:rsidR="00802888" w:rsidRPr="00D313A6" w:rsidRDefault="00802888" w:rsidP="002342FE">
            <w:pPr>
              <w:spacing w:line="240" w:lineRule="auto"/>
              <w:rPr>
                <w:rFonts w:cs="Arial"/>
                <w:sz w:val="16"/>
                <w:szCs w:val="16"/>
                <w:lang w:val="en-US"/>
              </w:rPr>
            </w:pPr>
            <w:r w:rsidRPr="00D313A6">
              <w:rPr>
                <w:rFonts w:cs="Arial"/>
                <w:sz w:val="16"/>
                <w:szCs w:val="16"/>
                <w:lang w:val="en-US"/>
              </w:rPr>
              <w:t>4%, VZV</w:t>
            </w:r>
          </w:p>
        </w:tc>
      </w:tr>
      <w:tr w:rsidR="00802888" w:rsidRPr="00802888" w14:paraId="3C4E9E51" w14:textId="77777777" w:rsidTr="002342FE">
        <w:tc>
          <w:tcPr>
            <w:tcW w:w="851" w:type="dxa"/>
            <w:vMerge w:val="restart"/>
          </w:tcPr>
          <w:p w14:paraId="02AA234E" w14:textId="77777777" w:rsidR="00802888" w:rsidRPr="00E44711" w:rsidRDefault="00802888" w:rsidP="002342FE">
            <w:pPr>
              <w:spacing w:line="240" w:lineRule="auto"/>
              <w:rPr>
                <w:rFonts w:cs="Arial"/>
                <w:sz w:val="16"/>
                <w:szCs w:val="16"/>
                <w:lang w:val="en-US"/>
              </w:rPr>
            </w:pPr>
            <w:r w:rsidRPr="00E44711">
              <w:rPr>
                <w:rFonts w:cs="Arial"/>
                <w:sz w:val="16"/>
                <w:szCs w:val="16"/>
              </w:rPr>
              <w:fldChar w:fldCharType="begin" w:fldLock="1"/>
            </w:r>
            <w:r w:rsidRPr="00D313A6">
              <w:rPr>
                <w:rFonts w:cs="Arial"/>
                <w:sz w:val="16"/>
                <w:szCs w:val="16"/>
                <w:lang w:val="en-US"/>
              </w:rPr>
              <w:instrText>ADDIN CSL_CITATION {"citationItems":[{"id":"ITEM-1","itemData":{"DOI":"10.1016/j.jid.2018.02.038","ISSN":"15231747","PMID":"29548797","abstract":"Our understanding of the microbiome and the role of Propionibacterium acnes in skin homeostasis and acne pathogenesis is evolving. Multiple methods for sampling and identifying the skin's microbiome exist, and understanding the differences between the abilities of various methods to characterize the microbial landscape is warranted. This study compared the microbial diversity of samples obtained from the cheeks of 20 volunteers, collected by surface swab, pore strips, and cyanoacrylate glue follicular biopsy, all sequenced with 16S rRNA sequencing (V1–V3) and whole-genome metagenomic sequencing. The sequencing method of choice influenced the detection of microbial profiles as whole-genome sequencing captured more species diversity, including viruses, compared with 16S sequencing. The relative abundance of bacterial or fungal species and overall diversity did not differ between sampling methods. However, the viral composition of the skin's surface is unique compared with the follicle, suggesting distinct viral niches w</w:instrText>
            </w:r>
            <w:r>
              <w:rPr>
                <w:rFonts w:cs="Arial"/>
                <w:sz w:val="16"/>
                <w:szCs w:val="16"/>
              </w:rPr>
              <w:instrText>ithin the skin. P. acnes bacteria, ribotypes, and bacteriophages were identified equally by all sampling methods indicating that the sampling method, whether for the skin's surface or follicle, does not impact P. acnes-related characterization and that all may be equally useful for acne-related research studies.","autho</w:instrText>
            </w:r>
            <w:r w:rsidRPr="00D313A6">
              <w:rPr>
                <w:rFonts w:cs="Arial"/>
                <w:sz w:val="16"/>
                <w:szCs w:val="16"/>
                <w:lang w:val="en-US"/>
              </w:rPr>
              <w:instrText>r":[{"dropping-particle":"","family":"Hall","given":"Jacob B.","non-dropping-particle":"","parse-names":false,"suffix":""},{"dropping-particle":"","family":"Cong","given":"Zhaoyuan","non-dropping-particle":"","parse-names":false,"suffix":""},{"dropping-particle":"","family":"Imamura-Kawasawa","given":"Yuka","non-dropping-particle":"","parse-names":false,"suffix":""},{"dropping-particle":"","family":"Kidd","given":"Brian A.","non-dropping-particle":"","parse-names":false,"suffix":""},{"dropping-particle":"","family":"Dudley","given":"Joel T.","non-dropping-particle":"","parse-names":false,"suffix":""},{"dropping-particle":"","family":"Thiboutot","given":"Diane M.","non-dropping-particle":"","parse-names":false,"suffix":""},{"dropping-particle":"","family":"Nelson","given":"Amanda M.","non-dropping-particle":"","parse-names":false,"suffix":""}],"container-title":"Journal of Investigative Dermatology","id":"ITEM-1","issue":"9","issued":{"date-parts":[["2018","9","1"]]},"page":"2033-2040","publisher":"Elsevier","title":"Isolation and Identification of the Follicular Microbiome: Implications for Acne Research","type":"article-journal","volume":"138"},"uris":["http://www.mendeley.com/documents/?uuid=3370415e-1f7c-35bd-a058-92471dc80a2f"]}],"mendeley":{"formattedCitation":"[7]","plainTextFormattedCitation":"[7]","previouslyFormattedCitation":"(Hall et al., 2018)"},"properties":{"noteIndex":0},"schema":"https://github.com/citation-style-language/schema/raw/master/csl-citation.json"}</w:instrText>
            </w:r>
            <w:r w:rsidRPr="00E44711">
              <w:rPr>
                <w:rFonts w:cs="Arial"/>
                <w:sz w:val="16"/>
                <w:szCs w:val="16"/>
              </w:rPr>
              <w:fldChar w:fldCharType="separate"/>
            </w:r>
            <w:r w:rsidRPr="00D313A6">
              <w:rPr>
                <w:rFonts w:cs="Arial"/>
                <w:noProof/>
                <w:sz w:val="16"/>
                <w:szCs w:val="16"/>
                <w:lang w:val="en-US"/>
              </w:rPr>
              <w:t>[7]</w:t>
            </w:r>
            <w:r w:rsidRPr="00E44711">
              <w:rPr>
                <w:rFonts w:cs="Arial"/>
                <w:sz w:val="16"/>
                <w:szCs w:val="16"/>
              </w:rPr>
              <w:fldChar w:fldCharType="end"/>
            </w:r>
          </w:p>
        </w:tc>
        <w:tc>
          <w:tcPr>
            <w:tcW w:w="850" w:type="dxa"/>
          </w:tcPr>
          <w:p w14:paraId="541913B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skin</w:t>
            </w:r>
          </w:p>
        </w:tc>
        <w:tc>
          <w:tcPr>
            <w:tcW w:w="851" w:type="dxa"/>
          </w:tcPr>
          <w:p w14:paraId="61155B8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skin swab</w:t>
            </w:r>
          </w:p>
        </w:tc>
        <w:tc>
          <w:tcPr>
            <w:tcW w:w="1134" w:type="dxa"/>
          </w:tcPr>
          <w:p w14:paraId="0B64F594" w14:textId="77777777" w:rsidR="00802888" w:rsidRPr="00E44711" w:rsidRDefault="00802888" w:rsidP="002342FE">
            <w:pPr>
              <w:spacing w:line="240" w:lineRule="auto"/>
              <w:rPr>
                <w:rFonts w:cs="Arial"/>
                <w:sz w:val="16"/>
                <w:szCs w:val="16"/>
                <w:lang w:val="en-US"/>
              </w:rPr>
            </w:pPr>
          </w:p>
        </w:tc>
        <w:tc>
          <w:tcPr>
            <w:tcW w:w="1843" w:type="dxa"/>
            <w:vMerge w:val="restart"/>
          </w:tcPr>
          <w:p w14:paraId="3B2DF6B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KAPA </w:t>
            </w:r>
            <w:proofErr w:type="spellStart"/>
            <w:r w:rsidRPr="00E44711">
              <w:rPr>
                <w:rFonts w:cs="Arial"/>
                <w:sz w:val="16"/>
                <w:szCs w:val="16"/>
                <w:lang w:val="en-US"/>
              </w:rPr>
              <w:t>HyperPlus</w:t>
            </w:r>
            <w:proofErr w:type="spellEnd"/>
            <w:r w:rsidRPr="00E44711">
              <w:rPr>
                <w:rFonts w:cs="Arial"/>
                <w:sz w:val="16"/>
                <w:szCs w:val="16"/>
                <w:lang w:val="en-US"/>
              </w:rPr>
              <w:t xml:space="preserve"> Library Preparation Kit (Kapa Biosystems) </w:t>
            </w:r>
            <w:proofErr w:type="gramStart"/>
            <w:r w:rsidRPr="00E44711">
              <w:rPr>
                <w:rFonts w:cs="Arial"/>
                <w:sz w:val="16"/>
                <w:szCs w:val="16"/>
                <w:lang w:val="en-US"/>
              </w:rPr>
              <w:t xml:space="preserve">+  </w:t>
            </w:r>
            <w:proofErr w:type="spellStart"/>
            <w:r w:rsidRPr="00E44711">
              <w:rPr>
                <w:rFonts w:cs="Arial"/>
                <w:sz w:val="16"/>
                <w:szCs w:val="16"/>
                <w:lang w:val="en-US"/>
              </w:rPr>
              <w:t>HiSeq</w:t>
            </w:r>
            <w:proofErr w:type="spellEnd"/>
            <w:proofErr w:type="gramEnd"/>
            <w:r w:rsidRPr="00E44711">
              <w:rPr>
                <w:rFonts w:cs="Arial"/>
                <w:sz w:val="16"/>
                <w:szCs w:val="16"/>
                <w:lang w:val="en-US"/>
              </w:rPr>
              <w:t xml:space="preserve"> 2500 (Illumina)</w:t>
            </w:r>
          </w:p>
        </w:tc>
        <w:tc>
          <w:tcPr>
            <w:tcW w:w="1701" w:type="dxa"/>
          </w:tcPr>
          <w:p w14:paraId="6D5DF2E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10 healthy individuals</w:t>
            </w:r>
          </w:p>
        </w:tc>
        <w:tc>
          <w:tcPr>
            <w:tcW w:w="2835" w:type="dxa"/>
            <w:gridSpan w:val="3"/>
          </w:tcPr>
          <w:p w14:paraId="483BE1B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20 %, HPV</w:t>
            </w:r>
          </w:p>
        </w:tc>
      </w:tr>
      <w:tr w:rsidR="00802888" w:rsidRPr="00802888" w14:paraId="562D53B9" w14:textId="77777777" w:rsidTr="002342FE">
        <w:tc>
          <w:tcPr>
            <w:tcW w:w="851" w:type="dxa"/>
            <w:vMerge/>
          </w:tcPr>
          <w:p w14:paraId="2F1C60CB" w14:textId="77777777" w:rsidR="00802888" w:rsidRPr="00E44711" w:rsidRDefault="00802888" w:rsidP="002342FE">
            <w:pPr>
              <w:spacing w:line="240" w:lineRule="auto"/>
              <w:rPr>
                <w:rFonts w:cs="Arial"/>
                <w:sz w:val="16"/>
                <w:szCs w:val="16"/>
                <w:lang w:val="en-US"/>
              </w:rPr>
            </w:pPr>
          </w:p>
        </w:tc>
        <w:tc>
          <w:tcPr>
            <w:tcW w:w="850" w:type="dxa"/>
          </w:tcPr>
          <w:p w14:paraId="6EBA1DA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hair follicle</w:t>
            </w:r>
          </w:p>
        </w:tc>
        <w:tc>
          <w:tcPr>
            <w:tcW w:w="851" w:type="dxa"/>
          </w:tcPr>
          <w:p w14:paraId="75100ADF"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glue follicular biopsy</w:t>
            </w:r>
          </w:p>
        </w:tc>
        <w:tc>
          <w:tcPr>
            <w:tcW w:w="1134" w:type="dxa"/>
          </w:tcPr>
          <w:p w14:paraId="037DF53E" w14:textId="77777777" w:rsidR="00802888" w:rsidRPr="00E44711" w:rsidRDefault="00802888" w:rsidP="002342FE">
            <w:pPr>
              <w:spacing w:line="240" w:lineRule="auto"/>
              <w:rPr>
                <w:rFonts w:cs="Arial"/>
                <w:sz w:val="16"/>
                <w:szCs w:val="16"/>
                <w:lang w:val="en-US"/>
              </w:rPr>
            </w:pPr>
          </w:p>
        </w:tc>
        <w:tc>
          <w:tcPr>
            <w:tcW w:w="1843" w:type="dxa"/>
            <w:vMerge/>
          </w:tcPr>
          <w:p w14:paraId="1235F21D" w14:textId="77777777" w:rsidR="00802888" w:rsidRPr="00E44711" w:rsidRDefault="00802888" w:rsidP="002342FE">
            <w:pPr>
              <w:spacing w:line="240" w:lineRule="auto"/>
              <w:rPr>
                <w:rFonts w:cs="Arial"/>
                <w:sz w:val="16"/>
                <w:szCs w:val="16"/>
                <w:lang w:val="en-US"/>
              </w:rPr>
            </w:pPr>
          </w:p>
        </w:tc>
        <w:tc>
          <w:tcPr>
            <w:tcW w:w="1701" w:type="dxa"/>
          </w:tcPr>
          <w:p w14:paraId="3A960AE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20 healthy individuals</w:t>
            </w:r>
          </w:p>
        </w:tc>
        <w:tc>
          <w:tcPr>
            <w:tcW w:w="2835" w:type="dxa"/>
            <w:gridSpan w:val="3"/>
          </w:tcPr>
          <w:p w14:paraId="292D9EA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10%, AAV</w:t>
            </w:r>
          </w:p>
        </w:tc>
      </w:tr>
      <w:tr w:rsidR="00802888" w:rsidRPr="00E44711" w14:paraId="2CD51716" w14:textId="77777777" w:rsidTr="002342FE">
        <w:tc>
          <w:tcPr>
            <w:tcW w:w="851" w:type="dxa"/>
          </w:tcPr>
          <w:p w14:paraId="23F1CA3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{"citationItems":[{"id":"ITEM-1","itemData":{"DOI":"10.1371/journal.ppat.1000011","ISSN":"15537366","PMID":"18398449","abstract":"Worldwide, approximately 1.8 million children die from diarrhea annually, and millions more suffer multiple episodes of nonfatal diarrhea. On average, in up to 40% of cases, no etiologic agent can be identified. The advent of metagenomic sequencing has enabled systematic and unbiased characterization of microbial populations; thus, metagenomic approaches have the potential to define the spectrum of viruses, including novel viruses, present in stool during episodes of acute diarrhea. The detection of novel or unexpected viruses would then enable investigations to assess whether these agents play a causal role in human diarrhea. In this study, we characterized the eukaryotic viral communities present in diarrhea specimens from 12 children by employing a strategy of \"micro-mass sequencing\" that entails minimal starting sample quantity (&lt;100 mg stool), minimal sample purification, and limited sequencing (384 reads per sample). Using this methodology we detected known enteric viruses as well as multiple sequences from putatively novel viruses with only limited sequence similarity to viruses in GenBank. © 2008 Finkbeiner et al.","author":[{"dropping-particle":"","family":"Finkbeiner","given":"Stacy R.","non-dropping-particle":"","parse-names":false,"suffix":""},{"dropping-particle":"","family":"Allred","given":"Adam F.","non-dropping-particle":"","parse-names":false,"suffix":""},{"dropping-particle":"","family":"Tarr","given":"Phillip I.","non-dropping-particle":"","parse-names":false,"suffix":""},{"dropping-particle":"","family":"Klein","given":"Eileen J.","non-dropping-particle":"","parse-names":false,"suffix":""},{"dropping-particle":"","family":"Kirkwood","given":"Carl D.","non-dropping-particle":"","parse-names":false,"suffix":""},{"dropping-particle":"","family":"Wang","given":"David","non-dropping-particle":"","parse-names":false,"suffix":""}],"container-title":"PLoS Pathogens","id":"ITEM-1","issue":"2","issued":{"date-parts":[["2008","2"]]},"page":"e1000011","publisher":"Public Library of Science","title":"Metagenomic analysis of human diarrhea: Viral detection and discovery","type":"article-journal","volume":"4"},"uris":["http://www.mendeley.com/documents/?uuid=6c0ddd4d-0885-3072-897f-dd70b415c3fa"]}],"mendeley":{"formattedCitation":"[8]","plainTextFormattedCitation":"[8]","previouslyFormattedCitation":"(Finkbeiner et al., 2008)"},"properties":{"noteIndex":0},"schema":"https://github.com/citation-style-language/schema/raw/master/csl-citation.json"}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[8]</w:t>
            </w:r>
            <w:r w:rsidRPr="00E44711">
              <w:rPr>
                <w:rFonts w:cs="Arial"/>
                <w:sz w:val="16"/>
                <w:szCs w:val="16"/>
                <w:lang w:val="en-US"/>
              </w:rPr>
              <w:fldChar w:fldCharType="end"/>
            </w:r>
          </w:p>
        </w:tc>
        <w:tc>
          <w:tcPr>
            <w:tcW w:w="850" w:type="dxa"/>
          </w:tcPr>
          <w:p w14:paraId="0DE8141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gut</w:t>
            </w:r>
          </w:p>
        </w:tc>
        <w:tc>
          <w:tcPr>
            <w:tcW w:w="851" w:type="dxa"/>
          </w:tcPr>
          <w:p w14:paraId="1B57D4A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stool</w:t>
            </w:r>
          </w:p>
        </w:tc>
        <w:tc>
          <w:tcPr>
            <w:tcW w:w="1134" w:type="dxa"/>
          </w:tcPr>
          <w:p w14:paraId="1386E9A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Sanger sequencing (384 clones were sequenced for each individual sample)</w:t>
            </w:r>
          </w:p>
        </w:tc>
        <w:tc>
          <w:tcPr>
            <w:tcW w:w="1843" w:type="dxa"/>
          </w:tcPr>
          <w:p w14:paraId="39BDBE3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Big Dye terminator (v3.1)</w:t>
            </w:r>
          </w:p>
          <w:p w14:paraId="3F3675E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 with ABI 3730xl</w:t>
            </w:r>
          </w:p>
        </w:tc>
        <w:tc>
          <w:tcPr>
            <w:tcW w:w="1701" w:type="dxa"/>
          </w:tcPr>
          <w:p w14:paraId="275614C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12 children with diarrhea from Australia or USA</w:t>
            </w:r>
          </w:p>
          <w:p w14:paraId="2C680BC8" w14:textId="77777777" w:rsidR="00802888" w:rsidRPr="00E44711" w:rsidRDefault="00802888" w:rsidP="002342FE">
            <w:pPr>
              <w:spacing w:line="240" w:lineRule="auto"/>
              <w:rPr>
                <w:rFonts w:cs="Arial"/>
                <w:sz w:val="16"/>
                <w:szCs w:val="16"/>
                <w:lang w:val="en-US"/>
              </w:rPr>
            </w:pPr>
          </w:p>
        </w:tc>
        <w:tc>
          <w:tcPr>
            <w:tcW w:w="2835" w:type="dxa"/>
            <w:gridSpan w:val="3"/>
          </w:tcPr>
          <w:p w14:paraId="2E98CA4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17%, AAV</w:t>
            </w:r>
          </w:p>
          <w:p w14:paraId="3695D33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17%, </w:t>
            </w:r>
            <w:proofErr w:type="spellStart"/>
            <w:r w:rsidRPr="00E44711">
              <w:rPr>
                <w:rFonts w:cs="Arial"/>
                <w:sz w:val="16"/>
                <w:szCs w:val="16"/>
                <w:lang w:val="en-US"/>
              </w:rPr>
              <w:t>AdV</w:t>
            </w:r>
            <w:proofErr w:type="spellEnd"/>
          </w:p>
        </w:tc>
      </w:tr>
      <w:tr w:rsidR="00802888" w:rsidRPr="00EB6544" w14:paraId="3D5E4B33" w14:textId="77777777" w:rsidTr="002342FE">
        <w:tc>
          <w:tcPr>
            <w:tcW w:w="851" w:type="dxa"/>
          </w:tcPr>
          <w:p w14:paraId="05E3779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{"citationItems":[{"id":"ITEM-1","itemData":{"DOI":"10.1128/jvi.01427-12","ISSN":"0022-538X","PMID":"22855485","abstract":"Parvoviruses cause a variety of mild to severe symptoms or asymptomatic infections in humans and animals. During a viral metagenomic analysis of feces from children with acute diarrhea in Burkina Faso, we identified in decreasing prevalence nucleic acids from anelloviruses, dependoviruses, sapoviruses, enteroviruses, bocaviruses, noroviruses, adenoviruses, parechoviruses, rotaviruses, cosavirus, astroviruses, and hepatitis B virus. Sequences from a highly divergent parvovirus, provisionally called bufavirus, were also detected whose NS1 and VP1 proteins showed&lt;39% and&lt;31% identities to those of previously known parvoviruses. Four percent of the fecal samples were PCR positive for this new parvovirus, including a related bufavirus species showing only 72% identity in VP1. The high degree of genetic divergence of these related genomes from those of other parvoviruses indicates the presence of a proposed new Parvoviridae genus containing at least two species. Studies of the tropism and pathogenicity of these novel parvoviruses will be facilitated by the availability of their genome sequences. © 2012, American Society for Microbiology.","author":[{"dropping-particle":"","family":"Phan","given":"T. G.","non-dropping-particle":"","parse-names":false,"suffix":""},{"dropping-particle":"","family":"Vo","given":"N. P.","non-dropping-particle":"","parse-names":false,"suffix":""},{"dropping-particle":"","family":"Bonkoungou","given":"I. J. O.","non-dropping-particle":"","parse-names":false,"suffix":""},{"dropping-particle":"","family":"Kapoor","given":"A.","non-dropping-particle":"","parse-names":false,"suffix":""},{"dropping-particle":"","family":"Barro","given":"N.","non-dropping-particle":"","parse-names":false,"suffix":""},{"dropping-particle":"","family":"O'Ryan","given":"M.","non-dropping-particle":"","parse-names":false,"suffix":""},{"dropping-particle":"","family":"Kapusinszky","given":"B.","non-dropping-particle":"","parse-names":false,"suffix":""},{"dropping-particle":"","family":"Wang","given":"C.","non-dropping-particle":"","parse-names":false,"suffix":""},{"dropping-particle":"","family":"Delwart","given":"E.","non-dropping-particle":"","parse-names":false,"suffix":""}],"container-title":"Journal of Virology","id":"ITEM-1","issue":"20","issued":{"date-parts":[["2012","10","15"]]},"page":"11024-11030","publisher":"J Virol","title":"Acute Diarrhea in West African Children: Diverse Enteric Viruses and a Novel Parvovirus Genus","type":"article-journal","volume":"86"},"uris":["http://www.mendeley.com/documents/?uuid=e3d02c3f-103d-3a91-8cf6-9518d9074b1a"]}],"mendeley":{"formattedCitation":"[9]","plainTextFormattedCitation":"[9]","previouslyFormattedCitation":"(Phan et al., 2012)"},"properties":{"noteIndex":0},"schema":"https://github.com/citation-style-language/schema/raw/master/csl-citation.json"}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[9]</w:t>
            </w:r>
            <w:r w:rsidRPr="00E44711">
              <w:rPr>
                <w:rFonts w:cs="Arial"/>
                <w:sz w:val="16"/>
                <w:szCs w:val="16"/>
                <w:lang w:val="en-US"/>
              </w:rPr>
              <w:fldChar w:fldCharType="end"/>
            </w:r>
          </w:p>
        </w:tc>
        <w:tc>
          <w:tcPr>
            <w:tcW w:w="850" w:type="dxa"/>
          </w:tcPr>
          <w:p w14:paraId="0270ACF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gut</w:t>
            </w:r>
          </w:p>
        </w:tc>
        <w:tc>
          <w:tcPr>
            <w:tcW w:w="851" w:type="dxa"/>
          </w:tcPr>
          <w:p w14:paraId="37A81490"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stool</w:t>
            </w:r>
          </w:p>
        </w:tc>
        <w:tc>
          <w:tcPr>
            <w:tcW w:w="1134" w:type="dxa"/>
          </w:tcPr>
          <w:p w14:paraId="46299ED3" w14:textId="77777777" w:rsidR="00802888" w:rsidRPr="00E44711" w:rsidRDefault="00802888" w:rsidP="002342FE">
            <w:pPr>
              <w:spacing w:line="240" w:lineRule="auto"/>
              <w:rPr>
                <w:rFonts w:cs="Arial"/>
                <w:sz w:val="16"/>
                <w:szCs w:val="16"/>
                <w:lang w:val="en-US"/>
              </w:rPr>
            </w:pPr>
          </w:p>
        </w:tc>
        <w:tc>
          <w:tcPr>
            <w:tcW w:w="1843" w:type="dxa"/>
          </w:tcPr>
          <w:p w14:paraId="45BECC3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454 Titanium FLX + </w:t>
            </w:r>
            <w:proofErr w:type="gramStart"/>
            <w:r w:rsidRPr="00E44711">
              <w:rPr>
                <w:rFonts w:cs="Arial"/>
                <w:sz w:val="16"/>
                <w:szCs w:val="16"/>
                <w:lang w:val="en-US"/>
              </w:rPr>
              <w:t>sequencer  (</w:t>
            </w:r>
            <w:proofErr w:type="gramEnd"/>
            <w:r w:rsidRPr="00E44711">
              <w:rPr>
                <w:rFonts w:cs="Arial"/>
                <w:sz w:val="16"/>
                <w:szCs w:val="16"/>
                <w:lang w:val="en-US"/>
              </w:rPr>
              <w:t>454 Life Sciences)</w:t>
            </w:r>
          </w:p>
        </w:tc>
        <w:tc>
          <w:tcPr>
            <w:tcW w:w="1701" w:type="dxa"/>
          </w:tcPr>
          <w:p w14:paraId="43ACF900"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49 children with acute diarrhea from Western Africa</w:t>
            </w:r>
          </w:p>
        </w:tc>
        <w:tc>
          <w:tcPr>
            <w:tcW w:w="1417" w:type="dxa"/>
            <w:tcBorders>
              <w:right w:val="nil"/>
            </w:tcBorders>
          </w:tcPr>
          <w:p w14:paraId="5DD9567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69%, TTV</w:t>
            </w:r>
          </w:p>
          <w:p w14:paraId="75D7929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24%, AAV</w:t>
            </w:r>
          </w:p>
          <w:p w14:paraId="6A1F5F87"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16%, </w:t>
            </w:r>
            <w:proofErr w:type="spellStart"/>
            <w:r w:rsidRPr="00E44711">
              <w:rPr>
                <w:rFonts w:cs="Arial"/>
                <w:sz w:val="16"/>
                <w:szCs w:val="16"/>
                <w:lang w:val="en-US"/>
              </w:rPr>
              <w:t>HboV</w:t>
            </w:r>
            <w:proofErr w:type="spellEnd"/>
          </w:p>
        </w:tc>
        <w:tc>
          <w:tcPr>
            <w:tcW w:w="1418" w:type="dxa"/>
            <w:gridSpan w:val="2"/>
            <w:tcBorders>
              <w:left w:val="nil"/>
            </w:tcBorders>
          </w:tcPr>
          <w:p w14:paraId="50A0B28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10%, </w:t>
            </w:r>
            <w:proofErr w:type="spellStart"/>
            <w:r w:rsidRPr="00E44711">
              <w:rPr>
                <w:rFonts w:cs="Arial"/>
                <w:sz w:val="16"/>
                <w:szCs w:val="16"/>
                <w:lang w:val="en-US"/>
              </w:rPr>
              <w:t>AdV</w:t>
            </w:r>
            <w:proofErr w:type="spellEnd"/>
          </w:p>
          <w:p w14:paraId="3FEEDCB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4%, </w:t>
            </w:r>
            <w:proofErr w:type="spellStart"/>
            <w:r w:rsidRPr="00E44711">
              <w:rPr>
                <w:rFonts w:cs="Arial"/>
                <w:sz w:val="16"/>
                <w:szCs w:val="16"/>
                <w:lang w:val="en-US"/>
              </w:rPr>
              <w:t>BuV</w:t>
            </w:r>
            <w:proofErr w:type="spellEnd"/>
          </w:p>
          <w:p w14:paraId="4996E86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 HBV</w:t>
            </w:r>
          </w:p>
        </w:tc>
      </w:tr>
      <w:tr w:rsidR="00802888" w:rsidRPr="00E44711" w14:paraId="0CF4702B" w14:textId="77777777" w:rsidTr="002342FE">
        <w:tc>
          <w:tcPr>
            <w:tcW w:w="851" w:type="dxa"/>
          </w:tcPr>
          <w:p w14:paraId="6577BB9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{"citationItems":[{"id":"ITEM-1","itemData":{"DOI":"10.3201/eid2007.140190","ISSN":"10806059","PMID":"24964003","abstract":"Emerging viral infections can be identified by using a viral metagenomics approach for clinical human material. Diarrhea samples of patients with unexplained gastroenteritis from the Netherlands were analyzed by using viral metagenomics. Novel circular DNA viruses, bufaviruses, and genogroup III picobirnaviruses were identified. These data expand our knowledge of the human virome.","author":[{"dropping-particle":"","family":"Smits","given":"Saskia L.","non-dropping-particle":"","parse-names":false,"suffix":""},{"dropping-particle":"","family":"Schapendonk","given":"Claudia M.E.","non-dropping-particle":"","parse-names":false,"suffix":""},{"dropping-particle":"","family":"Beek","given":"Janko","non-dropping-particle":"van","parse-names":false,"suffix":""},{"dropping-particle":"","family":"Vennema","given":"Harry","non-dropping-particle":"","parse-names":false,"suffix":""},{"dropping-particle":"","family":"Schürch","given":"Anita C.","non-dropping-particle":"","parse-names":false,"suffix":""},{"dropping-particle":"","family":"Schipper","given":"Debby","non-dropping-particle":"","parse-names":false,"suffix":""},{"dropping-particle":"","family":"Bodewes","given":"Rogier","non-dropping-particle":"","parse-names":false,"suffix":""},{"dropping-particle":"","family":"Haagmans","given":"Bart L.","non-dropping-particle":"","parse-names":false,"suffix":""},{"dropping-particle":"","family":"Osterhaus","given":"Albert D.M.E.","non-dropping-particle":"","parse-names":false,"suffix":""},{"dropping-particle":"","family":"Koopmans","given":"Marion P.","non-dropping-particle":"","parse-names":false,"suffix":""}],"container-title":"Emerging Infectious Diseases","id":"ITEM-1","issue":"7","issued":{"date-parts":[["2014"]]},"page":"1218-1222","publisher":"Centers for Disease Control and Prevention","title":"New viruses in idiopathic human diarrhea cases, the Netherlands","type":"article-journal","volume":"20"},"uris":["http://www.mendeley.com/documents/?uuid=aab1f5b0-901b-37d8-990d-9c6ca0a6154d"]}],"mendeley":{"formattedCitation":"[10]","plainTextFormattedCitation":"[10]","previouslyFormattedCitation":"(Smits et al., 2014)"},"properties":{"noteIndex":0},"schema":"https://github.com/citation-style-language/schema/raw/master/csl-citation.json"}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[10]</w:t>
            </w:r>
            <w:r w:rsidRPr="00E44711">
              <w:rPr>
                <w:rFonts w:cs="Arial"/>
                <w:sz w:val="16"/>
                <w:szCs w:val="16"/>
                <w:lang w:val="en-US"/>
              </w:rPr>
              <w:fldChar w:fldCharType="end"/>
            </w:r>
          </w:p>
        </w:tc>
        <w:tc>
          <w:tcPr>
            <w:tcW w:w="850" w:type="dxa"/>
          </w:tcPr>
          <w:p w14:paraId="3D6393ED"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gut</w:t>
            </w:r>
          </w:p>
        </w:tc>
        <w:tc>
          <w:tcPr>
            <w:tcW w:w="851" w:type="dxa"/>
          </w:tcPr>
          <w:p w14:paraId="302EB44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stool</w:t>
            </w:r>
          </w:p>
        </w:tc>
        <w:tc>
          <w:tcPr>
            <w:tcW w:w="1134" w:type="dxa"/>
          </w:tcPr>
          <w:p w14:paraId="0AC7D993" w14:textId="77777777" w:rsidR="00802888" w:rsidRPr="00E44711" w:rsidRDefault="00802888" w:rsidP="002342FE">
            <w:pPr>
              <w:spacing w:line="240" w:lineRule="auto"/>
              <w:rPr>
                <w:rFonts w:cs="Arial"/>
                <w:sz w:val="16"/>
                <w:szCs w:val="16"/>
                <w:lang w:val="en-US"/>
              </w:rPr>
            </w:pPr>
          </w:p>
        </w:tc>
        <w:tc>
          <w:tcPr>
            <w:tcW w:w="1843" w:type="dxa"/>
          </w:tcPr>
          <w:p w14:paraId="2FF2899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GS FLX Titanium library preparation + </w:t>
            </w:r>
            <w:r w:rsidRPr="00E44711">
              <w:rPr>
                <w:rFonts w:cs="Arial"/>
                <w:sz w:val="16"/>
                <w:szCs w:val="16"/>
                <w:lang w:val="en-US"/>
              </w:rPr>
              <w:lastRenderedPageBreak/>
              <w:t>GS Junior (454 Life Sciences)</w:t>
            </w:r>
          </w:p>
        </w:tc>
        <w:tc>
          <w:tcPr>
            <w:tcW w:w="1701" w:type="dxa"/>
          </w:tcPr>
          <w:p w14:paraId="06950747"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lastRenderedPageBreak/>
              <w:t>27 gastroenteritis patients from the Netherlands</w:t>
            </w:r>
          </w:p>
        </w:tc>
        <w:tc>
          <w:tcPr>
            <w:tcW w:w="2835" w:type="dxa"/>
            <w:gridSpan w:val="3"/>
          </w:tcPr>
          <w:p w14:paraId="1E44E2B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7%, TTV</w:t>
            </w:r>
          </w:p>
          <w:p w14:paraId="53BA81F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4%, EBV</w:t>
            </w:r>
          </w:p>
          <w:p w14:paraId="3518A16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4%, </w:t>
            </w:r>
            <w:proofErr w:type="spellStart"/>
            <w:r w:rsidRPr="00E44711">
              <w:rPr>
                <w:rFonts w:cs="Arial"/>
                <w:sz w:val="16"/>
                <w:szCs w:val="16"/>
                <w:lang w:val="en-US"/>
              </w:rPr>
              <w:t>BuV</w:t>
            </w:r>
            <w:proofErr w:type="spellEnd"/>
          </w:p>
        </w:tc>
      </w:tr>
      <w:tr w:rsidR="00802888" w:rsidRPr="00802888" w14:paraId="1691D791" w14:textId="77777777" w:rsidTr="002342FE">
        <w:tc>
          <w:tcPr>
            <w:tcW w:w="851" w:type="dxa"/>
          </w:tcPr>
          <w:p w14:paraId="187FD83F"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{"citationItems":[{"id":"ITEM-1","itemData":{"DOI":"10.1016/j.virol.2014.09.012","ISSN":"10960341","PMID":"25262473","abstract":"Little is known about the population of eukaryotic viruses in the human gut (\"virome\") or the potential role it may play in disease. We used a metagenomic approach to define and compare the eukaryotic viromes in pediatric diarrhea cohorts from two locations (Melbourne and Northern Territory, Australia). We detected viruses known to cause diarrhea, non-pathogenic enteric viruses, viruses not associated with an enteric reservoir, viruses of plants, and novel viruses. Viromes from Northern Territory children contained more viral families per sample than viromes from Melbourne, which could be attributed largely to an increased number of sequences from the families Adenoviridae and Picornaviridae (genus enterovirus). qRT-PCR/PCR confirmed the increased prevalence of adenoviruses and enteroviruses. Testing of additional diarrhea cohorts by qRT-PCR/PCR demonstrated statistically different prevalences in different geographic sites. These findings raise the question of whether the virome plays a role in enteric diseases and conditions that vary with geography.","author":[{"dropping-particle":"","family":"Holtz","given":"Lori R.","non-dropping-particle":"","parse-names":false,"suffix":""},{"dropping-particle":"","family":"Cao","given":"Song","non-dropping-particle":"","parse-names":false,"suffix":""},{"dropping-particle":"","family":"Zhao","given":"Guoyan","non-dropping-particle":"","parse-names":false,"suffix":""},{"dropping-particle":"","family":"Bauer","given":"Irma K.","non-dropping-particle":"","parse-names":false,"suffix":""},{"dropping-particle":"","family":"Denno","given":"Donna M.","non-dropping-particle":"","parse-names":false,"suffix":""},{"dropping-particle":"","family":"Klein","given":"Eileen J.","non-dropping-particle":"","parse-names":false,"suffix":""},{"dropping-particle":"","family":"Antonio","given":"Martin","non-dropping-particle":"","parse-names":false,"suffix":""},{"dropping-particle":"","family":"Stine","given":"O. Colin","non-dropping-particle":"","parse-names":false,"suffix":""},{"dropping-particle":"","family":"Snelling","given":"Thomas L.","non-dropping-particle":"","parse-names":false,"suffix":""},{"dropping-particle":"","family":"Kirkwood","given":"Carl D.","non-dropping-particle":"","parse-names":false,"suffix":""},{"dropping-particle":"","family":"Wang","given":"David","non-dropping-particle":"","parse-names":false,"suffix":""}],"container-title":"Virology","id":"ITEM-1","issued":{"date-parts":[["2014","11","1"]]},"page":"556-564","publisher":"Virology","title":"Geographic variation in the eukaryotic virome of human diarrhea","type":"article-journal","volume":"468"},"uris":["http://www.mendeley.com/documents/?uuid=459468f3-451e-311c-81d1-948d3b519179"]}],"mendeley":{"formattedCitation":"[11]","plainTextFormattedCitation":"[11]","previouslyFormattedCitation":"(Holtz et al., 2014)"},"properties":{"noteIndex":0},"schema":"https://github.com/citation-style-language/schema/raw/master/csl-citation.json"}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[11]</w:t>
            </w:r>
            <w:r w:rsidRPr="00E44711">
              <w:rPr>
                <w:rFonts w:cs="Arial"/>
                <w:sz w:val="16"/>
                <w:szCs w:val="16"/>
                <w:lang w:val="en-US"/>
              </w:rPr>
              <w:fldChar w:fldCharType="end"/>
            </w:r>
          </w:p>
        </w:tc>
        <w:tc>
          <w:tcPr>
            <w:tcW w:w="850" w:type="dxa"/>
          </w:tcPr>
          <w:p w14:paraId="7B97AC52"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gut</w:t>
            </w:r>
          </w:p>
        </w:tc>
        <w:tc>
          <w:tcPr>
            <w:tcW w:w="851" w:type="dxa"/>
          </w:tcPr>
          <w:p w14:paraId="04BAB1E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stool</w:t>
            </w:r>
          </w:p>
        </w:tc>
        <w:tc>
          <w:tcPr>
            <w:tcW w:w="1134" w:type="dxa"/>
          </w:tcPr>
          <w:p w14:paraId="094815AF" w14:textId="77777777" w:rsidR="00802888" w:rsidRPr="00E44711" w:rsidRDefault="00802888" w:rsidP="002342FE">
            <w:pPr>
              <w:spacing w:line="240" w:lineRule="auto"/>
              <w:rPr>
                <w:rFonts w:cs="Arial"/>
                <w:sz w:val="16"/>
                <w:szCs w:val="16"/>
                <w:lang w:val="en-US"/>
              </w:rPr>
            </w:pPr>
          </w:p>
        </w:tc>
        <w:tc>
          <w:tcPr>
            <w:tcW w:w="1843" w:type="dxa"/>
          </w:tcPr>
          <w:p w14:paraId="2D748C7A" w14:textId="77777777" w:rsidR="00802888" w:rsidRPr="00E44711" w:rsidRDefault="00802888" w:rsidP="002342FE">
            <w:pPr>
              <w:spacing w:line="240" w:lineRule="auto"/>
              <w:rPr>
                <w:rFonts w:cs="Arial"/>
                <w:sz w:val="16"/>
                <w:szCs w:val="16"/>
                <w:lang w:val="en-US"/>
              </w:rPr>
            </w:pPr>
            <w:r w:rsidRPr="00E44711">
              <w:rPr>
                <w:rFonts w:ascii="Tahoma" w:hAnsi="Tahoma" w:cs="Tahoma"/>
                <w:sz w:val="16"/>
                <w:szCs w:val="16"/>
              </w:rPr>
              <w:t>﻿</w:t>
            </w:r>
            <w:r w:rsidRPr="00E44711">
              <w:rPr>
                <w:rFonts w:cs="Arial"/>
                <w:sz w:val="16"/>
                <w:szCs w:val="16"/>
                <w:lang w:val="en-US"/>
              </w:rPr>
              <w:t>454 GS FLX Titanium platform (454 Life Sciences)</w:t>
            </w:r>
          </w:p>
        </w:tc>
        <w:tc>
          <w:tcPr>
            <w:tcW w:w="1701" w:type="dxa"/>
          </w:tcPr>
          <w:p w14:paraId="6B3DFD1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87 children with acute diarrhea from Australia</w:t>
            </w:r>
          </w:p>
        </w:tc>
        <w:tc>
          <w:tcPr>
            <w:tcW w:w="2835" w:type="dxa"/>
            <w:gridSpan w:val="3"/>
          </w:tcPr>
          <w:p w14:paraId="4423FE6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43%, TTV</w:t>
            </w:r>
          </w:p>
          <w:p w14:paraId="33E2959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11%, </w:t>
            </w:r>
            <w:proofErr w:type="spellStart"/>
            <w:r w:rsidRPr="00E44711">
              <w:rPr>
                <w:rFonts w:cs="Arial"/>
                <w:sz w:val="16"/>
                <w:szCs w:val="16"/>
                <w:lang w:val="en-US"/>
              </w:rPr>
              <w:t>AdV</w:t>
            </w:r>
            <w:proofErr w:type="spellEnd"/>
          </w:p>
        </w:tc>
      </w:tr>
      <w:tr w:rsidR="00802888" w:rsidRPr="00802888" w14:paraId="77F5CFE0" w14:textId="77777777" w:rsidTr="002342FE">
        <w:trPr>
          <w:trHeight w:val="742"/>
        </w:trPr>
        <w:tc>
          <w:tcPr>
            <w:tcW w:w="851" w:type="dxa"/>
          </w:tcPr>
          <w:p w14:paraId="74078600"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{"citationItems":[{"id":"ITEM-1","itemData":{"DOI":"10.1128/msphere.00585-18","ISSN":"2379-5042","PMID":"30674646","abstract":"Despite the availability of diagnostic tools for different enteric viral pathogens, a large fraction of human cases of gastroenteritis remains unexplained. This could be due to pathogens not tested for or novel divergent viruses of potential animal origin. Fecal virome analyses of Cameroonians showed a very diverse group of viruses, some of which are genetically related to those identified in animals. This is the first attempt to describe the gut virome of humans from Cameroon. Therefore, the data represent a baseline for future studies on enteric viral pathogens in this area and contribute to our knowledge of the world’s virome. The studies also highlight the fact that more viruses may be associated with diarrhea than the typical known ones. Hence, it provides meaningful epidemiological information on diarrhea-related viruses in this area. Diarrhea remains one of the most common causes of deaths in children. A limited number of studies have investigated the prevalence of enteric pathogens in Cameroon, and as in many other African countries, the cause of many diarrheal episodes remains unexplained. A proportion of these unknown cases of diarrhea are likely caused by yet-unidentified viral agents, some of which could be the result of (recent) interspecies transmission from animal reservoirs, like bats. Using viral metagenomics, we screened fecal samples of 221 humans (almost all with gastroenteritis symptoms) between 0 and 89 years of age with different degrees of bat contact. We identified viruses belonging to families that are known to cause gastroenteritis such as Adenoviridae , Astroviridae , Caliciviridae , Picornaviridae , and Reoviridae . Interestingly, a mammalian orthoreovirus, picobirnaviruses, a smacovirus, and a pecovirus were also found. Although there was no evidence of interspecies transmission of the most common human gastroenteritis-related viruses ( Astroviridae , Caliciviridae , and Reoviridae ), the phylogenies of the identified orthoreovirus, picobirnavirus, and smacovirus indicate a genetic relatedness of these viruses identified in stools of humans and those of bats and/or other animals. These findings points out the possibility of interspecies transmission or simply a shared host of these viruses (bacterial, fungal, parasitic, …) present in both animals (bats) and humans. Further screening of bat viruses in humans or vice versa will elucidate the epidemiological potential threats of animal viruses to human health. Furthermore, thi…","author":[{"dropping-particle":"","family":"Yinda","given":"Claude Kwe","non-dropping-particle":"","parse-names":false,"suffix":""},{"dropping-particle":"","family":"Vanhulle","given":"Emiel","non-dropping-particle":"","parse-names":false,"suffix":""},{"dropping-particle":"","family":"Conceição-Neto","given":"Nádia","non-dropping-particle":"","parse-names":false,"suffix":""},{"dropping-particle":"","family":"Beller","given":"Leen","non-dropping-particle":"","parse-names":false,"suffix":""},{"dropping-particle":"","family":"Deboutte","given":"Ward","non-dropping-particle":"","parse-names":false,"suffix":""},{"dropping-particle":"","family":"Shi","given":"Chenyan","non-dropping-particle":"","parse-names":false,"suffix":""},{"dropping-particle":"","family":"Ghogomu","given":"Stephen Mbigha","non-dropping-particle":"","parse-names":false,"suffix":""},{"dropping-particle":"","family":"Maes","given":"Piet","non-dropping-particle":"","parse-names":false,"suffix":""},{"dropping-particle":"","family":"Ranst","given":"Marc","non-dropping-particle":"Van","parse-names":false,"suffix":""},{"dropping-particle":"","family":"Matthijnssens","given":"Jelle","non-dropping-particle":"","parse-names":false,"suffix":""}],"container-title":"mSphere","id":"ITEM-1","issue":"1","issued":{"date-parts":[["2019","2","27"]]},"page":"e00585-18","publisher":"mSphere","title":"Gut Virome Analysis of Cameroonians Reveals High Diversity of Enteric Viruses, Including Potential Interspecies Transmitted Viruses","type":"article-journal","volume":"4"},"uris":["http://www.mendeley.com/documents/?uuid=44a91acb-d245-31fc-95b4-6af6322add0e"]}],"mendeley":{"formattedCitation":"[12]","plainTextFormattedCitation":"[12]","previouslyFormattedCitation":"(Yinda et al., 2019)"},"properties":{"noteIndex":0},"schema":"https://github.com/citation-style-language/schema/raw/master/csl-citation.json"}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[12]</w:t>
            </w:r>
            <w:r w:rsidRPr="00E44711">
              <w:rPr>
                <w:rFonts w:cs="Arial"/>
                <w:sz w:val="16"/>
                <w:szCs w:val="16"/>
                <w:lang w:val="en-US"/>
              </w:rPr>
              <w:fldChar w:fldCharType="end"/>
            </w:r>
          </w:p>
        </w:tc>
        <w:tc>
          <w:tcPr>
            <w:tcW w:w="850" w:type="dxa"/>
          </w:tcPr>
          <w:p w14:paraId="5FACB44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gut</w:t>
            </w:r>
          </w:p>
        </w:tc>
        <w:tc>
          <w:tcPr>
            <w:tcW w:w="851" w:type="dxa"/>
          </w:tcPr>
          <w:p w14:paraId="7F8CA81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stool</w:t>
            </w:r>
          </w:p>
        </w:tc>
        <w:tc>
          <w:tcPr>
            <w:tcW w:w="1134" w:type="dxa"/>
          </w:tcPr>
          <w:p w14:paraId="521938D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VLP enrichment (filtration, nuclease-treatment) + WTA2-kit (Sigma Aldrich) / 2-5 sample pools</w:t>
            </w:r>
          </w:p>
        </w:tc>
        <w:tc>
          <w:tcPr>
            <w:tcW w:w="1843" w:type="dxa"/>
          </w:tcPr>
          <w:p w14:paraId="2CA6A331" w14:textId="77777777" w:rsidR="00802888" w:rsidRPr="00E44711" w:rsidRDefault="00802888" w:rsidP="002342FE">
            <w:pPr>
              <w:spacing w:line="240" w:lineRule="auto"/>
              <w:rPr>
                <w:rFonts w:cs="Arial"/>
                <w:sz w:val="16"/>
                <w:szCs w:val="16"/>
                <w:lang w:val="en-US"/>
              </w:rPr>
            </w:pPr>
            <w:proofErr w:type="spellStart"/>
            <w:r w:rsidRPr="00E44711">
              <w:rPr>
                <w:rFonts w:cs="Arial"/>
                <w:sz w:val="16"/>
                <w:szCs w:val="16"/>
                <w:lang w:val="en-US"/>
              </w:rPr>
              <w:t>Nextera</w:t>
            </w:r>
            <w:proofErr w:type="spellEnd"/>
            <w:r w:rsidRPr="00E44711">
              <w:rPr>
                <w:rFonts w:cs="Arial"/>
                <w:sz w:val="16"/>
                <w:szCs w:val="16"/>
                <w:lang w:val="en-US"/>
              </w:rPr>
              <w:t xml:space="preserve"> DNA Library Prep XT </w:t>
            </w:r>
            <w:proofErr w:type="gramStart"/>
            <w:r w:rsidRPr="00E44711">
              <w:rPr>
                <w:rFonts w:cs="Arial"/>
                <w:sz w:val="16"/>
                <w:szCs w:val="16"/>
                <w:lang w:val="en-US"/>
              </w:rPr>
              <w:t>kit  +</w:t>
            </w:r>
            <w:proofErr w:type="gramEnd"/>
            <w:r w:rsidRPr="00E44711">
              <w:rPr>
                <w:rFonts w:cs="Arial"/>
                <w:sz w:val="16"/>
                <w:szCs w:val="16"/>
                <w:lang w:val="en-US"/>
              </w:rPr>
              <w:t xml:space="preserve"> </w:t>
            </w:r>
            <w:proofErr w:type="spellStart"/>
            <w:r w:rsidRPr="00E44711">
              <w:rPr>
                <w:rFonts w:cs="Arial"/>
                <w:sz w:val="16"/>
                <w:szCs w:val="16"/>
                <w:lang w:val="en-US"/>
              </w:rPr>
              <w:t>NextSeq</w:t>
            </w:r>
            <w:proofErr w:type="spellEnd"/>
            <w:r w:rsidRPr="00E44711">
              <w:rPr>
                <w:rFonts w:cs="Arial"/>
                <w:sz w:val="16"/>
                <w:szCs w:val="16"/>
                <w:lang w:val="en-US"/>
              </w:rPr>
              <w:t xml:space="preserve"> 500 (Illumina)</w:t>
            </w:r>
          </w:p>
        </w:tc>
        <w:tc>
          <w:tcPr>
            <w:tcW w:w="1701" w:type="dxa"/>
          </w:tcPr>
          <w:p w14:paraId="0FCF57C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221 children and adults from Cameroon</w:t>
            </w:r>
          </w:p>
        </w:tc>
        <w:tc>
          <w:tcPr>
            <w:tcW w:w="1630" w:type="dxa"/>
            <w:gridSpan w:val="2"/>
          </w:tcPr>
          <w:p w14:paraId="20676A5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viral family (</w:t>
            </w:r>
            <w:proofErr w:type="spellStart"/>
            <w:r w:rsidRPr="00E44711">
              <w:rPr>
                <w:rFonts w:cs="Arial"/>
                <w:i/>
                <w:iCs/>
                <w:sz w:val="16"/>
                <w:szCs w:val="16"/>
                <w:lang w:val="en-US"/>
              </w:rPr>
              <w:t>viridae</w:t>
            </w:r>
            <w:proofErr w:type="spellEnd"/>
            <w:r w:rsidRPr="00E44711">
              <w:rPr>
                <w:rFonts w:cs="Arial"/>
                <w:i/>
                <w:iCs/>
                <w:sz w:val="16"/>
                <w:szCs w:val="16"/>
                <w:lang w:val="en-US"/>
              </w:rPr>
              <w:t>)</w:t>
            </w:r>
            <w:r w:rsidRPr="00E44711">
              <w:rPr>
                <w:rFonts w:cs="Arial"/>
                <w:sz w:val="16"/>
                <w:szCs w:val="16"/>
                <w:lang w:val="en-US"/>
              </w:rPr>
              <w:t xml:space="preserve"> prevalence in pools</w:t>
            </w:r>
          </w:p>
          <w:p w14:paraId="3A67B83E" w14:textId="77777777" w:rsidR="00802888" w:rsidRPr="00E44711" w:rsidRDefault="00802888" w:rsidP="002342FE">
            <w:pPr>
              <w:spacing w:line="240" w:lineRule="auto"/>
              <w:rPr>
                <w:rFonts w:cs="Arial"/>
                <w:i/>
                <w:iCs/>
                <w:sz w:val="16"/>
                <w:szCs w:val="16"/>
                <w:lang w:val="en-US"/>
              </w:rPr>
            </w:pPr>
            <w:r w:rsidRPr="00E44711">
              <w:rPr>
                <w:rFonts w:cs="Arial"/>
                <w:sz w:val="16"/>
                <w:szCs w:val="16"/>
                <w:lang w:val="en-US"/>
              </w:rPr>
              <w:t xml:space="preserve">56%, </w:t>
            </w:r>
            <w:proofErr w:type="spellStart"/>
            <w:r w:rsidRPr="00E44711">
              <w:rPr>
                <w:rFonts w:cs="Arial"/>
                <w:i/>
                <w:iCs/>
                <w:sz w:val="16"/>
                <w:szCs w:val="16"/>
                <w:lang w:val="en-US"/>
              </w:rPr>
              <w:t>anello</w:t>
            </w:r>
            <w:proofErr w:type="spellEnd"/>
            <w:r w:rsidRPr="00E44711">
              <w:rPr>
                <w:rFonts w:cs="Arial"/>
                <w:sz w:val="16"/>
                <w:szCs w:val="16"/>
                <w:lang w:val="en-US"/>
              </w:rPr>
              <w:t xml:space="preserve">       </w:t>
            </w:r>
          </w:p>
          <w:p w14:paraId="3813E92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24%, </w:t>
            </w:r>
            <w:r w:rsidRPr="00E44711">
              <w:rPr>
                <w:rFonts w:cs="Arial"/>
                <w:i/>
                <w:iCs/>
                <w:sz w:val="16"/>
                <w:szCs w:val="16"/>
                <w:lang w:val="en-US"/>
              </w:rPr>
              <w:t>parvo</w:t>
            </w:r>
          </w:p>
          <w:p w14:paraId="6EE56E90" w14:textId="77777777" w:rsidR="00802888" w:rsidRPr="00E44711" w:rsidRDefault="00802888" w:rsidP="002342FE">
            <w:pPr>
              <w:spacing w:line="240" w:lineRule="auto"/>
              <w:rPr>
                <w:rFonts w:cs="Arial"/>
                <w:i/>
                <w:iCs/>
                <w:sz w:val="16"/>
                <w:szCs w:val="16"/>
                <w:lang w:val="en-US"/>
              </w:rPr>
            </w:pPr>
            <w:r w:rsidRPr="00E44711">
              <w:rPr>
                <w:rFonts w:cs="Arial"/>
                <w:sz w:val="16"/>
                <w:szCs w:val="16"/>
                <w:lang w:val="en-US"/>
              </w:rPr>
              <w:t xml:space="preserve">24%, </w:t>
            </w:r>
            <w:r w:rsidRPr="00E44711">
              <w:rPr>
                <w:rFonts w:cs="Arial"/>
                <w:i/>
                <w:iCs/>
                <w:sz w:val="16"/>
                <w:szCs w:val="16"/>
                <w:lang w:val="en-US"/>
              </w:rPr>
              <w:t>adeno</w:t>
            </w:r>
          </w:p>
          <w:p w14:paraId="72CF76E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21%, </w:t>
            </w:r>
            <w:proofErr w:type="spellStart"/>
            <w:r w:rsidRPr="00E44711">
              <w:rPr>
                <w:rFonts w:cs="Arial"/>
                <w:i/>
                <w:iCs/>
                <w:sz w:val="16"/>
                <w:szCs w:val="16"/>
                <w:lang w:val="en-US"/>
              </w:rPr>
              <w:t>circo</w:t>
            </w:r>
            <w:proofErr w:type="spellEnd"/>
          </w:p>
        </w:tc>
        <w:tc>
          <w:tcPr>
            <w:tcW w:w="1205" w:type="dxa"/>
          </w:tcPr>
          <w:p w14:paraId="1C109D96" w14:textId="77777777" w:rsidR="00802888" w:rsidRPr="00E44711" w:rsidRDefault="00802888" w:rsidP="002342FE">
            <w:pPr>
              <w:spacing w:line="240" w:lineRule="auto"/>
              <w:rPr>
                <w:rFonts w:cs="Arial"/>
                <w:i/>
                <w:iCs/>
                <w:sz w:val="16"/>
                <w:szCs w:val="16"/>
                <w:lang w:val="en-US"/>
              </w:rPr>
            </w:pPr>
            <w:r w:rsidRPr="00E44711">
              <w:rPr>
                <w:rFonts w:cs="Arial"/>
                <w:sz w:val="16"/>
                <w:szCs w:val="16"/>
                <w:lang w:val="en-US"/>
              </w:rPr>
              <w:t xml:space="preserve">2%, </w:t>
            </w:r>
            <w:r w:rsidRPr="00E44711">
              <w:rPr>
                <w:rFonts w:cs="Arial"/>
                <w:i/>
                <w:iCs/>
                <w:sz w:val="16"/>
                <w:szCs w:val="16"/>
                <w:lang w:val="en-US"/>
              </w:rPr>
              <w:t>polyoma</w:t>
            </w:r>
          </w:p>
          <w:p w14:paraId="447A431B" w14:textId="77777777" w:rsidR="00802888" w:rsidRPr="00E44711" w:rsidRDefault="00802888" w:rsidP="002342FE">
            <w:pPr>
              <w:spacing w:line="240" w:lineRule="auto"/>
              <w:rPr>
                <w:rFonts w:cs="Arial"/>
                <w:i/>
                <w:iCs/>
                <w:sz w:val="16"/>
                <w:szCs w:val="16"/>
                <w:lang w:val="en-US"/>
              </w:rPr>
            </w:pPr>
            <w:r w:rsidRPr="00E44711">
              <w:rPr>
                <w:rFonts w:cs="Arial"/>
                <w:sz w:val="16"/>
                <w:szCs w:val="16"/>
                <w:lang w:val="en-US"/>
              </w:rPr>
              <w:t xml:space="preserve">2%, </w:t>
            </w:r>
            <w:proofErr w:type="spellStart"/>
            <w:r w:rsidRPr="00E44711">
              <w:rPr>
                <w:rFonts w:cs="Arial"/>
                <w:i/>
                <w:iCs/>
                <w:sz w:val="16"/>
                <w:szCs w:val="16"/>
                <w:lang w:val="en-US"/>
              </w:rPr>
              <w:t>hepadna</w:t>
            </w:r>
            <w:proofErr w:type="spellEnd"/>
          </w:p>
          <w:p w14:paraId="216D44D1" w14:textId="77777777" w:rsidR="00802888" w:rsidRPr="00E44711" w:rsidRDefault="00802888" w:rsidP="002342FE">
            <w:pPr>
              <w:spacing w:line="240" w:lineRule="auto"/>
              <w:rPr>
                <w:rFonts w:cs="Arial"/>
                <w:sz w:val="16"/>
                <w:szCs w:val="16"/>
                <w:lang w:val="en-US"/>
              </w:rPr>
            </w:pPr>
          </w:p>
        </w:tc>
      </w:tr>
      <w:tr w:rsidR="00802888" w:rsidRPr="00E44711" w14:paraId="516E7AC3" w14:textId="77777777" w:rsidTr="002342FE">
        <w:tc>
          <w:tcPr>
            <w:tcW w:w="851" w:type="dxa"/>
          </w:tcPr>
          <w:p w14:paraId="2C34CF4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{"citationItems":[{"id":"ITEM-1","itemData":{"DOI":"10.3389/fmicb.2015.00014","ISSN":"1664302X","abstract":"While once believed to represent a sterile environment, the human urinary tract harbors a unique cellular microbiota. We sought to determine whether the human urinary tract also is home to viral communities whose membership might reflect urinary tract health status. We recruited and sampled urine from 20 subjects, 10 subjects with urinary tract infections (UTIs) and 10 without UTIs, and found viral communities in the urine of each subject group. Most of the identifiable viruses were bacteriophage, but eukaryotic viruses also were identified in all subjects. We found reads from human papillomaviruses (HPVs) in 95% of the subjects studied, but none were found to be high-risk genotypes that are associated with cervical and rectal cancers. We verified the presence of some HPV genotypes by quantitative PCR. Some of the HPV genotypes identified were homologous to relatively novel and uncharacterized viruses that previously have been detected on skin in association with cancerous lesions, while others may be associated with anal and genital warts. On a community level, there was no association between the membership or diversity of viral communities based on urinary tract health status. While more data are still needed, detection of HPVs as members of the human urinary virome using viral metagenomics represents a non-invasive technique that could augment current screening techniques to detect low-risk HPVs in the genitourinary tracts of humans.","author":[{"dropping-particle":"","family":"Santiago-Rodriguez","given":"Tasha M.","non-dropping-particle":"","parse-names":false,"suffix":""},{"dropping-particle":"","family":"Ly","given":"Melissa","non-dropping-particle":"","parse-names":false,"suffix":""},{"dropping-particle":"","family":"Bonilla","given":"Natasha","non-dropping-particle":"","parse-names":false,"suffix":""},{"dropping-particle":"","family":"Pride","given":"David T.","non-dropping-particle":"","parse-names":false,"suffix":""}],"container-title":"Frontiers in Microbiology","id":"ITEM-1","issue":"JAN","issued":{"date-parts":[["2015","1","23"]]},"page":"14","publisher":"Frontiers","title":"The human urine virome in association with urinary tract infections","type":"article-journal","volume":"6"},"uris":["http://www.mendeley.com/documents/?uuid=0186cf6d-c0af-3bbf-a94d-49bcf7ec3588"]}],"mendeley":{"formattedCitation":"[13]","plainTextFormattedCitation":"[13]","previouslyFormattedCitation":"(Santiago-Rodriguez et al., 2015)"},"properties":{"noteIndex":0},"schema":"https://github.com/citation-style-language/schema/raw/master/csl-citation.json"}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[13]</w:t>
            </w:r>
            <w:r w:rsidRPr="00E44711">
              <w:rPr>
                <w:rFonts w:cs="Arial"/>
                <w:sz w:val="16"/>
                <w:szCs w:val="16"/>
                <w:lang w:val="en-US"/>
              </w:rPr>
              <w:fldChar w:fldCharType="end"/>
            </w:r>
          </w:p>
        </w:tc>
        <w:tc>
          <w:tcPr>
            <w:tcW w:w="850" w:type="dxa"/>
          </w:tcPr>
          <w:p w14:paraId="01014119"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urinary tract</w:t>
            </w:r>
          </w:p>
        </w:tc>
        <w:tc>
          <w:tcPr>
            <w:tcW w:w="851" w:type="dxa"/>
          </w:tcPr>
          <w:p w14:paraId="282B0F2F"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urine</w:t>
            </w:r>
          </w:p>
        </w:tc>
        <w:tc>
          <w:tcPr>
            <w:tcW w:w="1134" w:type="dxa"/>
          </w:tcPr>
          <w:p w14:paraId="16F2534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VLP enrichment (</w:t>
            </w:r>
            <w:proofErr w:type="gramStart"/>
            <w:r w:rsidRPr="00E44711">
              <w:rPr>
                <w:rFonts w:cs="Arial"/>
                <w:sz w:val="16"/>
                <w:szCs w:val="16"/>
                <w:lang w:val="en-US"/>
              </w:rPr>
              <w:t>filtration,  cesium</w:t>
            </w:r>
            <w:proofErr w:type="gramEnd"/>
            <w:r w:rsidRPr="00E44711">
              <w:rPr>
                <w:rFonts w:cs="Arial"/>
                <w:sz w:val="16"/>
                <w:szCs w:val="16"/>
                <w:lang w:val="en-US"/>
              </w:rPr>
              <w:t xml:space="preserve"> </w:t>
            </w:r>
            <w:proofErr w:type="spellStart"/>
            <w:r w:rsidRPr="00E44711">
              <w:rPr>
                <w:rFonts w:cs="Arial"/>
                <w:sz w:val="16"/>
                <w:szCs w:val="16"/>
                <w:lang w:val="en-US"/>
              </w:rPr>
              <w:t>cloride</w:t>
            </w:r>
            <w:proofErr w:type="spellEnd"/>
            <w:r w:rsidRPr="00E44711">
              <w:rPr>
                <w:rFonts w:cs="Arial"/>
                <w:sz w:val="16"/>
                <w:szCs w:val="16"/>
                <w:lang w:val="en-US"/>
              </w:rPr>
              <w:t xml:space="preserve"> density gradient, </w:t>
            </w:r>
            <w:proofErr w:type="spellStart"/>
            <w:r w:rsidRPr="00E44711">
              <w:rPr>
                <w:rFonts w:cs="Arial"/>
                <w:sz w:val="16"/>
                <w:szCs w:val="16"/>
                <w:lang w:val="en-US"/>
              </w:rPr>
              <w:t>Amicon</w:t>
            </w:r>
            <w:proofErr w:type="spellEnd"/>
            <w:r w:rsidRPr="00E44711">
              <w:rPr>
                <w:rFonts w:cs="Arial"/>
                <w:sz w:val="16"/>
                <w:szCs w:val="16"/>
                <w:lang w:val="en-US"/>
              </w:rPr>
              <w:t xml:space="preserve"> YM-100 protein columns [Millipore], nuclease-treatment) +</w:t>
            </w:r>
          </w:p>
          <w:p w14:paraId="69715132"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MDA</w:t>
            </w:r>
          </w:p>
        </w:tc>
        <w:tc>
          <w:tcPr>
            <w:tcW w:w="1843" w:type="dxa"/>
          </w:tcPr>
          <w:p w14:paraId="3B44EC87"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Ion Plus Fragment Library Kit + </w:t>
            </w:r>
          </w:p>
          <w:p w14:paraId="5E32D4D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Ion Torrent Personal Genome Machine (PGM; Life Technologies)</w:t>
            </w:r>
          </w:p>
        </w:tc>
        <w:tc>
          <w:tcPr>
            <w:tcW w:w="1701" w:type="dxa"/>
          </w:tcPr>
          <w:p w14:paraId="5F1C98E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10 healthy and 10 with urinary tract infection</w:t>
            </w:r>
          </w:p>
        </w:tc>
        <w:tc>
          <w:tcPr>
            <w:tcW w:w="2835" w:type="dxa"/>
            <w:gridSpan w:val="3"/>
          </w:tcPr>
          <w:p w14:paraId="6723548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95%, HPV</w:t>
            </w:r>
          </w:p>
        </w:tc>
      </w:tr>
      <w:tr w:rsidR="00802888" w:rsidRPr="00802888" w14:paraId="7CD860C2" w14:textId="77777777" w:rsidTr="002342FE">
        <w:tc>
          <w:tcPr>
            <w:tcW w:w="851" w:type="dxa"/>
          </w:tcPr>
          <w:p w14:paraId="16685BC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{"citationItems":[{"id":"ITEM-1","itemData":{"DOI":"10.1038/srep33327","ISSN":"20452322","PMID":"27633952","abstract":"Recent studies have established that the human urine contains a complex microbiome, including a virome about which little is known. Following immunosuppression in kidney transplant patients, BK polyomavirus (BKV) has been shown to induce nephropathy (BKVN), decreasing graft survival. In this study we investigated the urine virome profile of BKV+ and BKVâ ' kidney transplant recipients. Virus-like particles were stained to confirm the presence of VLP in the urine samples. Metagenomic DNA was purified, and the virome profile was analyzed using metagenomic shotgun sequencing. While the BK virus was predominant in the BKV+ group, it was also found in the BKVâ ' group patients. Additional viruses were also detected in all patients, notably including JC virus (JCV) and Torque teno virus (TTV) and interestingly, we detected multiple subtypes of the BKV, JCV and TTV. Analysis of the BKV subtypes showed that nucleotide polymorphisms were detected in the VP1, VP2 and Large T Antigen proteins, suggesting potential functional effects for enhanced pathogenicity. Our results demonstrate a complex urinary virome in kidney transplant patients with multiple viruses with several distinct subtypes warranting further analysis of virus subtypes in immunosuppressed hosts.","author":[{"dropping-particle":"","family":"Rani","given":"Asha","non-dropping-particle":"","parse-names":false,"suffix":""},{"dropping-particle":"","family":"Ranjan","given":"Ravi","non-dropping-particle":"","parse-names":false,"suffix":""},{"dropping-particle":"","family":"McGee","given":"Halvor S.","non-dropping-particle":"","parse-names":false,"suffix":""},{"dropping-particle":"","family":"Metwally","given":"Ahmed","non-dropping-particle":"","parse-names":false,"suffix":""},{"dropping-particle":"","family":"Hajjiri","given":"Zahraa","non-dropping-particle":"","parse-names":false,"suffix":""},{"dropping-particle":"","family":"Brennan","given":"Daniel C.","non-dropping-particle":"","parse-names":false,"suffix":""},{"dropping-particle":"","family":"Finn","given":"Patricia W.","non-dropping-particle":"","parse-names":false,"suffix":""},{"dropping-particle":"","family":"Perkins","given":"David L.","non-dropping-particle":"","parse-names":false,"suffix":""}],"container-title":"Scientific Reports","id":"ITEM-1","issued":{"date-parts":[["2016","9","16"]]},"page":"33327","publisher":"Nature Publishing Group","title":"A diverse virome in kidney transplant patients contains multiple viral subtypes with distinct polymorphisms","type":"article-journal","volume":"6"},"uris":["http://www.mendeley.com/documents/?uuid=5f20fb85-a73e-3efb-9517-1729d97a97ba"]}],"mendeley":{"formattedCitation":"[14]","plainTextFormattedCitation":"[14]","previouslyFormattedCitation":"(Rani et al., 2016)"},"properties":{"noteIndex":0},"schema":"https://github.com/citation-style-language/schema/raw/master/csl-citation.json"}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[14]</w:t>
            </w:r>
            <w:r w:rsidRPr="00E44711">
              <w:rPr>
                <w:rFonts w:cs="Arial"/>
                <w:sz w:val="16"/>
                <w:szCs w:val="16"/>
                <w:lang w:val="en-US"/>
              </w:rPr>
              <w:fldChar w:fldCharType="end"/>
            </w:r>
          </w:p>
        </w:tc>
        <w:tc>
          <w:tcPr>
            <w:tcW w:w="850" w:type="dxa"/>
          </w:tcPr>
          <w:p w14:paraId="3C952846"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urinary tract</w:t>
            </w:r>
          </w:p>
        </w:tc>
        <w:tc>
          <w:tcPr>
            <w:tcW w:w="851" w:type="dxa"/>
          </w:tcPr>
          <w:p w14:paraId="4136D681"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urine</w:t>
            </w:r>
          </w:p>
        </w:tc>
        <w:tc>
          <w:tcPr>
            <w:tcW w:w="1134" w:type="dxa"/>
          </w:tcPr>
          <w:p w14:paraId="6FCFDAD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VLP enrichment (</w:t>
            </w:r>
            <w:proofErr w:type="gramStart"/>
            <w:r w:rsidRPr="00E44711">
              <w:rPr>
                <w:rFonts w:cs="Arial"/>
                <w:sz w:val="16"/>
                <w:szCs w:val="16"/>
                <w:lang w:val="en-US"/>
              </w:rPr>
              <w:t>centrifugation,  ultracentrifugation</w:t>
            </w:r>
            <w:proofErr w:type="gramEnd"/>
            <w:r w:rsidRPr="00E44711">
              <w:rPr>
                <w:rFonts w:cs="Arial"/>
                <w:sz w:val="16"/>
                <w:szCs w:val="16"/>
                <w:lang w:val="en-US"/>
              </w:rPr>
              <w:t>, nuclease-treatment)</w:t>
            </w:r>
          </w:p>
        </w:tc>
        <w:tc>
          <w:tcPr>
            <w:tcW w:w="1843" w:type="dxa"/>
          </w:tcPr>
          <w:p w14:paraId="140C65D8" w14:textId="77777777" w:rsidR="00802888" w:rsidRPr="00E44711" w:rsidRDefault="00802888" w:rsidP="002342FE">
            <w:pPr>
              <w:spacing w:line="240" w:lineRule="auto"/>
              <w:rPr>
                <w:rFonts w:cs="Arial"/>
                <w:sz w:val="16"/>
                <w:szCs w:val="16"/>
                <w:lang w:val="en-US"/>
              </w:rPr>
            </w:pPr>
            <w:proofErr w:type="spellStart"/>
            <w:r w:rsidRPr="00E44711">
              <w:rPr>
                <w:rFonts w:cs="Arial"/>
                <w:sz w:val="16"/>
                <w:szCs w:val="16"/>
                <w:lang w:val="en-US"/>
              </w:rPr>
              <w:t>NEBNext</w:t>
            </w:r>
            <w:proofErr w:type="spellEnd"/>
            <w:r w:rsidRPr="00E44711">
              <w:rPr>
                <w:rFonts w:cs="Arial"/>
                <w:sz w:val="16"/>
                <w:szCs w:val="16"/>
                <w:lang w:val="en-US"/>
              </w:rPr>
              <w:t xml:space="preserve"> DNA library prep kit for Illumina (New England </w:t>
            </w:r>
            <w:proofErr w:type="spellStart"/>
            <w:r w:rsidRPr="00E44711">
              <w:rPr>
                <w:rFonts w:cs="Arial"/>
                <w:sz w:val="16"/>
                <w:szCs w:val="16"/>
                <w:lang w:val="en-US"/>
              </w:rPr>
              <w:t>BioLabs</w:t>
            </w:r>
            <w:proofErr w:type="spellEnd"/>
            <w:r w:rsidRPr="00E44711">
              <w:rPr>
                <w:rFonts w:cs="Arial"/>
                <w:sz w:val="16"/>
                <w:szCs w:val="16"/>
                <w:lang w:val="en-US"/>
              </w:rPr>
              <w:t>)</w:t>
            </w:r>
          </w:p>
          <w:p w14:paraId="3AABD83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 </w:t>
            </w:r>
            <w:proofErr w:type="spellStart"/>
            <w:r w:rsidRPr="00E44711">
              <w:rPr>
                <w:rFonts w:cs="Arial"/>
                <w:sz w:val="16"/>
                <w:szCs w:val="16"/>
                <w:lang w:val="en-US"/>
              </w:rPr>
              <w:t>HiSeq</w:t>
            </w:r>
            <w:proofErr w:type="spellEnd"/>
            <w:r w:rsidRPr="00E44711">
              <w:rPr>
                <w:rFonts w:cs="Arial"/>
                <w:sz w:val="16"/>
                <w:szCs w:val="16"/>
                <w:lang w:val="en-US"/>
              </w:rPr>
              <w:t xml:space="preserve"> 2000 (Illumina)</w:t>
            </w:r>
          </w:p>
        </w:tc>
        <w:tc>
          <w:tcPr>
            <w:tcW w:w="1701" w:type="dxa"/>
          </w:tcPr>
          <w:p w14:paraId="6D92EAD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22 kidney transplant recipients (7 BK viremic and 15 BK non-viremic)</w:t>
            </w:r>
          </w:p>
        </w:tc>
        <w:tc>
          <w:tcPr>
            <w:tcW w:w="1417" w:type="dxa"/>
            <w:tcBorders>
              <w:right w:val="nil"/>
            </w:tcBorders>
          </w:tcPr>
          <w:p w14:paraId="3848BFD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72%, </w:t>
            </w:r>
            <w:proofErr w:type="spellStart"/>
            <w:r w:rsidRPr="00E44711">
              <w:rPr>
                <w:rFonts w:cs="Arial"/>
                <w:sz w:val="16"/>
                <w:szCs w:val="16"/>
                <w:lang w:val="en-US"/>
              </w:rPr>
              <w:t>BKPyV</w:t>
            </w:r>
            <w:proofErr w:type="spellEnd"/>
          </w:p>
          <w:p w14:paraId="59F413F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50%, </w:t>
            </w:r>
            <w:proofErr w:type="spellStart"/>
            <w:r w:rsidRPr="00E44711">
              <w:rPr>
                <w:rFonts w:cs="Arial"/>
                <w:sz w:val="16"/>
                <w:szCs w:val="16"/>
                <w:lang w:val="en-US"/>
              </w:rPr>
              <w:t>AdV</w:t>
            </w:r>
            <w:proofErr w:type="spellEnd"/>
          </w:p>
          <w:p w14:paraId="03AFA0F0"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27%, </w:t>
            </w:r>
            <w:proofErr w:type="spellStart"/>
            <w:r w:rsidRPr="00E44711">
              <w:rPr>
                <w:rFonts w:cs="Arial"/>
                <w:sz w:val="16"/>
                <w:szCs w:val="16"/>
                <w:lang w:val="en-US"/>
              </w:rPr>
              <w:t>JCPyV</w:t>
            </w:r>
            <w:proofErr w:type="spellEnd"/>
          </w:p>
          <w:p w14:paraId="03BDCA5E"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27%, TTV</w:t>
            </w:r>
          </w:p>
        </w:tc>
        <w:tc>
          <w:tcPr>
            <w:tcW w:w="1418" w:type="dxa"/>
            <w:gridSpan w:val="2"/>
            <w:tcBorders>
              <w:left w:val="nil"/>
            </w:tcBorders>
          </w:tcPr>
          <w:p w14:paraId="23092DF3"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27%, </w:t>
            </w:r>
            <w:r w:rsidRPr="00E44711">
              <w:rPr>
                <w:rFonts w:cs="Arial"/>
                <w:sz w:val="16"/>
                <w:szCs w:val="16"/>
              </w:rPr>
              <w:t>β</w:t>
            </w:r>
            <w:r w:rsidRPr="00E44711">
              <w:rPr>
                <w:rFonts w:cs="Arial"/>
                <w:sz w:val="16"/>
                <w:szCs w:val="16"/>
                <w:lang w:val="en-US"/>
              </w:rPr>
              <w:t>-HPV</w:t>
            </w:r>
          </w:p>
          <w:p w14:paraId="323486CA"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9%, </w:t>
            </w:r>
            <w:r w:rsidRPr="00E44711">
              <w:rPr>
                <w:rFonts w:cs="Arial"/>
                <w:sz w:val="16"/>
                <w:szCs w:val="16"/>
              </w:rPr>
              <w:t>γ</w:t>
            </w:r>
            <w:r w:rsidRPr="00E44711">
              <w:rPr>
                <w:rFonts w:cs="Arial"/>
                <w:sz w:val="16"/>
                <w:szCs w:val="16"/>
                <w:lang w:val="en-US"/>
              </w:rPr>
              <w:t>-HPV</w:t>
            </w:r>
          </w:p>
          <w:p w14:paraId="2423C01D"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5%, </w:t>
            </w:r>
            <w:r w:rsidRPr="00E44711">
              <w:rPr>
                <w:rFonts w:cs="Arial"/>
                <w:sz w:val="16"/>
                <w:szCs w:val="16"/>
              </w:rPr>
              <w:t>α</w:t>
            </w:r>
            <w:r w:rsidRPr="00E44711">
              <w:rPr>
                <w:rFonts w:cs="Arial"/>
                <w:sz w:val="16"/>
                <w:szCs w:val="16"/>
                <w:lang w:val="en-US"/>
              </w:rPr>
              <w:t>-HPV</w:t>
            </w:r>
          </w:p>
          <w:p w14:paraId="0A8DCC0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5%, HCMV</w:t>
            </w:r>
          </w:p>
        </w:tc>
      </w:tr>
      <w:tr w:rsidR="00802888" w:rsidRPr="00802888" w14:paraId="72F27A4B" w14:textId="77777777" w:rsidTr="002342FE">
        <w:tc>
          <w:tcPr>
            <w:tcW w:w="851" w:type="dxa"/>
          </w:tcPr>
          <w:p w14:paraId="1404F23B"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fldChar w:fldCharType="begin" w:fldLock="1"/>
            </w:r>
            <w:r>
              <w:rPr>
                <w:rFonts w:cs="Arial"/>
                <w:sz w:val="16"/>
                <w:szCs w:val="16"/>
                <w:lang w:val="en-US"/>
              </w:rPr>
              <w:instrText>ADDIN CSL_CITATION {"citationItems":[{"id":"ITEM-1","itemData":{"DOI":"10.3389/fmicb.2019.02061","ISSN":"1664302X","abstract":"Traditionally, medicine has held that some human body sites are sterile and that the introduction of microbes to these sites results in infections. This paradigm shifted significantly with the discovery of the human microbiome and acceptance of these commensal microbes living across the body. However, the central nervous system (CNS) is still believed by many to be sterile in healthy people. Using culture-independent methods, we examined the virome of cerebrospinal fluid (CSF) from a cohort of mostly healthy human subjects. We identified a community of DNA viruses, most of which were identified as bacteriophages. Compared to other human specimen types, CSF viromes were not ecologically distinct. There was a high alpha diversity cluster that included feces, saliva, and urine, and a low alpha diversity cluster that included CSF, body fluids, plasma, and breast milk. The high diversity cluster included specimens known to have many bacteria, while other specimens traditionally assumed to be sterile formed the low diversity cluster. There was an abundance of viruses shared among CSF, breast milk, plasma, and body fluids, while each generally shared less with urine, feces, and saliva. These shared viruses ranged across different virus families, indicating that similarities between these viromes represent more than just a single shared virus family. By identifying a virome in the CSF of mostly healthy individuals, it is now less likely that any human body site is devoid of microbes, which further highlights the need to decipher the role that viral communities may play in human health.","author":[{"dropping-particle":"","family":"Ghose","given":"Chandrabali","non-dropping-particle":"","parse-names":false,"suffix":""},{"dropping-particle":"","family":"Ly","given":"Melissa","non-dropping-particle":"","parse-names":false,"suffix":""},{"dropping-particle":"","family":"Schwanemann","given":"Leila K.","non-dropping-particle":"","parse-names":false,"suffix":""},{"dropping-particle":"","family":"Shin","given":"Ji Hyun","non-dropping-particle":"","parse-names":false,"suffix":""},{"dropping-particle":"","family":"Atab","given":"Katayoon","non-dropping-particle":"","parse-names":false,"suffix":""},{"dropping-particle":"","family":"Barr","given":"Jeremy J.","non-dropping-particle":"","parse-names":false,"suffix":""},{"dropping-particle":"","family":"Little","given":"Mark","non-dropping-particle":"","parse-names":false,"suffix":""},{"dropping-particle":"","family":"Schooley","given":"Robert T.","non-dropping-particle":"","parse-names":false,"suffix":""},{"dropping-particle":"","family":"Chopyk","given":"Jessica","non-dropping-particle":"","parse-names":false,"suffix":""},{"dropping-particle":"","family":"Pride","given":"David T.","non-dropping-particle":"","parse-names":false,"suffix":""}],"container-title":"Frontiers in Microbiology","id":"ITEM-1","issued":{"date-parts":[["2019"]]},"page":"2061","title":"The Virome of Cerebrospinal Fluid: Viruses Where We Once Thought There Were None","type":"article-journal","volume":"10"},"uris":["http://www.mendeley.com/documents/?uuid=efda5983-bdf0-3102-98e1-99e59dcbebc1"]}],"mendeley":{"formattedCitation":"[15]","plainTextFormattedCitation":"[15]","previouslyFormattedCitation":"(Ghose et al., 2019)"},"properties":{"noteIndex":0},"schema":"https://github.com/citation-style-language/schema/raw/master/csl-citation.json"}</w:instrText>
            </w:r>
            <w:r w:rsidRPr="00E44711">
              <w:rPr>
                <w:rFonts w:cs="Arial"/>
                <w:sz w:val="16"/>
                <w:szCs w:val="16"/>
                <w:lang w:val="en-US"/>
              </w:rPr>
              <w:fldChar w:fldCharType="separate"/>
            </w:r>
            <w:r w:rsidRPr="00D313A6">
              <w:rPr>
                <w:rFonts w:cs="Arial"/>
                <w:noProof/>
                <w:sz w:val="16"/>
                <w:szCs w:val="16"/>
                <w:lang w:val="en-US"/>
              </w:rPr>
              <w:t>[15]</w:t>
            </w:r>
            <w:r w:rsidRPr="00E44711">
              <w:rPr>
                <w:rFonts w:cs="Arial"/>
                <w:sz w:val="16"/>
                <w:szCs w:val="16"/>
                <w:lang w:val="en-US"/>
              </w:rPr>
              <w:fldChar w:fldCharType="end"/>
            </w:r>
          </w:p>
        </w:tc>
        <w:tc>
          <w:tcPr>
            <w:tcW w:w="850" w:type="dxa"/>
          </w:tcPr>
          <w:p w14:paraId="1CCD8FBC"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central nervous system</w:t>
            </w:r>
          </w:p>
        </w:tc>
        <w:tc>
          <w:tcPr>
            <w:tcW w:w="851" w:type="dxa"/>
          </w:tcPr>
          <w:p w14:paraId="150FF205"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cerebrospinal fluid</w:t>
            </w:r>
          </w:p>
        </w:tc>
        <w:tc>
          <w:tcPr>
            <w:tcW w:w="1134" w:type="dxa"/>
          </w:tcPr>
          <w:p w14:paraId="1FC471AD"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 xml:space="preserve">VLP enrichment (filtering, cesium </w:t>
            </w:r>
            <w:proofErr w:type="spellStart"/>
            <w:r w:rsidRPr="00E44711">
              <w:rPr>
                <w:rFonts w:cs="Arial"/>
                <w:sz w:val="16"/>
                <w:szCs w:val="16"/>
                <w:lang w:val="en-US"/>
              </w:rPr>
              <w:t>cloride</w:t>
            </w:r>
            <w:proofErr w:type="spellEnd"/>
            <w:r w:rsidRPr="00E44711">
              <w:rPr>
                <w:rFonts w:cs="Arial"/>
                <w:sz w:val="16"/>
                <w:szCs w:val="16"/>
                <w:lang w:val="en-US"/>
              </w:rPr>
              <w:t xml:space="preserve"> density gradient, </w:t>
            </w:r>
            <w:proofErr w:type="spellStart"/>
            <w:r w:rsidRPr="00E44711">
              <w:rPr>
                <w:rFonts w:cs="Arial"/>
                <w:sz w:val="16"/>
                <w:szCs w:val="16"/>
                <w:lang w:val="en-US"/>
              </w:rPr>
              <w:t>Amicon</w:t>
            </w:r>
            <w:proofErr w:type="spellEnd"/>
            <w:r w:rsidRPr="00E44711">
              <w:rPr>
                <w:rFonts w:cs="Arial"/>
                <w:sz w:val="16"/>
                <w:szCs w:val="16"/>
                <w:lang w:val="en-US"/>
              </w:rPr>
              <w:t xml:space="preserve"> YM-100 protein columns [Millipore], nuclease-treatment) </w:t>
            </w:r>
            <w:proofErr w:type="gramStart"/>
            <w:r w:rsidRPr="00E44711">
              <w:rPr>
                <w:rFonts w:cs="Arial"/>
                <w:sz w:val="16"/>
                <w:szCs w:val="16"/>
                <w:lang w:val="en-US"/>
              </w:rPr>
              <w:t>+  MDA</w:t>
            </w:r>
            <w:proofErr w:type="gramEnd"/>
          </w:p>
        </w:tc>
        <w:tc>
          <w:tcPr>
            <w:tcW w:w="1843" w:type="dxa"/>
          </w:tcPr>
          <w:p w14:paraId="4E49B4BE" w14:textId="77777777" w:rsidR="00802888" w:rsidRPr="00E44711" w:rsidRDefault="00802888" w:rsidP="002342FE">
            <w:pPr>
              <w:spacing w:line="240" w:lineRule="auto"/>
              <w:rPr>
                <w:rFonts w:cs="Arial"/>
                <w:sz w:val="16"/>
                <w:szCs w:val="16"/>
                <w:lang w:val="en-US"/>
              </w:rPr>
            </w:pPr>
            <w:proofErr w:type="spellStart"/>
            <w:r w:rsidRPr="00E44711">
              <w:rPr>
                <w:rFonts w:cs="Arial"/>
                <w:sz w:val="16"/>
                <w:szCs w:val="16"/>
                <w:lang w:val="en-US"/>
              </w:rPr>
              <w:t>Nextera</w:t>
            </w:r>
            <w:proofErr w:type="spellEnd"/>
            <w:r w:rsidRPr="00E44711">
              <w:rPr>
                <w:rFonts w:cs="Arial"/>
                <w:sz w:val="16"/>
                <w:szCs w:val="16"/>
                <w:lang w:val="en-US"/>
              </w:rPr>
              <w:t xml:space="preserve"> XT DNA Library Prep kit + </w:t>
            </w:r>
            <w:proofErr w:type="spellStart"/>
            <w:r w:rsidRPr="00E44711">
              <w:rPr>
                <w:rFonts w:cs="Arial"/>
                <w:sz w:val="16"/>
                <w:szCs w:val="16"/>
                <w:lang w:val="en-US"/>
              </w:rPr>
              <w:t>MiniSeq</w:t>
            </w:r>
            <w:proofErr w:type="spellEnd"/>
            <w:r w:rsidRPr="00E44711">
              <w:rPr>
                <w:rFonts w:cs="Arial"/>
                <w:sz w:val="16"/>
                <w:szCs w:val="16"/>
                <w:lang w:val="en-US"/>
              </w:rPr>
              <w:t xml:space="preserve"> (Illumina)</w:t>
            </w:r>
          </w:p>
        </w:tc>
        <w:tc>
          <w:tcPr>
            <w:tcW w:w="1701" w:type="dxa"/>
          </w:tcPr>
          <w:p w14:paraId="7CA7AE04"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20 patients with various conditions (incl. but not limited to cancers, meningitis, encephalitis)</w:t>
            </w:r>
          </w:p>
        </w:tc>
        <w:tc>
          <w:tcPr>
            <w:tcW w:w="2835" w:type="dxa"/>
            <w:gridSpan w:val="3"/>
          </w:tcPr>
          <w:p w14:paraId="47CBDD38" w14:textId="77777777" w:rsidR="00802888" w:rsidRPr="00E44711" w:rsidRDefault="00802888" w:rsidP="002342FE">
            <w:pPr>
              <w:spacing w:line="240" w:lineRule="auto"/>
              <w:rPr>
                <w:rFonts w:cs="Arial"/>
                <w:sz w:val="16"/>
                <w:szCs w:val="16"/>
                <w:lang w:val="en-US"/>
              </w:rPr>
            </w:pPr>
            <w:r w:rsidRPr="00E44711">
              <w:rPr>
                <w:rFonts w:cs="Arial"/>
                <w:sz w:val="16"/>
                <w:szCs w:val="16"/>
                <w:lang w:val="en-US"/>
              </w:rPr>
              <w:t>15 % unspecified HHV</w:t>
            </w:r>
          </w:p>
        </w:tc>
      </w:tr>
    </w:tbl>
    <w:p w14:paraId="5B4A7DFD" w14:textId="77777777" w:rsidR="00802888" w:rsidRPr="00E44711" w:rsidRDefault="00802888" w:rsidP="00802888">
      <w:pPr>
        <w:spacing w:line="240" w:lineRule="auto"/>
        <w:rPr>
          <w:rFonts w:cs="Arial"/>
          <w:sz w:val="16"/>
          <w:szCs w:val="16"/>
          <w:lang w:val="en-US"/>
        </w:rPr>
      </w:pPr>
      <w:r w:rsidRPr="00E44711">
        <w:rPr>
          <w:rFonts w:cs="Arial"/>
          <w:sz w:val="16"/>
          <w:szCs w:val="16"/>
          <w:lang w:val="en-US"/>
        </w:rPr>
        <w:t xml:space="preserve">*Whole genome sequencing if not otherwise stated. MDA = multiple displacement amplification BAL= Bronchoalveolar lavage, OPW = Oropharyngeal wash, VLP = Viral-like particle, MCC = Merkel cell </w:t>
      </w:r>
      <w:proofErr w:type="spellStart"/>
      <w:r w:rsidRPr="00E44711">
        <w:rPr>
          <w:rFonts w:cs="Arial"/>
          <w:sz w:val="16"/>
          <w:szCs w:val="16"/>
          <w:lang w:val="en-US"/>
        </w:rPr>
        <w:t>carsinoma</w:t>
      </w:r>
      <w:proofErr w:type="spellEnd"/>
      <w:r w:rsidRPr="00E44711">
        <w:rPr>
          <w:rFonts w:cs="Arial"/>
          <w:sz w:val="16"/>
          <w:szCs w:val="16"/>
          <w:lang w:val="en-US"/>
        </w:rPr>
        <w:t xml:space="preserve">, AAV= adeno-associated virus, </w:t>
      </w:r>
      <w:proofErr w:type="spellStart"/>
      <w:r w:rsidRPr="00E44711">
        <w:rPr>
          <w:rFonts w:cs="Arial"/>
          <w:sz w:val="16"/>
          <w:szCs w:val="16"/>
          <w:lang w:val="en-US"/>
        </w:rPr>
        <w:t>AdV</w:t>
      </w:r>
      <w:proofErr w:type="spellEnd"/>
      <w:r w:rsidRPr="00E44711">
        <w:rPr>
          <w:rFonts w:cs="Arial"/>
          <w:sz w:val="16"/>
          <w:szCs w:val="16"/>
          <w:lang w:val="en-US"/>
        </w:rPr>
        <w:t xml:space="preserve"> = adenovirus, </w:t>
      </w:r>
      <w:proofErr w:type="spellStart"/>
      <w:r w:rsidRPr="00E44711">
        <w:rPr>
          <w:rFonts w:cs="Arial"/>
          <w:sz w:val="16"/>
          <w:szCs w:val="16"/>
          <w:lang w:val="en-US"/>
        </w:rPr>
        <w:t>HPyV</w:t>
      </w:r>
      <w:proofErr w:type="spellEnd"/>
      <w:r w:rsidRPr="00E44711">
        <w:rPr>
          <w:rFonts w:cs="Arial"/>
          <w:sz w:val="16"/>
          <w:szCs w:val="16"/>
          <w:lang w:val="en-US"/>
        </w:rPr>
        <w:t xml:space="preserve"> = human polyomavirus, </w:t>
      </w:r>
      <w:proofErr w:type="spellStart"/>
      <w:r w:rsidRPr="00E44711">
        <w:rPr>
          <w:rFonts w:cs="Arial"/>
          <w:sz w:val="16"/>
          <w:szCs w:val="16"/>
          <w:lang w:val="en-US"/>
        </w:rPr>
        <w:t>BKPyV</w:t>
      </w:r>
      <w:proofErr w:type="spellEnd"/>
      <w:r w:rsidRPr="00E44711">
        <w:rPr>
          <w:rFonts w:cs="Arial"/>
          <w:sz w:val="16"/>
          <w:szCs w:val="16"/>
          <w:lang w:val="en-US"/>
        </w:rPr>
        <w:t xml:space="preserve"> = BK polyomavirus, </w:t>
      </w:r>
      <w:proofErr w:type="spellStart"/>
      <w:r w:rsidRPr="00E44711">
        <w:rPr>
          <w:rFonts w:cs="Arial"/>
          <w:sz w:val="16"/>
          <w:szCs w:val="16"/>
          <w:lang w:val="en-US"/>
        </w:rPr>
        <w:t>JCPyV</w:t>
      </w:r>
      <w:proofErr w:type="spellEnd"/>
      <w:r w:rsidRPr="00E44711">
        <w:rPr>
          <w:rFonts w:cs="Arial"/>
          <w:sz w:val="16"/>
          <w:szCs w:val="16"/>
          <w:lang w:val="en-US"/>
        </w:rPr>
        <w:t xml:space="preserve"> = JC polyomavirus, </w:t>
      </w:r>
      <w:proofErr w:type="spellStart"/>
      <w:r w:rsidRPr="00E44711">
        <w:rPr>
          <w:rFonts w:cs="Arial"/>
          <w:sz w:val="16"/>
          <w:szCs w:val="16"/>
          <w:lang w:val="en-US"/>
        </w:rPr>
        <w:t>MCPyV</w:t>
      </w:r>
      <w:proofErr w:type="spellEnd"/>
      <w:r w:rsidRPr="00E44711">
        <w:rPr>
          <w:rFonts w:cs="Arial"/>
          <w:sz w:val="16"/>
          <w:szCs w:val="16"/>
          <w:lang w:val="en-US"/>
        </w:rPr>
        <w:t xml:space="preserve"> = Merkel cell polyomavirus,  HPV = human papillomavirus, HBV = hepatitis b virus HSV-1/2 = </w:t>
      </w:r>
      <w:proofErr w:type="spellStart"/>
      <w:r w:rsidRPr="00E44711">
        <w:rPr>
          <w:rFonts w:cs="Arial"/>
          <w:sz w:val="16"/>
          <w:szCs w:val="16"/>
          <w:lang w:val="en-US"/>
        </w:rPr>
        <w:t>herpex</w:t>
      </w:r>
      <w:proofErr w:type="spellEnd"/>
      <w:r w:rsidRPr="00E44711">
        <w:rPr>
          <w:rFonts w:cs="Arial"/>
          <w:sz w:val="16"/>
          <w:szCs w:val="16"/>
          <w:lang w:val="en-US"/>
        </w:rPr>
        <w:t xml:space="preserve"> simplex virus 1/2, VZV = varicella zoster virus, EBV = </w:t>
      </w:r>
      <w:proofErr w:type="spellStart"/>
      <w:r w:rsidRPr="00E44711">
        <w:rPr>
          <w:rFonts w:cs="Arial"/>
          <w:sz w:val="16"/>
          <w:szCs w:val="16"/>
          <w:lang w:val="en-US"/>
        </w:rPr>
        <w:t>epstein-barr</w:t>
      </w:r>
      <w:proofErr w:type="spellEnd"/>
      <w:r w:rsidRPr="00E44711">
        <w:rPr>
          <w:rFonts w:cs="Arial"/>
          <w:sz w:val="16"/>
          <w:szCs w:val="16"/>
          <w:lang w:val="en-US"/>
        </w:rPr>
        <w:t xml:space="preserve"> virus, HCMV = human cytomegalovirus, HHV = human herpesvirus, MCV = molluscum contagiosum virus, TTV = torque </w:t>
      </w:r>
      <w:proofErr w:type="spellStart"/>
      <w:r w:rsidRPr="00E44711">
        <w:rPr>
          <w:rFonts w:cs="Arial"/>
          <w:sz w:val="16"/>
          <w:szCs w:val="16"/>
          <w:lang w:val="en-US"/>
        </w:rPr>
        <w:t>teno</w:t>
      </w:r>
      <w:proofErr w:type="spellEnd"/>
      <w:r w:rsidRPr="00E44711">
        <w:rPr>
          <w:rFonts w:cs="Arial"/>
          <w:sz w:val="16"/>
          <w:szCs w:val="16"/>
          <w:lang w:val="en-US"/>
        </w:rPr>
        <w:t xml:space="preserve"> virus, </w:t>
      </w:r>
      <w:proofErr w:type="spellStart"/>
      <w:r w:rsidRPr="00E44711">
        <w:rPr>
          <w:rFonts w:cs="Arial"/>
          <w:sz w:val="16"/>
          <w:szCs w:val="16"/>
          <w:lang w:val="en-US"/>
        </w:rPr>
        <w:t>HBoV</w:t>
      </w:r>
      <w:proofErr w:type="spellEnd"/>
      <w:r w:rsidRPr="00E44711">
        <w:rPr>
          <w:rFonts w:cs="Arial"/>
          <w:sz w:val="16"/>
          <w:szCs w:val="16"/>
          <w:lang w:val="en-US"/>
        </w:rPr>
        <w:t xml:space="preserve"> = human bocavirus, </w:t>
      </w:r>
      <w:proofErr w:type="spellStart"/>
      <w:r w:rsidRPr="00E44711">
        <w:rPr>
          <w:rFonts w:cs="Arial"/>
          <w:sz w:val="16"/>
          <w:szCs w:val="16"/>
          <w:lang w:val="en-US"/>
        </w:rPr>
        <w:t>BuV</w:t>
      </w:r>
      <w:proofErr w:type="spellEnd"/>
      <w:r w:rsidRPr="00E44711">
        <w:rPr>
          <w:rFonts w:cs="Arial"/>
          <w:sz w:val="16"/>
          <w:szCs w:val="16"/>
          <w:lang w:val="en-US"/>
        </w:rPr>
        <w:t xml:space="preserve"> = </w:t>
      </w:r>
      <w:proofErr w:type="spellStart"/>
      <w:r w:rsidRPr="00E44711">
        <w:rPr>
          <w:rFonts w:cs="Arial"/>
          <w:sz w:val="16"/>
          <w:szCs w:val="16"/>
          <w:lang w:val="en-US"/>
        </w:rPr>
        <w:t>bufavirus</w:t>
      </w:r>
      <w:proofErr w:type="spellEnd"/>
    </w:p>
    <w:p w14:paraId="70003761" w14:textId="5359833E" w:rsidR="00802888" w:rsidRDefault="00802888" w:rsidP="00802888">
      <w:pPr>
        <w:rPr>
          <w:lang w:val="en-US"/>
        </w:rPr>
      </w:pPr>
    </w:p>
    <w:p w14:paraId="2C0CB6DE" w14:textId="7ED03837" w:rsidR="00802888" w:rsidRDefault="00802888" w:rsidP="00802888">
      <w:pPr>
        <w:rPr>
          <w:lang w:val="en-US"/>
        </w:rPr>
      </w:pPr>
    </w:p>
    <w:p w14:paraId="15098075" w14:textId="77777777" w:rsidR="00802888" w:rsidRPr="00802888" w:rsidRDefault="00802888" w:rsidP="00802888">
      <w:pPr>
        <w:rPr>
          <w:lang w:val="en-US"/>
        </w:rPr>
      </w:pPr>
    </w:p>
    <w:p w14:paraId="5CAE291E" w14:textId="77777777" w:rsidR="00802888" w:rsidRDefault="00802888" w:rsidP="00891682">
      <w:pPr>
        <w:jc w:val="both"/>
        <w:rPr>
          <w:lang w:val="en-US"/>
        </w:rPr>
      </w:pPr>
    </w:p>
    <w:p w14:paraId="7826B82D" w14:textId="77777777" w:rsidR="00802888" w:rsidRDefault="00802888" w:rsidP="00891682">
      <w:pPr>
        <w:jc w:val="both"/>
        <w:rPr>
          <w:lang w:val="en-US"/>
        </w:rPr>
      </w:pPr>
    </w:p>
    <w:p w14:paraId="53D4D097" w14:textId="206C5C89" w:rsidR="00891682" w:rsidRDefault="00891682" w:rsidP="00891682">
      <w:pPr>
        <w:jc w:val="both"/>
        <w:rPr>
          <w:lang w:val="en-US"/>
        </w:rPr>
      </w:pPr>
      <w:r>
        <w:rPr>
          <w:lang w:val="en-US"/>
        </w:rPr>
        <w:lastRenderedPageBreak/>
        <w:t xml:space="preserve">Supplemental Table </w:t>
      </w:r>
      <w:r w:rsidR="00802888">
        <w:rPr>
          <w:lang w:val="en-US"/>
        </w:rPr>
        <w:t>2</w:t>
      </w:r>
      <w:r>
        <w:rPr>
          <w:lang w:val="en-US"/>
        </w:rPr>
        <w:t xml:space="preserve">. Cohort Information. </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448"/>
        <w:gridCol w:w="675"/>
        <w:gridCol w:w="667"/>
        <w:gridCol w:w="513"/>
        <w:gridCol w:w="2230"/>
      </w:tblGrid>
      <w:tr w:rsidR="00891682" w:rsidRPr="00802888" w14:paraId="3B86A044" w14:textId="77777777" w:rsidTr="006C23EA">
        <w:trPr>
          <w:trHeight w:val="252"/>
        </w:trPr>
        <w:tc>
          <w:tcPr>
            <w:tcW w:w="849" w:type="dxa"/>
            <w:shd w:val="clear" w:color="auto" w:fill="auto"/>
            <w:noWrap/>
            <w:vAlign w:val="bottom"/>
            <w:hideMark/>
          </w:tcPr>
          <w:p w14:paraId="2653205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individual</w:t>
            </w:r>
          </w:p>
        </w:tc>
        <w:tc>
          <w:tcPr>
            <w:tcW w:w="448" w:type="dxa"/>
            <w:shd w:val="clear" w:color="auto" w:fill="auto"/>
            <w:noWrap/>
            <w:vAlign w:val="bottom"/>
            <w:hideMark/>
          </w:tcPr>
          <w:p w14:paraId="5E0CDAF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age</w:t>
            </w:r>
          </w:p>
        </w:tc>
        <w:tc>
          <w:tcPr>
            <w:tcW w:w="675" w:type="dxa"/>
            <w:shd w:val="clear" w:color="auto" w:fill="auto"/>
            <w:noWrap/>
            <w:vAlign w:val="bottom"/>
            <w:hideMark/>
          </w:tcPr>
          <w:p w14:paraId="2E38E70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gender</w:t>
            </w:r>
          </w:p>
        </w:tc>
        <w:tc>
          <w:tcPr>
            <w:tcW w:w="667" w:type="dxa"/>
            <w:shd w:val="clear" w:color="auto" w:fill="auto"/>
            <w:noWrap/>
            <w:vAlign w:val="bottom"/>
            <w:hideMark/>
          </w:tcPr>
          <w:p w14:paraId="58040BA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cod</w:t>
            </w:r>
          </w:p>
        </w:tc>
        <w:tc>
          <w:tcPr>
            <w:tcW w:w="513" w:type="dxa"/>
          </w:tcPr>
          <w:p w14:paraId="2E40C9A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mod</w:t>
            </w:r>
          </w:p>
        </w:tc>
        <w:tc>
          <w:tcPr>
            <w:tcW w:w="2230" w:type="dxa"/>
            <w:shd w:val="clear" w:color="auto" w:fill="auto"/>
            <w:noWrap/>
            <w:vAlign w:val="bottom"/>
            <w:hideMark/>
          </w:tcPr>
          <w:p w14:paraId="06851BC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other</w:t>
            </w:r>
          </w:p>
        </w:tc>
      </w:tr>
      <w:tr w:rsidR="00891682" w:rsidRPr="00802888" w14:paraId="1830B0D0" w14:textId="77777777" w:rsidTr="006C23EA">
        <w:trPr>
          <w:trHeight w:val="252"/>
        </w:trPr>
        <w:tc>
          <w:tcPr>
            <w:tcW w:w="849" w:type="dxa"/>
            <w:shd w:val="clear" w:color="auto" w:fill="auto"/>
            <w:noWrap/>
            <w:vAlign w:val="bottom"/>
            <w:hideMark/>
          </w:tcPr>
          <w:p w14:paraId="36BF32C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w:t>
            </w:r>
          </w:p>
        </w:tc>
        <w:tc>
          <w:tcPr>
            <w:tcW w:w="448" w:type="dxa"/>
            <w:shd w:val="clear" w:color="auto" w:fill="auto"/>
            <w:noWrap/>
            <w:vAlign w:val="bottom"/>
            <w:hideMark/>
          </w:tcPr>
          <w:p w14:paraId="600C19F1"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85</w:t>
            </w:r>
          </w:p>
        </w:tc>
        <w:tc>
          <w:tcPr>
            <w:tcW w:w="675" w:type="dxa"/>
            <w:shd w:val="clear" w:color="auto" w:fill="auto"/>
            <w:noWrap/>
            <w:vAlign w:val="bottom"/>
            <w:hideMark/>
          </w:tcPr>
          <w:p w14:paraId="4B4C12F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40811E9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G30</w:t>
            </w:r>
          </w:p>
        </w:tc>
        <w:tc>
          <w:tcPr>
            <w:tcW w:w="513" w:type="dxa"/>
            <w:vAlign w:val="bottom"/>
          </w:tcPr>
          <w:p w14:paraId="348081C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1</w:t>
            </w:r>
          </w:p>
        </w:tc>
        <w:tc>
          <w:tcPr>
            <w:tcW w:w="2230" w:type="dxa"/>
            <w:shd w:val="clear" w:color="auto" w:fill="auto"/>
            <w:noWrap/>
            <w:vAlign w:val="bottom"/>
            <w:hideMark/>
          </w:tcPr>
          <w:p w14:paraId="40FF2B6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pharynx neoplasia</w:t>
            </w:r>
          </w:p>
        </w:tc>
      </w:tr>
      <w:tr w:rsidR="00891682" w:rsidRPr="00802888" w14:paraId="2AC23606" w14:textId="77777777" w:rsidTr="006C23EA">
        <w:trPr>
          <w:trHeight w:val="252"/>
        </w:trPr>
        <w:tc>
          <w:tcPr>
            <w:tcW w:w="849" w:type="dxa"/>
            <w:shd w:val="clear" w:color="auto" w:fill="auto"/>
            <w:noWrap/>
            <w:vAlign w:val="bottom"/>
            <w:hideMark/>
          </w:tcPr>
          <w:p w14:paraId="1EFBDD5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w:t>
            </w:r>
          </w:p>
        </w:tc>
        <w:tc>
          <w:tcPr>
            <w:tcW w:w="448" w:type="dxa"/>
            <w:shd w:val="clear" w:color="auto" w:fill="auto"/>
            <w:noWrap/>
            <w:vAlign w:val="bottom"/>
            <w:hideMark/>
          </w:tcPr>
          <w:p w14:paraId="3F678B9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79</w:t>
            </w:r>
          </w:p>
        </w:tc>
        <w:tc>
          <w:tcPr>
            <w:tcW w:w="675" w:type="dxa"/>
            <w:shd w:val="clear" w:color="auto" w:fill="auto"/>
            <w:noWrap/>
            <w:vAlign w:val="bottom"/>
            <w:hideMark/>
          </w:tcPr>
          <w:p w14:paraId="02637ED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3E05ED8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W19</w:t>
            </w:r>
          </w:p>
        </w:tc>
        <w:tc>
          <w:tcPr>
            <w:tcW w:w="513" w:type="dxa"/>
            <w:vAlign w:val="bottom"/>
          </w:tcPr>
          <w:p w14:paraId="04760B5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3</w:t>
            </w:r>
          </w:p>
        </w:tc>
        <w:tc>
          <w:tcPr>
            <w:tcW w:w="2230" w:type="dxa"/>
            <w:shd w:val="clear" w:color="auto" w:fill="auto"/>
            <w:noWrap/>
            <w:vAlign w:val="bottom"/>
            <w:hideMark/>
          </w:tcPr>
          <w:p w14:paraId="3F9DFB6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6680202A" w14:textId="77777777" w:rsidTr="006C23EA">
        <w:trPr>
          <w:trHeight w:val="252"/>
        </w:trPr>
        <w:tc>
          <w:tcPr>
            <w:tcW w:w="849" w:type="dxa"/>
            <w:shd w:val="clear" w:color="auto" w:fill="auto"/>
            <w:noWrap/>
            <w:vAlign w:val="bottom"/>
            <w:hideMark/>
          </w:tcPr>
          <w:p w14:paraId="779F3FF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3</w:t>
            </w:r>
          </w:p>
        </w:tc>
        <w:tc>
          <w:tcPr>
            <w:tcW w:w="448" w:type="dxa"/>
            <w:shd w:val="clear" w:color="auto" w:fill="auto"/>
            <w:noWrap/>
            <w:vAlign w:val="bottom"/>
            <w:hideMark/>
          </w:tcPr>
          <w:p w14:paraId="33660B5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78</w:t>
            </w:r>
          </w:p>
        </w:tc>
        <w:tc>
          <w:tcPr>
            <w:tcW w:w="675" w:type="dxa"/>
            <w:shd w:val="clear" w:color="auto" w:fill="auto"/>
            <w:noWrap/>
            <w:vAlign w:val="bottom"/>
            <w:hideMark/>
          </w:tcPr>
          <w:p w14:paraId="6CCE31B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3D56384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C32.8</w:t>
            </w:r>
          </w:p>
        </w:tc>
        <w:tc>
          <w:tcPr>
            <w:tcW w:w="513" w:type="dxa"/>
            <w:vAlign w:val="bottom"/>
          </w:tcPr>
          <w:p w14:paraId="2FB922B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1</w:t>
            </w:r>
          </w:p>
        </w:tc>
        <w:tc>
          <w:tcPr>
            <w:tcW w:w="2230" w:type="dxa"/>
            <w:shd w:val="clear" w:color="auto" w:fill="auto"/>
            <w:noWrap/>
            <w:vAlign w:val="bottom"/>
            <w:hideMark/>
          </w:tcPr>
          <w:p w14:paraId="6C752E5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larynx &amp; esophagus carc</w:t>
            </w:r>
            <w:r w:rsidRPr="00242B73">
              <w:rPr>
                <w:rFonts w:ascii="Calibri" w:eastAsia="Times New Roman" w:hAnsi="Calibri" w:cs="Calibri"/>
                <w:color w:val="000000"/>
                <w:sz w:val="16"/>
                <w:szCs w:val="16"/>
                <w:lang w:val="en-US"/>
              </w:rPr>
              <w:t>inoma</w:t>
            </w:r>
          </w:p>
        </w:tc>
      </w:tr>
      <w:tr w:rsidR="00891682" w:rsidRPr="00802888" w14:paraId="257C096F" w14:textId="77777777" w:rsidTr="006C23EA">
        <w:trPr>
          <w:trHeight w:val="252"/>
        </w:trPr>
        <w:tc>
          <w:tcPr>
            <w:tcW w:w="849" w:type="dxa"/>
            <w:shd w:val="clear" w:color="auto" w:fill="auto"/>
            <w:noWrap/>
            <w:vAlign w:val="bottom"/>
            <w:hideMark/>
          </w:tcPr>
          <w:p w14:paraId="5C5ED3A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4</w:t>
            </w:r>
          </w:p>
        </w:tc>
        <w:tc>
          <w:tcPr>
            <w:tcW w:w="448" w:type="dxa"/>
            <w:shd w:val="clear" w:color="auto" w:fill="auto"/>
            <w:noWrap/>
            <w:vAlign w:val="bottom"/>
            <w:hideMark/>
          </w:tcPr>
          <w:p w14:paraId="3CE9C8A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77</w:t>
            </w:r>
          </w:p>
        </w:tc>
        <w:tc>
          <w:tcPr>
            <w:tcW w:w="675" w:type="dxa"/>
            <w:shd w:val="clear" w:color="auto" w:fill="auto"/>
            <w:noWrap/>
            <w:vAlign w:val="bottom"/>
            <w:hideMark/>
          </w:tcPr>
          <w:p w14:paraId="6FC4014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4D72646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C34.37</w:t>
            </w:r>
          </w:p>
        </w:tc>
        <w:tc>
          <w:tcPr>
            <w:tcW w:w="513" w:type="dxa"/>
            <w:vAlign w:val="bottom"/>
          </w:tcPr>
          <w:p w14:paraId="38837CD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2</w:t>
            </w:r>
          </w:p>
        </w:tc>
        <w:tc>
          <w:tcPr>
            <w:tcW w:w="2230" w:type="dxa"/>
            <w:shd w:val="clear" w:color="auto" w:fill="auto"/>
            <w:noWrap/>
            <w:vAlign w:val="bottom"/>
            <w:hideMark/>
          </w:tcPr>
          <w:p w14:paraId="27593CB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pulmonary carc</w:t>
            </w:r>
            <w:r w:rsidRPr="00242B73">
              <w:rPr>
                <w:rFonts w:ascii="Calibri" w:eastAsia="Times New Roman" w:hAnsi="Calibri" w:cs="Calibri"/>
                <w:color w:val="000000"/>
                <w:sz w:val="16"/>
                <w:szCs w:val="16"/>
                <w:lang w:val="en-US"/>
              </w:rPr>
              <w:t>inoma metastasis in brain, lymph node</w:t>
            </w:r>
            <w:r>
              <w:rPr>
                <w:rFonts w:ascii="Calibri" w:eastAsia="Times New Roman" w:hAnsi="Calibri" w:cs="Calibri"/>
                <w:color w:val="000000"/>
                <w:sz w:val="16"/>
                <w:szCs w:val="16"/>
                <w:lang w:val="en-US"/>
              </w:rPr>
              <w:t>s</w:t>
            </w:r>
            <w:r w:rsidRPr="00242B73">
              <w:rPr>
                <w:rFonts w:ascii="Calibri" w:eastAsia="Times New Roman" w:hAnsi="Calibri" w:cs="Calibri"/>
                <w:color w:val="000000"/>
                <w:sz w:val="16"/>
                <w:szCs w:val="16"/>
                <w:lang w:val="en-US"/>
              </w:rPr>
              <w:t>, liver</w:t>
            </w:r>
          </w:p>
        </w:tc>
      </w:tr>
      <w:tr w:rsidR="00891682" w:rsidRPr="00802888" w14:paraId="32A1B89A" w14:textId="77777777" w:rsidTr="006C23EA">
        <w:trPr>
          <w:trHeight w:val="252"/>
        </w:trPr>
        <w:tc>
          <w:tcPr>
            <w:tcW w:w="849" w:type="dxa"/>
            <w:shd w:val="clear" w:color="auto" w:fill="auto"/>
            <w:noWrap/>
            <w:vAlign w:val="bottom"/>
            <w:hideMark/>
          </w:tcPr>
          <w:p w14:paraId="2282BAF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w:t>
            </w:r>
          </w:p>
        </w:tc>
        <w:tc>
          <w:tcPr>
            <w:tcW w:w="448" w:type="dxa"/>
            <w:shd w:val="clear" w:color="auto" w:fill="auto"/>
            <w:noWrap/>
            <w:vAlign w:val="bottom"/>
            <w:hideMark/>
          </w:tcPr>
          <w:p w14:paraId="0C4AA4A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75</w:t>
            </w:r>
          </w:p>
        </w:tc>
        <w:tc>
          <w:tcPr>
            <w:tcW w:w="675" w:type="dxa"/>
            <w:shd w:val="clear" w:color="auto" w:fill="auto"/>
            <w:noWrap/>
            <w:vAlign w:val="bottom"/>
            <w:hideMark/>
          </w:tcPr>
          <w:p w14:paraId="269BE3E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4583D09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X74</w:t>
            </w:r>
          </w:p>
        </w:tc>
        <w:tc>
          <w:tcPr>
            <w:tcW w:w="513" w:type="dxa"/>
            <w:vAlign w:val="bottom"/>
          </w:tcPr>
          <w:p w14:paraId="6CE6145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5</w:t>
            </w:r>
          </w:p>
        </w:tc>
        <w:tc>
          <w:tcPr>
            <w:tcW w:w="2230" w:type="dxa"/>
            <w:shd w:val="clear" w:color="auto" w:fill="auto"/>
            <w:noWrap/>
            <w:vAlign w:val="bottom"/>
            <w:hideMark/>
          </w:tcPr>
          <w:p w14:paraId="51A7EFA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635EE2DD" w14:textId="77777777" w:rsidTr="006C23EA">
        <w:trPr>
          <w:trHeight w:val="252"/>
        </w:trPr>
        <w:tc>
          <w:tcPr>
            <w:tcW w:w="849" w:type="dxa"/>
            <w:shd w:val="clear" w:color="auto" w:fill="auto"/>
            <w:noWrap/>
            <w:vAlign w:val="bottom"/>
            <w:hideMark/>
          </w:tcPr>
          <w:p w14:paraId="0133CB1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w:t>
            </w:r>
          </w:p>
        </w:tc>
        <w:tc>
          <w:tcPr>
            <w:tcW w:w="448" w:type="dxa"/>
            <w:shd w:val="clear" w:color="auto" w:fill="auto"/>
            <w:noWrap/>
            <w:vAlign w:val="bottom"/>
            <w:hideMark/>
          </w:tcPr>
          <w:p w14:paraId="3B03988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75</w:t>
            </w:r>
          </w:p>
        </w:tc>
        <w:tc>
          <w:tcPr>
            <w:tcW w:w="675" w:type="dxa"/>
            <w:shd w:val="clear" w:color="auto" w:fill="auto"/>
            <w:noWrap/>
            <w:vAlign w:val="bottom"/>
            <w:hideMark/>
          </w:tcPr>
          <w:p w14:paraId="13FE9AE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298A6A6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I35.0</w:t>
            </w:r>
          </w:p>
        </w:tc>
        <w:tc>
          <w:tcPr>
            <w:tcW w:w="513" w:type="dxa"/>
            <w:vAlign w:val="bottom"/>
          </w:tcPr>
          <w:p w14:paraId="3E202E3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1</w:t>
            </w:r>
          </w:p>
        </w:tc>
        <w:tc>
          <w:tcPr>
            <w:tcW w:w="2230" w:type="dxa"/>
            <w:shd w:val="clear" w:color="auto" w:fill="auto"/>
            <w:noWrap/>
            <w:vAlign w:val="bottom"/>
            <w:hideMark/>
          </w:tcPr>
          <w:p w14:paraId="739983B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42EDAFCD" w14:textId="77777777" w:rsidTr="006C23EA">
        <w:trPr>
          <w:trHeight w:val="252"/>
        </w:trPr>
        <w:tc>
          <w:tcPr>
            <w:tcW w:w="849" w:type="dxa"/>
            <w:shd w:val="clear" w:color="auto" w:fill="auto"/>
            <w:noWrap/>
            <w:vAlign w:val="bottom"/>
            <w:hideMark/>
          </w:tcPr>
          <w:p w14:paraId="4A321AF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w:t>
            </w:r>
          </w:p>
        </w:tc>
        <w:tc>
          <w:tcPr>
            <w:tcW w:w="448" w:type="dxa"/>
            <w:shd w:val="clear" w:color="auto" w:fill="auto"/>
            <w:noWrap/>
            <w:vAlign w:val="bottom"/>
            <w:hideMark/>
          </w:tcPr>
          <w:p w14:paraId="7F41580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74</w:t>
            </w:r>
          </w:p>
        </w:tc>
        <w:tc>
          <w:tcPr>
            <w:tcW w:w="675" w:type="dxa"/>
            <w:shd w:val="clear" w:color="auto" w:fill="auto"/>
            <w:noWrap/>
            <w:vAlign w:val="bottom"/>
            <w:hideMark/>
          </w:tcPr>
          <w:p w14:paraId="08DB371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5CDD8E3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W19</w:t>
            </w:r>
          </w:p>
        </w:tc>
        <w:tc>
          <w:tcPr>
            <w:tcW w:w="513" w:type="dxa"/>
            <w:vAlign w:val="bottom"/>
          </w:tcPr>
          <w:p w14:paraId="3AA6203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3</w:t>
            </w:r>
          </w:p>
        </w:tc>
        <w:tc>
          <w:tcPr>
            <w:tcW w:w="2230" w:type="dxa"/>
            <w:shd w:val="clear" w:color="auto" w:fill="auto"/>
            <w:noWrap/>
            <w:vAlign w:val="bottom"/>
            <w:hideMark/>
          </w:tcPr>
          <w:p w14:paraId="122F7D7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2BCF8E2B" w14:textId="77777777" w:rsidTr="006C23EA">
        <w:trPr>
          <w:trHeight w:val="252"/>
        </w:trPr>
        <w:tc>
          <w:tcPr>
            <w:tcW w:w="849" w:type="dxa"/>
            <w:shd w:val="clear" w:color="auto" w:fill="auto"/>
            <w:noWrap/>
            <w:vAlign w:val="bottom"/>
            <w:hideMark/>
          </w:tcPr>
          <w:p w14:paraId="337E165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8</w:t>
            </w:r>
          </w:p>
        </w:tc>
        <w:tc>
          <w:tcPr>
            <w:tcW w:w="448" w:type="dxa"/>
            <w:shd w:val="clear" w:color="auto" w:fill="auto"/>
            <w:noWrap/>
            <w:vAlign w:val="bottom"/>
            <w:hideMark/>
          </w:tcPr>
          <w:p w14:paraId="072B599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74</w:t>
            </w:r>
          </w:p>
        </w:tc>
        <w:tc>
          <w:tcPr>
            <w:tcW w:w="675" w:type="dxa"/>
            <w:shd w:val="clear" w:color="auto" w:fill="auto"/>
            <w:noWrap/>
            <w:vAlign w:val="bottom"/>
            <w:hideMark/>
          </w:tcPr>
          <w:p w14:paraId="25192E8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521BCD9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W79</w:t>
            </w:r>
          </w:p>
        </w:tc>
        <w:tc>
          <w:tcPr>
            <w:tcW w:w="513" w:type="dxa"/>
            <w:vAlign w:val="bottom"/>
          </w:tcPr>
          <w:p w14:paraId="0FABB33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660445">
              <w:rPr>
                <w:rFonts w:ascii="Calibri" w:hAnsi="Calibri" w:cs="Calibri"/>
                <w:color w:val="000000"/>
                <w:sz w:val="16"/>
                <w:szCs w:val="16"/>
                <w:lang w:val="en-US"/>
              </w:rPr>
              <w:t>3</w:t>
            </w:r>
          </w:p>
        </w:tc>
        <w:tc>
          <w:tcPr>
            <w:tcW w:w="2230" w:type="dxa"/>
            <w:shd w:val="clear" w:color="auto" w:fill="auto"/>
            <w:noWrap/>
            <w:vAlign w:val="bottom"/>
            <w:hideMark/>
          </w:tcPr>
          <w:p w14:paraId="4906FAC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3BFC91BD" w14:textId="77777777" w:rsidTr="006C23EA">
        <w:trPr>
          <w:trHeight w:val="252"/>
        </w:trPr>
        <w:tc>
          <w:tcPr>
            <w:tcW w:w="849" w:type="dxa"/>
            <w:shd w:val="clear" w:color="auto" w:fill="auto"/>
            <w:noWrap/>
            <w:vAlign w:val="bottom"/>
            <w:hideMark/>
          </w:tcPr>
          <w:p w14:paraId="548DD45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9</w:t>
            </w:r>
          </w:p>
        </w:tc>
        <w:tc>
          <w:tcPr>
            <w:tcW w:w="448" w:type="dxa"/>
            <w:shd w:val="clear" w:color="auto" w:fill="auto"/>
            <w:noWrap/>
            <w:vAlign w:val="bottom"/>
            <w:hideMark/>
          </w:tcPr>
          <w:p w14:paraId="6018342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73</w:t>
            </w:r>
          </w:p>
        </w:tc>
        <w:tc>
          <w:tcPr>
            <w:tcW w:w="675" w:type="dxa"/>
            <w:shd w:val="clear" w:color="auto" w:fill="auto"/>
            <w:noWrap/>
            <w:vAlign w:val="bottom"/>
            <w:hideMark/>
          </w:tcPr>
          <w:p w14:paraId="1B964DA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702DFF6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2FACA07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802888">
              <w:rPr>
                <w:rFonts w:ascii="Calibri" w:hAnsi="Calibri" w:cs="Calibri"/>
                <w:color w:val="000000"/>
                <w:sz w:val="16"/>
                <w:szCs w:val="16"/>
                <w:lang w:val="en-US"/>
              </w:rPr>
              <w:t>1</w:t>
            </w:r>
          </w:p>
        </w:tc>
        <w:tc>
          <w:tcPr>
            <w:tcW w:w="2230" w:type="dxa"/>
            <w:shd w:val="clear" w:color="auto" w:fill="auto"/>
            <w:noWrap/>
            <w:vAlign w:val="bottom"/>
            <w:hideMark/>
          </w:tcPr>
          <w:p w14:paraId="0C949AA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7395D443" w14:textId="77777777" w:rsidTr="006C23EA">
        <w:trPr>
          <w:trHeight w:val="252"/>
        </w:trPr>
        <w:tc>
          <w:tcPr>
            <w:tcW w:w="849" w:type="dxa"/>
            <w:shd w:val="clear" w:color="auto" w:fill="auto"/>
            <w:noWrap/>
            <w:vAlign w:val="bottom"/>
            <w:hideMark/>
          </w:tcPr>
          <w:p w14:paraId="636FE08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10</w:t>
            </w:r>
          </w:p>
        </w:tc>
        <w:tc>
          <w:tcPr>
            <w:tcW w:w="448" w:type="dxa"/>
            <w:shd w:val="clear" w:color="auto" w:fill="auto"/>
            <w:noWrap/>
            <w:vAlign w:val="bottom"/>
            <w:hideMark/>
          </w:tcPr>
          <w:p w14:paraId="5606090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72</w:t>
            </w:r>
          </w:p>
        </w:tc>
        <w:tc>
          <w:tcPr>
            <w:tcW w:w="675" w:type="dxa"/>
            <w:shd w:val="clear" w:color="auto" w:fill="auto"/>
            <w:noWrap/>
            <w:vAlign w:val="bottom"/>
            <w:hideMark/>
          </w:tcPr>
          <w:p w14:paraId="4094B41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c>
          <w:tcPr>
            <w:tcW w:w="667" w:type="dxa"/>
            <w:shd w:val="clear" w:color="auto" w:fill="auto"/>
            <w:noWrap/>
            <w:vAlign w:val="bottom"/>
            <w:hideMark/>
          </w:tcPr>
          <w:p w14:paraId="23CDEE2A" w14:textId="77777777" w:rsidR="00891682" w:rsidRPr="00242B73" w:rsidRDefault="00891682" w:rsidP="006C23EA">
            <w:pPr>
              <w:spacing w:after="0" w:line="240" w:lineRule="auto"/>
              <w:jc w:val="both"/>
              <w:rPr>
                <w:rFonts w:ascii="Times New Roman" w:eastAsia="Times New Roman" w:hAnsi="Times New Roman" w:cs="Times New Roman"/>
                <w:color w:val="auto"/>
                <w:sz w:val="16"/>
                <w:szCs w:val="16"/>
                <w:lang w:val="en-US"/>
              </w:rPr>
            </w:pPr>
          </w:p>
        </w:tc>
        <w:tc>
          <w:tcPr>
            <w:tcW w:w="513" w:type="dxa"/>
            <w:vAlign w:val="bottom"/>
          </w:tcPr>
          <w:p w14:paraId="2E3674E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c>
          <w:tcPr>
            <w:tcW w:w="2230" w:type="dxa"/>
            <w:shd w:val="clear" w:color="auto" w:fill="auto"/>
            <w:noWrap/>
            <w:vAlign w:val="bottom"/>
            <w:hideMark/>
          </w:tcPr>
          <w:p w14:paraId="7A2EE1B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mantle cell lymphoma stage IV</w:t>
            </w:r>
            <w:r>
              <w:rPr>
                <w:rFonts w:ascii="Calibri" w:eastAsia="Times New Roman" w:hAnsi="Calibri" w:cs="Calibri"/>
                <w:color w:val="000000"/>
                <w:sz w:val="16"/>
                <w:szCs w:val="16"/>
                <w:lang w:val="en-US"/>
              </w:rPr>
              <w:t>, facial zoster rash and erythema multiforme of upper body 5 weeks prior</w:t>
            </w:r>
          </w:p>
        </w:tc>
      </w:tr>
      <w:tr w:rsidR="00891682" w:rsidRPr="00802888" w14:paraId="0C4B907D" w14:textId="77777777" w:rsidTr="006C23EA">
        <w:trPr>
          <w:trHeight w:val="252"/>
        </w:trPr>
        <w:tc>
          <w:tcPr>
            <w:tcW w:w="849" w:type="dxa"/>
            <w:shd w:val="clear" w:color="auto" w:fill="auto"/>
            <w:noWrap/>
            <w:vAlign w:val="bottom"/>
            <w:hideMark/>
          </w:tcPr>
          <w:p w14:paraId="55FD03C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11</w:t>
            </w:r>
          </w:p>
        </w:tc>
        <w:tc>
          <w:tcPr>
            <w:tcW w:w="448" w:type="dxa"/>
            <w:shd w:val="clear" w:color="auto" w:fill="auto"/>
            <w:noWrap/>
            <w:vAlign w:val="bottom"/>
            <w:hideMark/>
          </w:tcPr>
          <w:p w14:paraId="6685CED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71</w:t>
            </w:r>
          </w:p>
        </w:tc>
        <w:tc>
          <w:tcPr>
            <w:tcW w:w="675" w:type="dxa"/>
            <w:shd w:val="clear" w:color="auto" w:fill="auto"/>
            <w:noWrap/>
            <w:vAlign w:val="bottom"/>
            <w:hideMark/>
          </w:tcPr>
          <w:p w14:paraId="365DE6A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4B65690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w:t>
            </w:r>
          </w:p>
        </w:tc>
        <w:tc>
          <w:tcPr>
            <w:tcW w:w="513" w:type="dxa"/>
            <w:vAlign w:val="bottom"/>
          </w:tcPr>
          <w:p w14:paraId="0C7A464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802888">
              <w:rPr>
                <w:rFonts w:ascii="Calibri" w:hAnsi="Calibri" w:cs="Calibri"/>
                <w:color w:val="000000"/>
                <w:sz w:val="16"/>
                <w:szCs w:val="16"/>
                <w:lang w:val="en-US"/>
              </w:rPr>
              <w:t>1</w:t>
            </w:r>
          </w:p>
        </w:tc>
        <w:tc>
          <w:tcPr>
            <w:tcW w:w="2230" w:type="dxa"/>
            <w:shd w:val="clear" w:color="auto" w:fill="auto"/>
            <w:noWrap/>
            <w:vAlign w:val="bottom"/>
            <w:hideMark/>
          </w:tcPr>
          <w:p w14:paraId="49E5B48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802888" w14:paraId="0DD3A5BD" w14:textId="77777777" w:rsidTr="006C23EA">
        <w:trPr>
          <w:trHeight w:val="252"/>
        </w:trPr>
        <w:tc>
          <w:tcPr>
            <w:tcW w:w="849" w:type="dxa"/>
            <w:shd w:val="clear" w:color="auto" w:fill="auto"/>
            <w:noWrap/>
            <w:vAlign w:val="bottom"/>
            <w:hideMark/>
          </w:tcPr>
          <w:p w14:paraId="49F2BF0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12</w:t>
            </w:r>
          </w:p>
        </w:tc>
        <w:tc>
          <w:tcPr>
            <w:tcW w:w="448" w:type="dxa"/>
            <w:shd w:val="clear" w:color="auto" w:fill="auto"/>
            <w:noWrap/>
            <w:vAlign w:val="bottom"/>
            <w:hideMark/>
          </w:tcPr>
          <w:p w14:paraId="00979BE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70</w:t>
            </w:r>
          </w:p>
        </w:tc>
        <w:tc>
          <w:tcPr>
            <w:tcW w:w="675" w:type="dxa"/>
            <w:shd w:val="clear" w:color="auto" w:fill="auto"/>
            <w:noWrap/>
            <w:vAlign w:val="bottom"/>
            <w:hideMark/>
          </w:tcPr>
          <w:p w14:paraId="5343D7E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6CBDEE7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4D71353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802888">
              <w:rPr>
                <w:rFonts w:ascii="Calibri" w:hAnsi="Calibri" w:cs="Calibri"/>
                <w:color w:val="000000"/>
                <w:sz w:val="16"/>
                <w:szCs w:val="16"/>
                <w:lang w:val="en-US"/>
              </w:rPr>
              <w:t>1</w:t>
            </w:r>
          </w:p>
        </w:tc>
        <w:tc>
          <w:tcPr>
            <w:tcW w:w="2230" w:type="dxa"/>
            <w:shd w:val="clear" w:color="auto" w:fill="auto"/>
            <w:noWrap/>
            <w:vAlign w:val="bottom"/>
            <w:hideMark/>
          </w:tcPr>
          <w:p w14:paraId="0B13B35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5A12000D" w14:textId="77777777" w:rsidTr="006C23EA">
        <w:trPr>
          <w:trHeight w:val="252"/>
        </w:trPr>
        <w:tc>
          <w:tcPr>
            <w:tcW w:w="849" w:type="dxa"/>
            <w:shd w:val="clear" w:color="auto" w:fill="auto"/>
            <w:noWrap/>
            <w:vAlign w:val="bottom"/>
            <w:hideMark/>
          </w:tcPr>
          <w:p w14:paraId="0B89FFA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13</w:t>
            </w:r>
          </w:p>
        </w:tc>
        <w:tc>
          <w:tcPr>
            <w:tcW w:w="448" w:type="dxa"/>
            <w:shd w:val="clear" w:color="auto" w:fill="auto"/>
            <w:noWrap/>
            <w:vAlign w:val="bottom"/>
            <w:hideMark/>
          </w:tcPr>
          <w:p w14:paraId="48227CA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70</w:t>
            </w:r>
          </w:p>
        </w:tc>
        <w:tc>
          <w:tcPr>
            <w:tcW w:w="675" w:type="dxa"/>
            <w:shd w:val="clear" w:color="auto" w:fill="auto"/>
            <w:noWrap/>
            <w:vAlign w:val="bottom"/>
            <w:hideMark/>
          </w:tcPr>
          <w:p w14:paraId="6E1495E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26C71E6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F10.29</w:t>
            </w:r>
          </w:p>
        </w:tc>
        <w:tc>
          <w:tcPr>
            <w:tcW w:w="513" w:type="dxa"/>
            <w:vAlign w:val="bottom"/>
          </w:tcPr>
          <w:p w14:paraId="3FE60F7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77ECFF7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2C7F8244" w14:textId="77777777" w:rsidTr="006C23EA">
        <w:trPr>
          <w:trHeight w:val="252"/>
        </w:trPr>
        <w:tc>
          <w:tcPr>
            <w:tcW w:w="849" w:type="dxa"/>
            <w:shd w:val="clear" w:color="auto" w:fill="auto"/>
            <w:noWrap/>
            <w:vAlign w:val="bottom"/>
            <w:hideMark/>
          </w:tcPr>
          <w:p w14:paraId="7F98E1F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14</w:t>
            </w:r>
          </w:p>
        </w:tc>
        <w:tc>
          <w:tcPr>
            <w:tcW w:w="448" w:type="dxa"/>
            <w:shd w:val="clear" w:color="auto" w:fill="auto"/>
            <w:noWrap/>
            <w:vAlign w:val="bottom"/>
            <w:hideMark/>
          </w:tcPr>
          <w:p w14:paraId="27229D0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69</w:t>
            </w:r>
          </w:p>
        </w:tc>
        <w:tc>
          <w:tcPr>
            <w:tcW w:w="675" w:type="dxa"/>
            <w:shd w:val="clear" w:color="auto" w:fill="auto"/>
            <w:noWrap/>
            <w:vAlign w:val="bottom"/>
            <w:hideMark/>
          </w:tcPr>
          <w:p w14:paraId="75EDC6A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3DEB546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0811DBF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302F954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20E5EB7E" w14:textId="77777777" w:rsidTr="006C23EA">
        <w:trPr>
          <w:trHeight w:val="252"/>
        </w:trPr>
        <w:tc>
          <w:tcPr>
            <w:tcW w:w="849" w:type="dxa"/>
            <w:shd w:val="clear" w:color="auto" w:fill="auto"/>
            <w:noWrap/>
            <w:vAlign w:val="bottom"/>
            <w:hideMark/>
          </w:tcPr>
          <w:p w14:paraId="32B535A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15</w:t>
            </w:r>
          </w:p>
        </w:tc>
        <w:tc>
          <w:tcPr>
            <w:tcW w:w="448" w:type="dxa"/>
            <w:shd w:val="clear" w:color="auto" w:fill="auto"/>
            <w:noWrap/>
            <w:vAlign w:val="bottom"/>
            <w:hideMark/>
          </w:tcPr>
          <w:p w14:paraId="6CD753E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68</w:t>
            </w:r>
          </w:p>
        </w:tc>
        <w:tc>
          <w:tcPr>
            <w:tcW w:w="675" w:type="dxa"/>
            <w:shd w:val="clear" w:color="auto" w:fill="auto"/>
            <w:noWrap/>
            <w:vAlign w:val="bottom"/>
            <w:hideMark/>
          </w:tcPr>
          <w:p w14:paraId="1BBAACC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6382D21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2CC3867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640B4F1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0473E3E3" w14:textId="77777777" w:rsidTr="006C23EA">
        <w:trPr>
          <w:trHeight w:val="252"/>
        </w:trPr>
        <w:tc>
          <w:tcPr>
            <w:tcW w:w="849" w:type="dxa"/>
            <w:shd w:val="clear" w:color="auto" w:fill="auto"/>
            <w:noWrap/>
            <w:vAlign w:val="bottom"/>
            <w:hideMark/>
          </w:tcPr>
          <w:p w14:paraId="2F87F4D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16</w:t>
            </w:r>
          </w:p>
        </w:tc>
        <w:tc>
          <w:tcPr>
            <w:tcW w:w="448" w:type="dxa"/>
            <w:shd w:val="clear" w:color="auto" w:fill="auto"/>
            <w:noWrap/>
            <w:vAlign w:val="bottom"/>
            <w:hideMark/>
          </w:tcPr>
          <w:p w14:paraId="0DC90BE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68</w:t>
            </w:r>
          </w:p>
        </w:tc>
        <w:tc>
          <w:tcPr>
            <w:tcW w:w="675" w:type="dxa"/>
            <w:shd w:val="clear" w:color="auto" w:fill="auto"/>
            <w:noWrap/>
            <w:vAlign w:val="bottom"/>
            <w:hideMark/>
          </w:tcPr>
          <w:p w14:paraId="74D9E23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65C9827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T36#</w:t>
            </w:r>
          </w:p>
        </w:tc>
        <w:tc>
          <w:tcPr>
            <w:tcW w:w="513" w:type="dxa"/>
            <w:vAlign w:val="bottom"/>
          </w:tcPr>
          <w:p w14:paraId="7E9F31E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3</w:t>
            </w:r>
          </w:p>
        </w:tc>
        <w:tc>
          <w:tcPr>
            <w:tcW w:w="2230" w:type="dxa"/>
            <w:shd w:val="clear" w:color="auto" w:fill="auto"/>
            <w:noWrap/>
            <w:vAlign w:val="bottom"/>
            <w:hideMark/>
          </w:tcPr>
          <w:p w14:paraId="3C4A2B8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72AE41A6" w14:textId="77777777" w:rsidTr="006C23EA">
        <w:trPr>
          <w:trHeight w:val="252"/>
        </w:trPr>
        <w:tc>
          <w:tcPr>
            <w:tcW w:w="849" w:type="dxa"/>
            <w:shd w:val="clear" w:color="auto" w:fill="auto"/>
            <w:noWrap/>
            <w:vAlign w:val="bottom"/>
            <w:hideMark/>
          </w:tcPr>
          <w:p w14:paraId="6CFA1DC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17</w:t>
            </w:r>
          </w:p>
        </w:tc>
        <w:tc>
          <w:tcPr>
            <w:tcW w:w="448" w:type="dxa"/>
            <w:shd w:val="clear" w:color="auto" w:fill="auto"/>
            <w:noWrap/>
            <w:vAlign w:val="bottom"/>
            <w:hideMark/>
          </w:tcPr>
          <w:p w14:paraId="525562D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67</w:t>
            </w:r>
          </w:p>
        </w:tc>
        <w:tc>
          <w:tcPr>
            <w:tcW w:w="675" w:type="dxa"/>
            <w:shd w:val="clear" w:color="auto" w:fill="auto"/>
            <w:noWrap/>
            <w:vAlign w:val="bottom"/>
            <w:hideMark/>
          </w:tcPr>
          <w:p w14:paraId="30BD9C3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751E8FB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307D5AD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5412DCD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71343725" w14:textId="77777777" w:rsidTr="006C23EA">
        <w:trPr>
          <w:trHeight w:val="252"/>
        </w:trPr>
        <w:tc>
          <w:tcPr>
            <w:tcW w:w="849" w:type="dxa"/>
            <w:shd w:val="clear" w:color="auto" w:fill="auto"/>
            <w:noWrap/>
            <w:vAlign w:val="bottom"/>
            <w:hideMark/>
          </w:tcPr>
          <w:p w14:paraId="2219639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18</w:t>
            </w:r>
          </w:p>
        </w:tc>
        <w:tc>
          <w:tcPr>
            <w:tcW w:w="448" w:type="dxa"/>
            <w:shd w:val="clear" w:color="auto" w:fill="auto"/>
            <w:noWrap/>
            <w:vAlign w:val="bottom"/>
            <w:hideMark/>
          </w:tcPr>
          <w:p w14:paraId="430E22B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67</w:t>
            </w:r>
          </w:p>
        </w:tc>
        <w:tc>
          <w:tcPr>
            <w:tcW w:w="675" w:type="dxa"/>
            <w:shd w:val="clear" w:color="auto" w:fill="auto"/>
            <w:noWrap/>
            <w:vAlign w:val="bottom"/>
            <w:hideMark/>
          </w:tcPr>
          <w:p w14:paraId="1056D3A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6E0242D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67CC4E5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23E7084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0183B168" w14:textId="77777777" w:rsidTr="006C23EA">
        <w:trPr>
          <w:trHeight w:val="252"/>
        </w:trPr>
        <w:tc>
          <w:tcPr>
            <w:tcW w:w="849" w:type="dxa"/>
            <w:shd w:val="clear" w:color="auto" w:fill="auto"/>
            <w:noWrap/>
            <w:vAlign w:val="bottom"/>
            <w:hideMark/>
          </w:tcPr>
          <w:p w14:paraId="7B34739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19</w:t>
            </w:r>
          </w:p>
        </w:tc>
        <w:tc>
          <w:tcPr>
            <w:tcW w:w="448" w:type="dxa"/>
            <w:shd w:val="clear" w:color="auto" w:fill="auto"/>
            <w:noWrap/>
            <w:vAlign w:val="bottom"/>
            <w:hideMark/>
          </w:tcPr>
          <w:p w14:paraId="26441A8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66</w:t>
            </w:r>
          </w:p>
        </w:tc>
        <w:tc>
          <w:tcPr>
            <w:tcW w:w="675" w:type="dxa"/>
            <w:shd w:val="clear" w:color="auto" w:fill="auto"/>
            <w:noWrap/>
            <w:vAlign w:val="bottom"/>
            <w:hideMark/>
          </w:tcPr>
          <w:p w14:paraId="1DBAE52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25F57B1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I11</w:t>
            </w:r>
          </w:p>
        </w:tc>
        <w:tc>
          <w:tcPr>
            <w:tcW w:w="513" w:type="dxa"/>
            <w:vAlign w:val="bottom"/>
          </w:tcPr>
          <w:p w14:paraId="557FA8C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1D7A8D1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598F28F7" w14:textId="77777777" w:rsidTr="006C23EA">
        <w:trPr>
          <w:trHeight w:val="252"/>
        </w:trPr>
        <w:tc>
          <w:tcPr>
            <w:tcW w:w="849" w:type="dxa"/>
            <w:shd w:val="clear" w:color="auto" w:fill="auto"/>
            <w:noWrap/>
            <w:vAlign w:val="bottom"/>
            <w:hideMark/>
          </w:tcPr>
          <w:p w14:paraId="3439948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20</w:t>
            </w:r>
          </w:p>
        </w:tc>
        <w:tc>
          <w:tcPr>
            <w:tcW w:w="448" w:type="dxa"/>
            <w:shd w:val="clear" w:color="auto" w:fill="auto"/>
            <w:noWrap/>
            <w:vAlign w:val="bottom"/>
            <w:hideMark/>
          </w:tcPr>
          <w:p w14:paraId="200416A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66</w:t>
            </w:r>
          </w:p>
        </w:tc>
        <w:tc>
          <w:tcPr>
            <w:tcW w:w="675" w:type="dxa"/>
            <w:shd w:val="clear" w:color="auto" w:fill="auto"/>
            <w:noWrap/>
            <w:vAlign w:val="bottom"/>
            <w:hideMark/>
          </w:tcPr>
          <w:p w14:paraId="57E4C8B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7EF4C25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W19</w:t>
            </w:r>
          </w:p>
        </w:tc>
        <w:tc>
          <w:tcPr>
            <w:tcW w:w="513" w:type="dxa"/>
            <w:vAlign w:val="bottom"/>
          </w:tcPr>
          <w:p w14:paraId="0ED1AD5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3</w:t>
            </w:r>
          </w:p>
        </w:tc>
        <w:tc>
          <w:tcPr>
            <w:tcW w:w="2230" w:type="dxa"/>
            <w:shd w:val="clear" w:color="auto" w:fill="auto"/>
            <w:noWrap/>
            <w:vAlign w:val="bottom"/>
            <w:hideMark/>
          </w:tcPr>
          <w:p w14:paraId="1CF40C7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1C11FBFC" w14:textId="77777777" w:rsidTr="006C23EA">
        <w:trPr>
          <w:trHeight w:val="252"/>
        </w:trPr>
        <w:tc>
          <w:tcPr>
            <w:tcW w:w="849" w:type="dxa"/>
            <w:shd w:val="clear" w:color="auto" w:fill="auto"/>
            <w:noWrap/>
            <w:vAlign w:val="bottom"/>
            <w:hideMark/>
          </w:tcPr>
          <w:p w14:paraId="64236F9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21</w:t>
            </w:r>
          </w:p>
        </w:tc>
        <w:tc>
          <w:tcPr>
            <w:tcW w:w="448" w:type="dxa"/>
            <w:shd w:val="clear" w:color="auto" w:fill="auto"/>
            <w:noWrap/>
            <w:vAlign w:val="bottom"/>
            <w:hideMark/>
          </w:tcPr>
          <w:p w14:paraId="3E7D926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65</w:t>
            </w:r>
          </w:p>
        </w:tc>
        <w:tc>
          <w:tcPr>
            <w:tcW w:w="675" w:type="dxa"/>
            <w:shd w:val="clear" w:color="auto" w:fill="auto"/>
            <w:noWrap/>
            <w:vAlign w:val="bottom"/>
            <w:hideMark/>
          </w:tcPr>
          <w:p w14:paraId="726583D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3B80429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F10.2</w:t>
            </w:r>
          </w:p>
        </w:tc>
        <w:tc>
          <w:tcPr>
            <w:tcW w:w="513" w:type="dxa"/>
            <w:vAlign w:val="bottom"/>
          </w:tcPr>
          <w:p w14:paraId="4288B47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1180FA6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7A54A7CA" w14:textId="77777777" w:rsidTr="006C23EA">
        <w:trPr>
          <w:trHeight w:val="252"/>
        </w:trPr>
        <w:tc>
          <w:tcPr>
            <w:tcW w:w="849" w:type="dxa"/>
            <w:shd w:val="clear" w:color="auto" w:fill="auto"/>
            <w:noWrap/>
            <w:vAlign w:val="bottom"/>
            <w:hideMark/>
          </w:tcPr>
          <w:p w14:paraId="78FCB47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22</w:t>
            </w:r>
          </w:p>
        </w:tc>
        <w:tc>
          <w:tcPr>
            <w:tcW w:w="448" w:type="dxa"/>
            <w:shd w:val="clear" w:color="auto" w:fill="auto"/>
            <w:noWrap/>
            <w:vAlign w:val="bottom"/>
            <w:hideMark/>
          </w:tcPr>
          <w:p w14:paraId="11A4CCE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62</w:t>
            </w:r>
          </w:p>
        </w:tc>
        <w:tc>
          <w:tcPr>
            <w:tcW w:w="675" w:type="dxa"/>
            <w:shd w:val="clear" w:color="auto" w:fill="auto"/>
            <w:noWrap/>
            <w:vAlign w:val="bottom"/>
            <w:hideMark/>
          </w:tcPr>
          <w:p w14:paraId="7A552A8E"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304E80B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K25.4</w:t>
            </w:r>
          </w:p>
        </w:tc>
        <w:tc>
          <w:tcPr>
            <w:tcW w:w="513" w:type="dxa"/>
            <w:vAlign w:val="bottom"/>
          </w:tcPr>
          <w:p w14:paraId="4EAD0BD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5FAC917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300713E6" w14:textId="77777777" w:rsidTr="006C23EA">
        <w:trPr>
          <w:trHeight w:val="252"/>
        </w:trPr>
        <w:tc>
          <w:tcPr>
            <w:tcW w:w="849" w:type="dxa"/>
            <w:shd w:val="clear" w:color="auto" w:fill="auto"/>
            <w:noWrap/>
            <w:vAlign w:val="bottom"/>
            <w:hideMark/>
          </w:tcPr>
          <w:p w14:paraId="1CB5E75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23</w:t>
            </w:r>
          </w:p>
        </w:tc>
        <w:tc>
          <w:tcPr>
            <w:tcW w:w="448" w:type="dxa"/>
            <w:shd w:val="clear" w:color="auto" w:fill="auto"/>
            <w:noWrap/>
            <w:vAlign w:val="bottom"/>
            <w:hideMark/>
          </w:tcPr>
          <w:p w14:paraId="0979EC1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60</w:t>
            </w:r>
          </w:p>
        </w:tc>
        <w:tc>
          <w:tcPr>
            <w:tcW w:w="675" w:type="dxa"/>
            <w:shd w:val="clear" w:color="auto" w:fill="auto"/>
            <w:noWrap/>
            <w:vAlign w:val="bottom"/>
            <w:hideMark/>
          </w:tcPr>
          <w:p w14:paraId="2562501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47A7959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032298C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614BB261"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7E025377" w14:textId="77777777" w:rsidTr="006C23EA">
        <w:trPr>
          <w:trHeight w:val="252"/>
        </w:trPr>
        <w:tc>
          <w:tcPr>
            <w:tcW w:w="849" w:type="dxa"/>
            <w:shd w:val="clear" w:color="auto" w:fill="auto"/>
            <w:noWrap/>
            <w:vAlign w:val="bottom"/>
            <w:hideMark/>
          </w:tcPr>
          <w:p w14:paraId="1A93352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24</w:t>
            </w:r>
          </w:p>
        </w:tc>
        <w:tc>
          <w:tcPr>
            <w:tcW w:w="448" w:type="dxa"/>
            <w:shd w:val="clear" w:color="auto" w:fill="auto"/>
            <w:noWrap/>
            <w:vAlign w:val="bottom"/>
            <w:hideMark/>
          </w:tcPr>
          <w:p w14:paraId="1C6BB1E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60</w:t>
            </w:r>
          </w:p>
        </w:tc>
        <w:tc>
          <w:tcPr>
            <w:tcW w:w="675" w:type="dxa"/>
            <w:shd w:val="clear" w:color="auto" w:fill="auto"/>
            <w:noWrap/>
            <w:vAlign w:val="bottom"/>
            <w:hideMark/>
          </w:tcPr>
          <w:p w14:paraId="6A959BE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0889C4D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I25.1</w:t>
            </w:r>
          </w:p>
        </w:tc>
        <w:tc>
          <w:tcPr>
            <w:tcW w:w="513" w:type="dxa"/>
            <w:vAlign w:val="bottom"/>
          </w:tcPr>
          <w:p w14:paraId="2851CF4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658A198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 xml:space="preserve">pharyngeal </w:t>
            </w:r>
            <w:r>
              <w:rPr>
                <w:rFonts w:ascii="Calibri" w:eastAsia="Times New Roman" w:hAnsi="Calibri" w:cs="Calibri"/>
                <w:color w:val="000000"/>
                <w:sz w:val="16"/>
                <w:szCs w:val="16"/>
                <w:lang w:val="en-US"/>
              </w:rPr>
              <w:br/>
              <w:t>carc</w:t>
            </w:r>
            <w:r w:rsidRPr="00242B73">
              <w:rPr>
                <w:rFonts w:ascii="Calibri" w:eastAsia="Times New Roman" w:hAnsi="Calibri" w:cs="Calibri"/>
                <w:color w:val="000000"/>
                <w:sz w:val="16"/>
                <w:szCs w:val="16"/>
                <w:lang w:val="en-US"/>
              </w:rPr>
              <w:t>inoma operated</w:t>
            </w:r>
          </w:p>
        </w:tc>
      </w:tr>
      <w:tr w:rsidR="00891682" w:rsidRPr="00242B73" w14:paraId="016C8241" w14:textId="77777777" w:rsidTr="006C23EA">
        <w:trPr>
          <w:trHeight w:val="252"/>
        </w:trPr>
        <w:tc>
          <w:tcPr>
            <w:tcW w:w="849" w:type="dxa"/>
            <w:shd w:val="clear" w:color="auto" w:fill="auto"/>
            <w:noWrap/>
            <w:vAlign w:val="bottom"/>
            <w:hideMark/>
          </w:tcPr>
          <w:p w14:paraId="3A48ED0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25</w:t>
            </w:r>
          </w:p>
        </w:tc>
        <w:tc>
          <w:tcPr>
            <w:tcW w:w="448" w:type="dxa"/>
            <w:shd w:val="clear" w:color="auto" w:fill="auto"/>
            <w:noWrap/>
            <w:vAlign w:val="bottom"/>
            <w:hideMark/>
          </w:tcPr>
          <w:p w14:paraId="1AB8DAB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60</w:t>
            </w:r>
          </w:p>
        </w:tc>
        <w:tc>
          <w:tcPr>
            <w:tcW w:w="675" w:type="dxa"/>
            <w:shd w:val="clear" w:color="auto" w:fill="auto"/>
            <w:noWrap/>
            <w:vAlign w:val="bottom"/>
            <w:hideMark/>
          </w:tcPr>
          <w:p w14:paraId="40AB5D6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092BC1E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J84.9</w:t>
            </w:r>
          </w:p>
        </w:tc>
        <w:tc>
          <w:tcPr>
            <w:tcW w:w="513" w:type="dxa"/>
            <w:vAlign w:val="bottom"/>
          </w:tcPr>
          <w:p w14:paraId="6EBA108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73182C6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31444894" w14:textId="77777777" w:rsidTr="006C23EA">
        <w:trPr>
          <w:trHeight w:val="252"/>
        </w:trPr>
        <w:tc>
          <w:tcPr>
            <w:tcW w:w="849" w:type="dxa"/>
            <w:shd w:val="clear" w:color="auto" w:fill="auto"/>
            <w:noWrap/>
            <w:vAlign w:val="bottom"/>
            <w:hideMark/>
          </w:tcPr>
          <w:p w14:paraId="3ACD9D7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26</w:t>
            </w:r>
          </w:p>
        </w:tc>
        <w:tc>
          <w:tcPr>
            <w:tcW w:w="448" w:type="dxa"/>
            <w:shd w:val="clear" w:color="auto" w:fill="auto"/>
            <w:noWrap/>
            <w:vAlign w:val="bottom"/>
            <w:hideMark/>
          </w:tcPr>
          <w:p w14:paraId="7D1E3A9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59</w:t>
            </w:r>
          </w:p>
        </w:tc>
        <w:tc>
          <w:tcPr>
            <w:tcW w:w="675" w:type="dxa"/>
            <w:shd w:val="clear" w:color="auto" w:fill="auto"/>
            <w:noWrap/>
            <w:vAlign w:val="bottom"/>
            <w:hideMark/>
          </w:tcPr>
          <w:p w14:paraId="0BB9A04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6B47525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I71.00</w:t>
            </w:r>
          </w:p>
        </w:tc>
        <w:tc>
          <w:tcPr>
            <w:tcW w:w="513" w:type="dxa"/>
            <w:vAlign w:val="bottom"/>
          </w:tcPr>
          <w:p w14:paraId="2A2F699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77F29B7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4C64EF47" w14:textId="77777777" w:rsidTr="006C23EA">
        <w:trPr>
          <w:trHeight w:val="252"/>
        </w:trPr>
        <w:tc>
          <w:tcPr>
            <w:tcW w:w="849" w:type="dxa"/>
            <w:shd w:val="clear" w:color="auto" w:fill="auto"/>
            <w:noWrap/>
            <w:vAlign w:val="bottom"/>
            <w:hideMark/>
          </w:tcPr>
          <w:p w14:paraId="23A12FE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27</w:t>
            </w:r>
          </w:p>
        </w:tc>
        <w:tc>
          <w:tcPr>
            <w:tcW w:w="448" w:type="dxa"/>
            <w:shd w:val="clear" w:color="auto" w:fill="auto"/>
            <w:noWrap/>
            <w:vAlign w:val="bottom"/>
            <w:hideMark/>
          </w:tcPr>
          <w:p w14:paraId="79B79E7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58</w:t>
            </w:r>
          </w:p>
        </w:tc>
        <w:tc>
          <w:tcPr>
            <w:tcW w:w="675" w:type="dxa"/>
            <w:shd w:val="clear" w:color="auto" w:fill="auto"/>
            <w:noWrap/>
            <w:vAlign w:val="bottom"/>
            <w:hideMark/>
          </w:tcPr>
          <w:p w14:paraId="1447042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0376828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I35.0</w:t>
            </w:r>
          </w:p>
        </w:tc>
        <w:tc>
          <w:tcPr>
            <w:tcW w:w="513" w:type="dxa"/>
            <w:vAlign w:val="bottom"/>
          </w:tcPr>
          <w:p w14:paraId="7479C69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7EC4510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07447135" w14:textId="77777777" w:rsidTr="006C23EA">
        <w:trPr>
          <w:trHeight w:val="252"/>
        </w:trPr>
        <w:tc>
          <w:tcPr>
            <w:tcW w:w="849" w:type="dxa"/>
            <w:shd w:val="clear" w:color="auto" w:fill="auto"/>
            <w:noWrap/>
            <w:vAlign w:val="bottom"/>
            <w:hideMark/>
          </w:tcPr>
          <w:p w14:paraId="573C5520"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28</w:t>
            </w:r>
          </w:p>
        </w:tc>
        <w:tc>
          <w:tcPr>
            <w:tcW w:w="448" w:type="dxa"/>
            <w:shd w:val="clear" w:color="auto" w:fill="auto"/>
            <w:noWrap/>
            <w:vAlign w:val="bottom"/>
            <w:hideMark/>
          </w:tcPr>
          <w:p w14:paraId="409AA0C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54</w:t>
            </w:r>
          </w:p>
        </w:tc>
        <w:tc>
          <w:tcPr>
            <w:tcW w:w="675" w:type="dxa"/>
            <w:shd w:val="clear" w:color="auto" w:fill="auto"/>
            <w:noWrap/>
            <w:vAlign w:val="bottom"/>
            <w:hideMark/>
          </w:tcPr>
          <w:p w14:paraId="0716478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7CC22AE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J44.9</w:t>
            </w:r>
          </w:p>
        </w:tc>
        <w:tc>
          <w:tcPr>
            <w:tcW w:w="513" w:type="dxa"/>
            <w:vAlign w:val="bottom"/>
          </w:tcPr>
          <w:p w14:paraId="3FF5CB19"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537D4171"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4A3CE47F" w14:textId="77777777" w:rsidTr="006C23EA">
        <w:trPr>
          <w:trHeight w:val="252"/>
        </w:trPr>
        <w:tc>
          <w:tcPr>
            <w:tcW w:w="849" w:type="dxa"/>
            <w:shd w:val="clear" w:color="auto" w:fill="auto"/>
            <w:noWrap/>
            <w:vAlign w:val="bottom"/>
            <w:hideMark/>
          </w:tcPr>
          <w:p w14:paraId="67B7B9F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29</w:t>
            </w:r>
          </w:p>
        </w:tc>
        <w:tc>
          <w:tcPr>
            <w:tcW w:w="448" w:type="dxa"/>
            <w:shd w:val="clear" w:color="auto" w:fill="auto"/>
            <w:noWrap/>
            <w:vAlign w:val="bottom"/>
            <w:hideMark/>
          </w:tcPr>
          <w:p w14:paraId="0E665662"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53</w:t>
            </w:r>
          </w:p>
        </w:tc>
        <w:tc>
          <w:tcPr>
            <w:tcW w:w="675" w:type="dxa"/>
            <w:shd w:val="clear" w:color="auto" w:fill="auto"/>
            <w:noWrap/>
            <w:vAlign w:val="bottom"/>
            <w:hideMark/>
          </w:tcPr>
          <w:p w14:paraId="070CA7A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M</w:t>
            </w:r>
          </w:p>
        </w:tc>
        <w:tc>
          <w:tcPr>
            <w:tcW w:w="667" w:type="dxa"/>
            <w:shd w:val="clear" w:color="auto" w:fill="auto"/>
            <w:noWrap/>
            <w:vAlign w:val="bottom"/>
            <w:hideMark/>
          </w:tcPr>
          <w:p w14:paraId="0B89428F"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F10.2</w:t>
            </w:r>
          </w:p>
        </w:tc>
        <w:tc>
          <w:tcPr>
            <w:tcW w:w="513" w:type="dxa"/>
            <w:vAlign w:val="bottom"/>
          </w:tcPr>
          <w:p w14:paraId="2BCB2FF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2CFB92D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0E434B2A" w14:textId="77777777" w:rsidTr="006C23EA">
        <w:trPr>
          <w:trHeight w:val="252"/>
        </w:trPr>
        <w:tc>
          <w:tcPr>
            <w:tcW w:w="849" w:type="dxa"/>
            <w:shd w:val="clear" w:color="auto" w:fill="auto"/>
            <w:noWrap/>
            <w:vAlign w:val="bottom"/>
            <w:hideMark/>
          </w:tcPr>
          <w:p w14:paraId="1D16C44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30</w:t>
            </w:r>
          </w:p>
        </w:tc>
        <w:tc>
          <w:tcPr>
            <w:tcW w:w="448" w:type="dxa"/>
            <w:shd w:val="clear" w:color="auto" w:fill="auto"/>
            <w:noWrap/>
            <w:vAlign w:val="bottom"/>
            <w:hideMark/>
          </w:tcPr>
          <w:p w14:paraId="0D7510CB"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53</w:t>
            </w:r>
          </w:p>
        </w:tc>
        <w:tc>
          <w:tcPr>
            <w:tcW w:w="675" w:type="dxa"/>
            <w:shd w:val="clear" w:color="auto" w:fill="auto"/>
            <w:noWrap/>
            <w:vAlign w:val="bottom"/>
            <w:hideMark/>
          </w:tcPr>
          <w:p w14:paraId="5F120147"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50C7F036"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F10.2</w:t>
            </w:r>
          </w:p>
        </w:tc>
        <w:tc>
          <w:tcPr>
            <w:tcW w:w="513" w:type="dxa"/>
            <w:vAlign w:val="bottom"/>
          </w:tcPr>
          <w:p w14:paraId="21572548"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273DF095"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r w:rsidR="00891682" w:rsidRPr="00242B73" w14:paraId="6B17DF0C" w14:textId="77777777" w:rsidTr="006C23EA">
        <w:trPr>
          <w:trHeight w:val="252"/>
        </w:trPr>
        <w:tc>
          <w:tcPr>
            <w:tcW w:w="849" w:type="dxa"/>
            <w:shd w:val="clear" w:color="auto" w:fill="auto"/>
            <w:noWrap/>
            <w:vAlign w:val="bottom"/>
            <w:hideMark/>
          </w:tcPr>
          <w:p w14:paraId="46A7453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31</w:t>
            </w:r>
          </w:p>
        </w:tc>
        <w:tc>
          <w:tcPr>
            <w:tcW w:w="448" w:type="dxa"/>
            <w:shd w:val="clear" w:color="auto" w:fill="auto"/>
            <w:noWrap/>
            <w:vAlign w:val="bottom"/>
            <w:hideMark/>
          </w:tcPr>
          <w:p w14:paraId="1A179A0A"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36</w:t>
            </w:r>
          </w:p>
        </w:tc>
        <w:tc>
          <w:tcPr>
            <w:tcW w:w="675" w:type="dxa"/>
            <w:shd w:val="clear" w:color="auto" w:fill="auto"/>
            <w:noWrap/>
            <w:vAlign w:val="bottom"/>
            <w:hideMark/>
          </w:tcPr>
          <w:p w14:paraId="167D2E8D"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w:t>
            </w:r>
          </w:p>
        </w:tc>
        <w:tc>
          <w:tcPr>
            <w:tcW w:w="667" w:type="dxa"/>
            <w:shd w:val="clear" w:color="auto" w:fill="auto"/>
            <w:noWrap/>
            <w:vAlign w:val="bottom"/>
            <w:hideMark/>
          </w:tcPr>
          <w:p w14:paraId="5B6FA48C"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eastAsia="Times New Roman" w:hAnsi="Calibri" w:cs="Calibri"/>
                <w:color w:val="000000"/>
                <w:sz w:val="16"/>
                <w:szCs w:val="16"/>
                <w:lang w:val="en-US"/>
              </w:rPr>
              <w:t>F50.0</w:t>
            </w:r>
          </w:p>
        </w:tc>
        <w:tc>
          <w:tcPr>
            <w:tcW w:w="513" w:type="dxa"/>
            <w:vAlign w:val="bottom"/>
          </w:tcPr>
          <w:p w14:paraId="65087A14"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r w:rsidRPr="00242B73">
              <w:rPr>
                <w:rFonts w:ascii="Calibri" w:hAnsi="Calibri" w:cs="Calibri"/>
                <w:color w:val="000000"/>
                <w:sz w:val="16"/>
                <w:szCs w:val="16"/>
              </w:rPr>
              <w:t>1</w:t>
            </w:r>
          </w:p>
        </w:tc>
        <w:tc>
          <w:tcPr>
            <w:tcW w:w="2230" w:type="dxa"/>
            <w:shd w:val="clear" w:color="auto" w:fill="auto"/>
            <w:noWrap/>
            <w:vAlign w:val="bottom"/>
            <w:hideMark/>
          </w:tcPr>
          <w:p w14:paraId="11404EB3" w14:textId="77777777" w:rsidR="00891682" w:rsidRPr="00242B73" w:rsidRDefault="00891682" w:rsidP="006C23EA">
            <w:pPr>
              <w:spacing w:after="0" w:line="240" w:lineRule="auto"/>
              <w:jc w:val="both"/>
              <w:rPr>
                <w:rFonts w:ascii="Calibri" w:eastAsia="Times New Roman" w:hAnsi="Calibri" w:cs="Calibri"/>
                <w:color w:val="000000"/>
                <w:sz w:val="16"/>
                <w:szCs w:val="16"/>
                <w:lang w:val="en-US"/>
              </w:rPr>
            </w:pPr>
          </w:p>
        </w:tc>
      </w:tr>
    </w:tbl>
    <w:p w14:paraId="0DD4CE24" w14:textId="77777777" w:rsidR="00891682" w:rsidRPr="00FA4565" w:rsidRDefault="00891682" w:rsidP="00891682">
      <w:pPr>
        <w:spacing w:after="0" w:line="240" w:lineRule="auto"/>
        <w:jc w:val="both"/>
        <w:rPr>
          <w:sz w:val="16"/>
          <w:szCs w:val="16"/>
          <w:lang w:val="en-US"/>
        </w:rPr>
      </w:pPr>
      <w:r w:rsidRPr="00FA4565">
        <w:rPr>
          <w:sz w:val="16"/>
          <w:szCs w:val="16"/>
          <w:lang w:val="en-US"/>
        </w:rPr>
        <w:t xml:space="preserve">mod = manner of death </w:t>
      </w:r>
      <w:r>
        <w:rPr>
          <w:sz w:val="16"/>
          <w:szCs w:val="16"/>
          <w:lang w:val="en-US"/>
        </w:rPr>
        <w:t>1=disease, 2=occupational disease, 3=injury, 5=suicide</w:t>
      </w:r>
    </w:p>
    <w:p w14:paraId="37F4FB71" w14:textId="77777777" w:rsidR="00891682" w:rsidRPr="006F1268" w:rsidRDefault="00891682" w:rsidP="00891682">
      <w:pPr>
        <w:spacing w:after="0" w:line="240" w:lineRule="auto"/>
        <w:jc w:val="both"/>
        <w:rPr>
          <w:sz w:val="16"/>
          <w:szCs w:val="16"/>
          <w:lang w:val="en-US"/>
        </w:rPr>
      </w:pPr>
      <w:r>
        <w:rPr>
          <w:sz w:val="16"/>
          <w:szCs w:val="16"/>
          <w:lang w:val="en-US"/>
        </w:rPr>
        <w:t>cod = cause of death based on WHO International classification of diseases version 10 (ICD10) classification code (</w:t>
      </w:r>
      <w:r w:rsidRPr="00E11FA6">
        <w:rPr>
          <w:sz w:val="16"/>
          <w:szCs w:val="16"/>
          <w:lang w:val="en-US"/>
        </w:rPr>
        <w:t>icd.who.int/browse10/2019/</w:t>
      </w:r>
      <w:proofErr w:type="spellStart"/>
      <w:r w:rsidRPr="00E11FA6">
        <w:rPr>
          <w:sz w:val="16"/>
          <w:szCs w:val="16"/>
          <w:lang w:val="en-US"/>
        </w:rPr>
        <w:t>en</w:t>
      </w:r>
      <w:proofErr w:type="spellEnd"/>
      <w:r>
        <w:rPr>
          <w:sz w:val="16"/>
          <w:szCs w:val="16"/>
          <w:lang w:val="en-US"/>
        </w:rPr>
        <w:t>).</w:t>
      </w:r>
    </w:p>
    <w:p w14:paraId="4C5EF903" w14:textId="77777777" w:rsidR="00891682" w:rsidRDefault="00891682" w:rsidP="00891682">
      <w:pPr>
        <w:jc w:val="both"/>
        <w:rPr>
          <w:lang w:val="en-US"/>
        </w:rPr>
      </w:pPr>
    </w:p>
    <w:p w14:paraId="7283D58F" w14:textId="77777777" w:rsidR="00891682" w:rsidRDefault="00891682" w:rsidP="00891682">
      <w:pPr>
        <w:jc w:val="both"/>
        <w:rPr>
          <w:lang w:val="en-US"/>
        </w:rPr>
      </w:pPr>
    </w:p>
    <w:p w14:paraId="330B3C1F" w14:textId="77777777" w:rsidR="00FE4A75" w:rsidRDefault="00FE4A75" w:rsidP="00891682">
      <w:pPr>
        <w:jc w:val="both"/>
        <w:rPr>
          <w:lang w:val="en-US"/>
        </w:rPr>
      </w:pPr>
    </w:p>
    <w:p w14:paraId="12D1DBA2" w14:textId="77777777" w:rsidR="00802888" w:rsidRDefault="00802888" w:rsidP="00891682">
      <w:pPr>
        <w:jc w:val="both"/>
        <w:rPr>
          <w:lang w:val="en-US"/>
        </w:rPr>
      </w:pPr>
    </w:p>
    <w:p w14:paraId="0E8B5F07" w14:textId="77777777" w:rsidR="00802888" w:rsidRDefault="00802888" w:rsidP="00891682">
      <w:pPr>
        <w:jc w:val="both"/>
        <w:rPr>
          <w:lang w:val="en-US"/>
        </w:rPr>
      </w:pPr>
    </w:p>
    <w:p w14:paraId="5F75354B" w14:textId="13C95B56" w:rsidR="00834900" w:rsidRPr="00271C41" w:rsidRDefault="00891682" w:rsidP="00891682">
      <w:pPr>
        <w:jc w:val="both"/>
        <w:rPr>
          <w:lang w:val="en-US"/>
        </w:rPr>
      </w:pPr>
      <w:r>
        <w:rPr>
          <w:lang w:val="en-US"/>
        </w:rPr>
        <w:lastRenderedPageBreak/>
        <w:t>Supplemental Table 3. Primers and Probes used for qPCRs</w:t>
      </w:r>
    </w:p>
    <w:tbl>
      <w:tblPr>
        <w:tblStyle w:val="TaulukkoRuudukko"/>
        <w:tblW w:w="8926" w:type="dxa"/>
        <w:tblLayout w:type="fixed"/>
        <w:tblLook w:val="04A0" w:firstRow="1" w:lastRow="0" w:firstColumn="1" w:lastColumn="0" w:noHBand="0" w:noVBand="1"/>
      </w:tblPr>
      <w:tblGrid>
        <w:gridCol w:w="1034"/>
        <w:gridCol w:w="5166"/>
        <w:gridCol w:w="995"/>
        <w:gridCol w:w="1731"/>
      </w:tblGrid>
      <w:tr w:rsidR="00891682" w:rsidRPr="00802888" w14:paraId="75FB8B3E" w14:textId="77777777" w:rsidTr="00FE4A75">
        <w:tc>
          <w:tcPr>
            <w:tcW w:w="1034" w:type="dxa"/>
          </w:tcPr>
          <w:p w14:paraId="7A61C3C8"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Target</w:t>
            </w:r>
          </w:p>
        </w:tc>
        <w:tc>
          <w:tcPr>
            <w:tcW w:w="5166" w:type="dxa"/>
          </w:tcPr>
          <w:p w14:paraId="13A0BE41" w14:textId="77777777" w:rsidR="00891682" w:rsidRPr="00FC469E" w:rsidRDefault="00891682" w:rsidP="006C23EA">
            <w:pPr>
              <w:spacing w:line="240" w:lineRule="auto"/>
              <w:jc w:val="both"/>
              <w:rPr>
                <w:rFonts w:cstheme="minorHAnsi"/>
                <w:sz w:val="16"/>
                <w:szCs w:val="16"/>
                <w:lang w:val="en-US"/>
              </w:rPr>
            </w:pPr>
          </w:p>
        </w:tc>
        <w:tc>
          <w:tcPr>
            <w:tcW w:w="995" w:type="dxa"/>
          </w:tcPr>
          <w:p w14:paraId="18AF7AFD"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Gene</w:t>
            </w:r>
          </w:p>
        </w:tc>
        <w:tc>
          <w:tcPr>
            <w:tcW w:w="1731" w:type="dxa"/>
          </w:tcPr>
          <w:p w14:paraId="1F0DF84E"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ref</w:t>
            </w:r>
          </w:p>
        </w:tc>
      </w:tr>
      <w:tr w:rsidR="00891682" w:rsidRPr="00802888" w14:paraId="23BDBF61" w14:textId="77777777" w:rsidTr="00FE4A75">
        <w:tc>
          <w:tcPr>
            <w:tcW w:w="1034" w:type="dxa"/>
            <w:shd w:val="clear" w:color="auto" w:fill="D9D9D9" w:themeFill="background1" w:themeFillShade="D9"/>
          </w:tcPr>
          <w:p w14:paraId="4E19D198" w14:textId="77777777" w:rsidR="00891682" w:rsidRPr="00FC469E" w:rsidRDefault="00891682" w:rsidP="006C23EA">
            <w:pPr>
              <w:spacing w:line="240" w:lineRule="auto"/>
              <w:jc w:val="both"/>
              <w:rPr>
                <w:rFonts w:cstheme="minorHAnsi"/>
                <w:b/>
                <w:bCs/>
                <w:sz w:val="16"/>
                <w:szCs w:val="16"/>
                <w:lang w:val="en-US"/>
              </w:rPr>
            </w:pPr>
            <w:proofErr w:type="spellStart"/>
            <w:r w:rsidRPr="00FC469E">
              <w:rPr>
                <w:rFonts w:cstheme="minorHAnsi"/>
                <w:b/>
                <w:bCs/>
                <w:sz w:val="16"/>
                <w:szCs w:val="16"/>
                <w:lang w:val="en-US"/>
              </w:rPr>
              <w:t>qPCRS</w:t>
            </w:r>
            <w:proofErr w:type="spellEnd"/>
          </w:p>
        </w:tc>
        <w:tc>
          <w:tcPr>
            <w:tcW w:w="7892" w:type="dxa"/>
            <w:gridSpan w:val="3"/>
            <w:shd w:val="clear" w:color="auto" w:fill="D9D9D9" w:themeFill="background1" w:themeFillShade="D9"/>
          </w:tcPr>
          <w:p w14:paraId="4F8A88AA" w14:textId="77777777" w:rsidR="00891682" w:rsidRPr="004776AF" w:rsidRDefault="00891682" w:rsidP="006C23EA">
            <w:pPr>
              <w:spacing w:line="240" w:lineRule="auto"/>
              <w:jc w:val="both"/>
              <w:rPr>
                <w:rFonts w:cstheme="minorHAnsi"/>
                <w:b/>
                <w:bCs/>
                <w:sz w:val="16"/>
                <w:szCs w:val="16"/>
                <w:lang w:val="en-US"/>
              </w:rPr>
            </w:pPr>
            <w:r w:rsidRPr="004776AF">
              <w:rPr>
                <w:rFonts w:cstheme="minorHAnsi"/>
                <w:b/>
                <w:bCs/>
                <w:sz w:val="16"/>
                <w:szCs w:val="16"/>
                <w:lang w:val="en-US"/>
              </w:rPr>
              <w:t>(Primer &amp; Probe sequence (5’ – 3’))</w:t>
            </w:r>
          </w:p>
          <w:p w14:paraId="10A9B070" w14:textId="77777777" w:rsidR="00891682" w:rsidRPr="004776AF" w:rsidRDefault="00891682" w:rsidP="006C23EA">
            <w:pPr>
              <w:spacing w:line="240" w:lineRule="auto"/>
              <w:jc w:val="both"/>
              <w:rPr>
                <w:rFonts w:cstheme="minorHAnsi"/>
                <w:b/>
                <w:bCs/>
                <w:sz w:val="16"/>
                <w:szCs w:val="16"/>
                <w:lang w:val="en-US"/>
              </w:rPr>
            </w:pPr>
            <w:r w:rsidRPr="004776AF">
              <w:rPr>
                <w:rFonts w:cstheme="minorHAnsi"/>
                <w:b/>
                <w:bCs/>
                <w:sz w:val="16"/>
                <w:szCs w:val="16"/>
                <w:lang w:val="en-US"/>
              </w:rPr>
              <w:t>Forward</w:t>
            </w:r>
          </w:p>
          <w:p w14:paraId="58E26186" w14:textId="77777777" w:rsidR="00891682" w:rsidRPr="004776AF" w:rsidRDefault="00891682" w:rsidP="006C23EA">
            <w:pPr>
              <w:spacing w:line="240" w:lineRule="auto"/>
              <w:jc w:val="both"/>
              <w:rPr>
                <w:rFonts w:cstheme="minorHAnsi"/>
                <w:b/>
                <w:bCs/>
                <w:sz w:val="16"/>
                <w:szCs w:val="16"/>
                <w:lang w:val="en-US"/>
              </w:rPr>
            </w:pPr>
            <w:r w:rsidRPr="004776AF">
              <w:rPr>
                <w:rFonts w:cstheme="minorHAnsi"/>
                <w:b/>
                <w:bCs/>
                <w:sz w:val="16"/>
                <w:szCs w:val="16"/>
                <w:lang w:val="en-US"/>
              </w:rPr>
              <w:t>Reverse(s)</w:t>
            </w:r>
          </w:p>
          <w:p w14:paraId="7FC42B4A" w14:textId="77777777" w:rsidR="00891682" w:rsidRPr="004776AF" w:rsidRDefault="00891682" w:rsidP="006C23EA">
            <w:pPr>
              <w:spacing w:line="240" w:lineRule="auto"/>
              <w:jc w:val="both"/>
              <w:rPr>
                <w:rFonts w:cstheme="minorHAnsi"/>
                <w:sz w:val="16"/>
                <w:szCs w:val="16"/>
                <w:lang w:val="en-US"/>
              </w:rPr>
            </w:pPr>
            <w:r w:rsidRPr="004776AF">
              <w:rPr>
                <w:rFonts w:cstheme="minorHAnsi"/>
                <w:b/>
                <w:bCs/>
                <w:sz w:val="16"/>
                <w:szCs w:val="16"/>
                <w:lang w:val="en-US"/>
              </w:rPr>
              <w:t>Probe(s)</w:t>
            </w:r>
          </w:p>
        </w:tc>
      </w:tr>
      <w:tr w:rsidR="00891682" w:rsidRPr="00C529E3" w14:paraId="3B5D69D5" w14:textId="77777777" w:rsidTr="00FE4A75">
        <w:tc>
          <w:tcPr>
            <w:tcW w:w="1034" w:type="dxa"/>
          </w:tcPr>
          <w:p w14:paraId="4163ABB4" w14:textId="77777777" w:rsidR="00891682" w:rsidRPr="00FC469E" w:rsidRDefault="00891682" w:rsidP="006C23EA">
            <w:pPr>
              <w:spacing w:line="240" w:lineRule="auto"/>
              <w:jc w:val="both"/>
              <w:rPr>
                <w:rFonts w:cstheme="minorHAnsi"/>
                <w:sz w:val="16"/>
                <w:szCs w:val="16"/>
                <w:lang w:val="en-US"/>
              </w:rPr>
            </w:pPr>
            <w:proofErr w:type="spellStart"/>
            <w:r w:rsidRPr="00FC469E">
              <w:rPr>
                <w:rFonts w:cstheme="minorHAnsi"/>
                <w:sz w:val="16"/>
                <w:szCs w:val="16"/>
                <w:lang w:val="en-US"/>
              </w:rPr>
              <w:t>RNaseP</w:t>
            </w:r>
            <w:proofErr w:type="spellEnd"/>
          </w:p>
        </w:tc>
        <w:tc>
          <w:tcPr>
            <w:tcW w:w="5166" w:type="dxa"/>
          </w:tcPr>
          <w:p w14:paraId="27BEEC76"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GAGGGAAGCTCATCAGTGGGG</w:t>
            </w:r>
          </w:p>
          <w:p w14:paraId="62823D10"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CTTGGGAAGGTCTGAGACTAGGG</w:t>
            </w:r>
          </w:p>
          <w:p w14:paraId="396D729E"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FAM-AGTGCGTCCTGTCACTCCACTC-BHQ1</w:t>
            </w:r>
          </w:p>
        </w:tc>
        <w:tc>
          <w:tcPr>
            <w:tcW w:w="995" w:type="dxa"/>
          </w:tcPr>
          <w:p w14:paraId="36D2EF24" w14:textId="77777777" w:rsidR="00891682" w:rsidRPr="00FC469E" w:rsidRDefault="00891682" w:rsidP="006C23EA">
            <w:pPr>
              <w:spacing w:line="240" w:lineRule="auto"/>
              <w:jc w:val="both"/>
              <w:rPr>
                <w:rFonts w:cstheme="minorHAnsi"/>
                <w:sz w:val="16"/>
                <w:szCs w:val="16"/>
                <w:lang w:val="en-US"/>
              </w:rPr>
            </w:pPr>
            <w:r w:rsidRPr="00FC469E">
              <w:rPr>
                <w:rFonts w:cstheme="minorHAnsi"/>
                <w:sz w:val="16"/>
                <w:szCs w:val="16"/>
                <w:lang w:val="en-US"/>
              </w:rPr>
              <w:t>RNase P</w:t>
            </w:r>
          </w:p>
        </w:tc>
        <w:tc>
          <w:tcPr>
            <w:tcW w:w="1731" w:type="dxa"/>
            <w:vAlign w:val="center"/>
          </w:tcPr>
          <w:p w14:paraId="552D0674" w14:textId="3651FB2E"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lang w:val="en-US"/>
              </w:rPr>
              <w:instrText>ADDIN CSL_CITATION {"citationItems":[{"id":"ITEM-1","itemData":{"DOI":"10.1016/j.jviromet.2015.03.006","ISSN":"18790984","PMID":"25794796","abstract":"Parvovirus B19 (B19V) is a minute ssDNA virus associated with a wide range of diseases from childhood erythema to fetal death. After primary infection, the viral genomes persist lifelong in solid tissues of most types. Quantification of the viral DNA is important in the timing of primary infection, assessment of tissue persistence and screening of blood donor plasma. In this study, we present a new PCR assay for detection and quantification as well as for differentiation of all three B19V genotypes.A new B19V qPCR was designed to target a 154-bp region of the NS1 area. Serum, plasma and solid tissue samples were suitable for testing in the assay. The WHO International Reference Panel for Parvovirus B19 Genotypes was utilized to validate the assay for detection of different genotypes of B19V in clinical material. Each panel member yielded, by the new qPCR, a quantity similar to the one reported by National Institute for Biological Standards and Control (NIBSC). The qPCR was specific for B19V and amplified and quantified all three genotypes with detection sensitivities of ≤10 copies/reaction. The differentiation of B19V genotypes was performed by Sanger sequencing of the amplified products.","author":[{"dropping-particle":"","family":"Toppinen","given":"M.","non-dropping-particle":"","parse-names":false,"suffix":""},{"dropping-particle":"","family":"Norja","given":"P.","non-dropping-particle":"","parse-names":false,"suffix":""},{"dropping-particle":"","family":"Aaltonen","given":"L. M.","non-dropping-particle":"","parse-names":false,"suffix":""},{"dropping-particle":"","family":"Wessberg","given":"S.","non-dropping-particle":"","parse-names":false,"suffix":""},{"dropping-particle":"","family":"Hedman","given":"L.","non-dropping-particle":"","parse-names":false,"suffix":""},{"dropping-particle":"","family":"Söderlund-Venermo","given":"M.","non-dropping-particle":"","parse-names":false,"suffix":""},{"dropping-particle":"","family":"Hedman","given":"K.","non-dropping-particle":"","parse-names":false,"suffix":""}],"container-title":"Journal of Virological Methods","id":"ITEM-1","issued":{"date-parts":[["2015","6","5"]]},"page":"40-45","publisher":"Elsevier","title":"A new quantitative PCR for human parvovirus B19 genotypes","type":"article-journal","volume":"218"},"uris":["http://www.mendeley.com/documents/?uuid=9087e082-1f80-35b5-9c2c-fe5c6c740827"]}],"mendeley":{"formattedCitation":"[16]","plainTextFormattedCitation":"[16]","previouslyFormattedCitation":"(Toppinen et al., 2015)"},"properties":{"noteIndex":0},"schema":"https://github.com/citation-style-language/schema/raw/master/csl-citation.json"}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[16]</w:t>
            </w:r>
            <w:r w:rsidRPr="00C529E3">
              <w:rPr>
                <w:rFonts w:cstheme="minorHAnsi"/>
                <w:sz w:val="16"/>
                <w:szCs w:val="16"/>
              </w:rPr>
              <w:fldChar w:fldCharType="end"/>
            </w:r>
            <w:r w:rsidRPr="00C529E3">
              <w:rPr>
                <w:rFonts w:cstheme="minorHAnsi"/>
                <w:sz w:val="16"/>
                <w:szCs w:val="16"/>
              </w:rPr>
              <w:t xml:space="preserve"> </w:t>
            </w:r>
          </w:p>
        </w:tc>
      </w:tr>
      <w:tr w:rsidR="00891682" w:rsidRPr="00C529E3" w14:paraId="26AEFA27" w14:textId="77777777" w:rsidTr="00FE4A75">
        <w:tc>
          <w:tcPr>
            <w:tcW w:w="1034" w:type="dxa"/>
          </w:tcPr>
          <w:p w14:paraId="09B1D41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HSV-1</w:t>
            </w:r>
          </w:p>
        </w:tc>
        <w:tc>
          <w:tcPr>
            <w:tcW w:w="5166" w:type="dxa"/>
          </w:tcPr>
          <w:p w14:paraId="06233E2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GTTGAGCTAGCCAGCGA </w:t>
            </w:r>
          </w:p>
          <w:p w14:paraId="1114C51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CGTTAAGGACCTTGGTGAGC</w:t>
            </w:r>
          </w:p>
          <w:p w14:paraId="64DA22E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FAM-CGCGAACTGACGAGCTTTGTG-BHQ1</w:t>
            </w:r>
          </w:p>
        </w:tc>
        <w:tc>
          <w:tcPr>
            <w:tcW w:w="995" w:type="dxa"/>
          </w:tcPr>
          <w:p w14:paraId="1F78E09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UL42</w:t>
            </w:r>
          </w:p>
        </w:tc>
        <w:tc>
          <w:tcPr>
            <w:tcW w:w="1731" w:type="dxa"/>
            <w:vMerge w:val="restart"/>
            <w:vAlign w:val="center"/>
          </w:tcPr>
          <w:p w14:paraId="7B4BD172" w14:textId="5334478B"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 xml:space="preserve">ADDIN CSL_CITATION {"citationItems":[{"id":"ITEM-1","itemData":{"DOI":"10.1128/msphere.00265-20","ISSN":"2379-5042","PMID":"32581076","abstract":"By adulthood, almost all humans become infected by at least one herpesvirus (HHV). The maladies inflicted by these microbes extend beyond the initial infection, as they remain inside our cells for life and can reactivate, causing severe diseases. The diagnosis of active infection by these ubiquitous pathogens includes the detection of DNA with sensitive and specific assays. We developed the first quantitative PCR assay (HERQ-9) designed to identify and quantify each of the nine human herpesviruses. The simultaneous detection of HHVs in the same sample is important since they may act together to induce life-threatening conditions. Moreover, the high sensitivity of our method is of extreme value for assessment of the effects of these viruses persisting in our body and their long-term consequences on our health. Infections with the nine human herpesviruses (HHVs) are globally prevalent and characterized by lifelong persistence. Reactivations can potentially manifest as life-threatening conditions for which the demonstration of viral DNA is essential. In the present study, we developed HERQ-9, a pan-HHV quantitative PCR designed in triplex reactions to differentiate and quantify each of the HHV-DNAs: (i) herpes simplex viruses 1 and 2 and varicella-zoster virus; (ii) Epstein-Barr virus, human cytomegalovirus, and Kaposi’s sarcoma-associated herpesvirus; and (iii) HHV-6A, -6B, and -7. The method was validated with prequantified reference standards as well as with mucocutaneous swabs and cerebrospinal fluid, plasma, and tonsillar tissue samples. Our findings highlight the value of multiplexing in the diagnosis of many unsuspected, yet clinically relevant, herpesviruses. In addition, we report here frequent HHV-DNA co-occurrences in clinical samples, including some previously unknown. HERQ-9 exhibited high specificity and sensitivity (LOD 95 s of </w:instrText>
            </w:r>
            <w:r w:rsidR="00D313A6">
              <w:rPr>
                <w:rFonts w:ascii="Cambria Math" w:hAnsi="Cambria Math" w:cs="Cambria Math"/>
                <w:sz w:val="16"/>
                <w:szCs w:val="16"/>
              </w:rPr>
              <w:instrText>∼</w:instrText>
            </w:r>
            <w:r w:rsidR="00D313A6">
              <w:rPr>
                <w:rFonts w:cstheme="minorHAnsi"/>
                <w:sz w:val="16"/>
                <w:szCs w:val="16"/>
              </w:rPr>
              <w:instrText xml:space="preserve">10 to </w:instrText>
            </w:r>
            <w:r w:rsidR="00D313A6">
              <w:rPr>
                <w:rFonts w:ascii="Cambria Math" w:hAnsi="Cambria Math" w:cs="Cambria Math"/>
                <w:sz w:val="16"/>
                <w:szCs w:val="16"/>
              </w:rPr>
              <w:instrText>∼</w:instrText>
            </w:r>
            <w:r w:rsidR="00D313A6">
              <w:rPr>
                <w:rFonts w:cstheme="minorHAnsi"/>
                <w:sz w:val="16"/>
                <w:szCs w:val="16"/>
              </w:rPr>
              <w:instrText>17 copies/reaction), with a dynamic range of 10 1 to 10 6 copies/</w:instrText>
            </w:r>
            <w:r w:rsidR="00D313A6">
              <w:rPr>
                <w:rFonts w:cs="Arial"/>
                <w:sz w:val="16"/>
                <w:szCs w:val="16"/>
              </w:rPr>
              <w:instrText>μ</w:instrText>
            </w:r>
            <w:r w:rsidR="00D313A6">
              <w:rPr>
                <w:rFonts w:cstheme="minorHAnsi"/>
                <w:sz w:val="16"/>
                <w:szCs w:val="16"/>
              </w:rPr>
              <w:instrText>l. Moreover, it performed accurately in the coamplification of both high- and low-abundance targets in the same reaction. In conclusion, we demonstrated that HERQ-9 is suitable for the diagnosis of a plethora of herpesvirus-related diseases. Besides its significance to clinical management, the method is valuable for the assessment of hitherto-unexplored synergistic effects of herpesvirus coinfections. Furthermore, its high sensitivity enables studies on the human virome, often dealing with minute quantities of persisting HHVs.  IMPORTANCE By adu…","author":[{"dropping-particle":"","family":"Pyöriä","given":"Lari","non-dropping-particle":"","parse-names":false,"suffix":""},{"dropping-particle":"","family":"Jokinen","given":"Maija","non-dropping-particle":"","parse-names":false,"suffix":""},{"dropping-particle":"","family":"Toppinen","given":"Mari","non-dropping-particle":"","parse-names":false,"suffix":""},{"dropping-particle":"","family":"Salminen","given":"Henri","non-dropping-particle":"","parse-names":false,"suffix":""},{"dropping-particle":"","family":"Vuorinen","given":"Tytti","non-dropping-particle":"","parse-names":false,"suffix":""},{"dropping-particle":"","family":"Hukkanen","given":"Veijo","non-dropping-particle":"","parse-names":false,"suffix":""},{"dropping-particle":"","family":"Schmotz","given":"Constanze","non-dropping-particle":"","parse-names":false,"suffix":""},{"dropping-particle":"","family":"Elbasani","given":"Endrit","non-dropping-particle":"","parse-names":false,"suffix":""},{"dropping-particle":"","family":"Ojala","given":"Päivi M.","non-dropping-particle":"","parse-names":false,"suffix":""},{"dropping-particle":"","family":"Hedman","given":"Klaus","non-dropping-particle":"","parse-names":false,"suffix":""},{"dropping-particle":"","family":"Välimaa","given":"Hannamari","non-dropping-particle":"","parse-names":false,"suffix":""},{"dropping-particle":"","family":"Perdomo","given":"Maria F.","non-dropping-particle":"","parse-names":false,"suffix":""}],"container-title":"mSphere","id":"ITEM-1","issue":"3","issued":{"date-parts":[["2020","6","24"]]},"page":"e00265-20","publisher":"American Society for Microbiology","title":"HERQ-9 Is a New Multiplex PCR for Differentiation and Quantification of All Nine Human Herpesviruses","type":"article-journal","volume":"5"},"uris":["http://www.mendeley.com/documents/?uuid=90d81b34-6653-3a48-a998-23c7120a1f06"]}],"mendeley":{"formattedCitation":"[17]","plainTextFormattedCitation":"[17]","previouslyFormattedCitation":"(Pyöriä et al., 2020)"},"properties":{"noteIndex":0},"schema":"https://github.com/citation-style-language/schema/raw/master/csl-citation.json"}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[17]</w:t>
            </w:r>
            <w:r w:rsidRPr="00C529E3">
              <w:rPr>
                <w:rFonts w:cstheme="minorHAnsi"/>
                <w:sz w:val="16"/>
                <w:szCs w:val="16"/>
              </w:rPr>
              <w:fldChar w:fldCharType="end"/>
            </w:r>
          </w:p>
        </w:tc>
      </w:tr>
      <w:tr w:rsidR="00891682" w:rsidRPr="00C529E3" w14:paraId="7958525D" w14:textId="77777777" w:rsidTr="00FE4A75">
        <w:tc>
          <w:tcPr>
            <w:tcW w:w="1034" w:type="dxa"/>
          </w:tcPr>
          <w:p w14:paraId="21BF67D6"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HSV-2</w:t>
            </w:r>
          </w:p>
        </w:tc>
        <w:tc>
          <w:tcPr>
            <w:tcW w:w="5166" w:type="dxa"/>
          </w:tcPr>
          <w:p w14:paraId="46FF4306"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CACACCACACGACAACAA </w:t>
            </w:r>
          </w:p>
          <w:p w14:paraId="49BB258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TAGTTCAAACACGGAAGCC</w:t>
            </w:r>
          </w:p>
          <w:p w14:paraId="2B9C9367"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JOE-CGGCGATGACGGCAATAAA-BHQ1</w:t>
            </w:r>
          </w:p>
        </w:tc>
        <w:tc>
          <w:tcPr>
            <w:tcW w:w="995" w:type="dxa"/>
          </w:tcPr>
          <w:p w14:paraId="30CF8F97"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UL23</w:t>
            </w:r>
          </w:p>
        </w:tc>
        <w:tc>
          <w:tcPr>
            <w:tcW w:w="1731" w:type="dxa"/>
            <w:vMerge/>
            <w:vAlign w:val="center"/>
          </w:tcPr>
          <w:p w14:paraId="25C45E09" w14:textId="77777777" w:rsidR="00891682" w:rsidRPr="00C529E3" w:rsidRDefault="00891682" w:rsidP="006C23EA">
            <w:pPr>
              <w:spacing w:line="240" w:lineRule="auto"/>
              <w:jc w:val="both"/>
              <w:rPr>
                <w:rFonts w:cstheme="minorHAnsi"/>
                <w:sz w:val="16"/>
                <w:szCs w:val="16"/>
              </w:rPr>
            </w:pPr>
          </w:p>
        </w:tc>
      </w:tr>
      <w:tr w:rsidR="00891682" w:rsidRPr="00C529E3" w14:paraId="382C55A0" w14:textId="77777777" w:rsidTr="00FE4A75">
        <w:tc>
          <w:tcPr>
            <w:tcW w:w="1034" w:type="dxa"/>
          </w:tcPr>
          <w:p w14:paraId="4C5CA47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VZV</w:t>
            </w:r>
          </w:p>
        </w:tc>
        <w:tc>
          <w:tcPr>
            <w:tcW w:w="5166" w:type="dxa"/>
          </w:tcPr>
          <w:p w14:paraId="191EF5B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GCGCAAGGCTATTAGAGC </w:t>
            </w:r>
          </w:p>
          <w:p w14:paraId="53C4A6E6"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ACATGGCAGAAATCCCTG</w:t>
            </w:r>
          </w:p>
          <w:p w14:paraId="3A439B59"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TxRd-CGCATACCCGGAAGTTCTTCAGAT-BHQ2</w:t>
            </w:r>
          </w:p>
        </w:tc>
        <w:tc>
          <w:tcPr>
            <w:tcW w:w="995" w:type="dxa"/>
          </w:tcPr>
          <w:p w14:paraId="4EAB7E59"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ORF28</w:t>
            </w:r>
          </w:p>
        </w:tc>
        <w:tc>
          <w:tcPr>
            <w:tcW w:w="1731" w:type="dxa"/>
            <w:vMerge/>
            <w:vAlign w:val="center"/>
          </w:tcPr>
          <w:p w14:paraId="241AEE15" w14:textId="77777777" w:rsidR="00891682" w:rsidRPr="00C529E3" w:rsidRDefault="00891682" w:rsidP="006C23EA">
            <w:pPr>
              <w:spacing w:line="240" w:lineRule="auto"/>
              <w:jc w:val="both"/>
              <w:rPr>
                <w:rFonts w:cstheme="minorHAnsi"/>
                <w:sz w:val="16"/>
                <w:szCs w:val="16"/>
              </w:rPr>
            </w:pPr>
          </w:p>
        </w:tc>
      </w:tr>
      <w:tr w:rsidR="00891682" w:rsidRPr="00C529E3" w14:paraId="04CFC3EF" w14:textId="77777777" w:rsidTr="00FE4A75">
        <w:tc>
          <w:tcPr>
            <w:tcW w:w="1034" w:type="dxa"/>
          </w:tcPr>
          <w:p w14:paraId="17DDA53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EBV</w:t>
            </w:r>
          </w:p>
        </w:tc>
        <w:tc>
          <w:tcPr>
            <w:tcW w:w="5166" w:type="dxa"/>
          </w:tcPr>
          <w:p w14:paraId="2D18949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CGGAAGCCCTCTGGACTTC </w:t>
            </w:r>
          </w:p>
          <w:p w14:paraId="230820C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CCCTGTTTATCCGATGGAATG</w:t>
            </w:r>
          </w:p>
          <w:p w14:paraId="09DDF1D9"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FAM-TGTACACGCACGAGAAATGCGCC-BHQ1</w:t>
            </w:r>
          </w:p>
        </w:tc>
        <w:tc>
          <w:tcPr>
            <w:tcW w:w="995" w:type="dxa"/>
          </w:tcPr>
          <w:p w14:paraId="2293C1D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BALF5</w:t>
            </w:r>
          </w:p>
        </w:tc>
        <w:tc>
          <w:tcPr>
            <w:tcW w:w="1731" w:type="dxa"/>
            <w:vMerge/>
            <w:vAlign w:val="center"/>
          </w:tcPr>
          <w:p w14:paraId="1980FF53" w14:textId="77777777" w:rsidR="00891682" w:rsidRPr="00C529E3" w:rsidRDefault="00891682" w:rsidP="006C23EA">
            <w:pPr>
              <w:spacing w:line="240" w:lineRule="auto"/>
              <w:jc w:val="both"/>
              <w:rPr>
                <w:rFonts w:cstheme="minorHAnsi"/>
                <w:sz w:val="16"/>
                <w:szCs w:val="16"/>
              </w:rPr>
            </w:pPr>
          </w:p>
        </w:tc>
      </w:tr>
      <w:tr w:rsidR="00891682" w:rsidRPr="00C529E3" w14:paraId="6898961F" w14:textId="77777777" w:rsidTr="00FE4A75">
        <w:tc>
          <w:tcPr>
            <w:tcW w:w="1034" w:type="dxa"/>
          </w:tcPr>
          <w:p w14:paraId="319C64D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HCMV</w:t>
            </w:r>
          </w:p>
        </w:tc>
        <w:tc>
          <w:tcPr>
            <w:tcW w:w="5166" w:type="dxa"/>
          </w:tcPr>
          <w:p w14:paraId="57D47A3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GTGYTCCGTGAATCGTTAC</w:t>
            </w:r>
          </w:p>
          <w:p w14:paraId="0D619D7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AGTCKACCTCGATATCACAAGTCG </w:t>
            </w:r>
          </w:p>
          <w:p w14:paraId="74E1F5D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TxRd-ACCCTGCTGCCGCCAGT-BHQ2</w:t>
            </w:r>
          </w:p>
        </w:tc>
        <w:tc>
          <w:tcPr>
            <w:tcW w:w="995" w:type="dxa"/>
          </w:tcPr>
          <w:p w14:paraId="1BA1AB6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UL54</w:t>
            </w:r>
          </w:p>
        </w:tc>
        <w:tc>
          <w:tcPr>
            <w:tcW w:w="1731" w:type="dxa"/>
            <w:vMerge/>
            <w:vAlign w:val="center"/>
          </w:tcPr>
          <w:p w14:paraId="243A388F" w14:textId="77777777" w:rsidR="00891682" w:rsidRPr="00C529E3" w:rsidRDefault="00891682" w:rsidP="006C23EA">
            <w:pPr>
              <w:spacing w:line="240" w:lineRule="auto"/>
              <w:jc w:val="both"/>
              <w:rPr>
                <w:rFonts w:cstheme="minorHAnsi"/>
                <w:sz w:val="16"/>
                <w:szCs w:val="16"/>
              </w:rPr>
            </w:pPr>
          </w:p>
        </w:tc>
      </w:tr>
      <w:tr w:rsidR="00891682" w:rsidRPr="00C529E3" w14:paraId="3943E68B" w14:textId="77777777" w:rsidTr="00FE4A75">
        <w:tc>
          <w:tcPr>
            <w:tcW w:w="1034" w:type="dxa"/>
          </w:tcPr>
          <w:p w14:paraId="40C40AB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HHV-6A</w:t>
            </w:r>
          </w:p>
        </w:tc>
        <w:tc>
          <w:tcPr>
            <w:tcW w:w="5166" w:type="dxa"/>
          </w:tcPr>
          <w:p w14:paraId="3BDCC89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CGGCCTCCAGAGTTGTAA</w:t>
            </w:r>
          </w:p>
          <w:p w14:paraId="2007C06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TGTCCCTTCAACTACTGAATC</w:t>
            </w:r>
          </w:p>
          <w:p w14:paraId="646C8202" w14:textId="77777777" w:rsidR="00891682" w:rsidRPr="00802888" w:rsidRDefault="00891682" w:rsidP="006C23EA">
            <w:pPr>
              <w:spacing w:line="240" w:lineRule="auto"/>
              <w:jc w:val="both"/>
              <w:rPr>
                <w:rFonts w:cstheme="minorHAnsi"/>
                <w:sz w:val="16"/>
                <w:szCs w:val="16"/>
              </w:rPr>
            </w:pPr>
            <w:r w:rsidRPr="00802888">
              <w:rPr>
                <w:rFonts w:cstheme="minorHAnsi"/>
                <w:sz w:val="16"/>
                <w:szCs w:val="16"/>
              </w:rPr>
              <w:t>FAM-AC[A]T[G]TTGC[T]A[G]AAA[G][</w:t>
            </w:r>
            <w:proofErr w:type="gramStart"/>
            <w:r w:rsidRPr="00802888">
              <w:rPr>
                <w:rFonts w:cstheme="minorHAnsi"/>
                <w:sz w:val="16"/>
                <w:szCs w:val="16"/>
              </w:rPr>
              <w:t>A]CT</w:t>
            </w:r>
            <w:proofErr w:type="gramEnd"/>
            <w:r w:rsidRPr="00802888">
              <w:rPr>
                <w:rFonts w:cstheme="minorHAnsi"/>
                <w:sz w:val="16"/>
                <w:szCs w:val="16"/>
              </w:rPr>
              <w:t>-BHQ1 *</w:t>
            </w:r>
          </w:p>
          <w:p w14:paraId="31C48415" w14:textId="77777777" w:rsidR="00891682" w:rsidRPr="00802888" w:rsidRDefault="00891682" w:rsidP="006C23EA">
            <w:pPr>
              <w:spacing w:line="240" w:lineRule="auto"/>
              <w:jc w:val="both"/>
              <w:rPr>
                <w:rFonts w:cstheme="minorHAnsi"/>
                <w:sz w:val="16"/>
                <w:szCs w:val="16"/>
              </w:rPr>
            </w:pPr>
            <w:r w:rsidRPr="00802888">
              <w:rPr>
                <w:rFonts w:cstheme="minorHAnsi"/>
                <w:sz w:val="16"/>
                <w:szCs w:val="16"/>
              </w:rPr>
              <w:t>FAM-AC[A]T[G]TTGC[T]A[C]AAA[G][</w:t>
            </w:r>
            <w:proofErr w:type="gramStart"/>
            <w:r w:rsidRPr="00802888">
              <w:rPr>
                <w:rFonts w:cstheme="minorHAnsi"/>
                <w:sz w:val="16"/>
                <w:szCs w:val="16"/>
              </w:rPr>
              <w:t>A]CT</w:t>
            </w:r>
            <w:proofErr w:type="gramEnd"/>
            <w:r w:rsidRPr="00802888">
              <w:rPr>
                <w:rFonts w:cstheme="minorHAnsi"/>
                <w:sz w:val="16"/>
                <w:szCs w:val="16"/>
              </w:rPr>
              <w:t>-BHQ1</w:t>
            </w:r>
          </w:p>
        </w:tc>
        <w:tc>
          <w:tcPr>
            <w:tcW w:w="995" w:type="dxa"/>
          </w:tcPr>
          <w:p w14:paraId="5B0BEF0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U90</w:t>
            </w:r>
          </w:p>
        </w:tc>
        <w:tc>
          <w:tcPr>
            <w:tcW w:w="1731" w:type="dxa"/>
            <w:vMerge/>
            <w:vAlign w:val="center"/>
          </w:tcPr>
          <w:p w14:paraId="73DE7BE5" w14:textId="77777777" w:rsidR="00891682" w:rsidRPr="00C529E3" w:rsidRDefault="00891682" w:rsidP="006C23EA">
            <w:pPr>
              <w:spacing w:line="240" w:lineRule="auto"/>
              <w:jc w:val="both"/>
              <w:rPr>
                <w:rFonts w:cstheme="minorHAnsi"/>
                <w:sz w:val="16"/>
                <w:szCs w:val="16"/>
              </w:rPr>
            </w:pPr>
          </w:p>
        </w:tc>
      </w:tr>
      <w:tr w:rsidR="00891682" w:rsidRPr="00C529E3" w14:paraId="436E8544" w14:textId="77777777" w:rsidTr="00FE4A75">
        <w:tc>
          <w:tcPr>
            <w:tcW w:w="1034" w:type="dxa"/>
          </w:tcPr>
          <w:p w14:paraId="7CF0412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HHV-6B</w:t>
            </w:r>
          </w:p>
        </w:tc>
        <w:tc>
          <w:tcPr>
            <w:tcW w:w="5166" w:type="dxa"/>
          </w:tcPr>
          <w:p w14:paraId="27FF78A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TTTGACAGGAGTTGCTGAG</w:t>
            </w:r>
          </w:p>
          <w:p w14:paraId="0EC3E38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GGATTCAGGAAAAAGGTTCTAA</w:t>
            </w:r>
          </w:p>
          <w:p w14:paraId="0BFD660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JOE-AGGAAGCGTTTCGGTACACTTGGAG-BHQ1</w:t>
            </w:r>
          </w:p>
        </w:tc>
        <w:tc>
          <w:tcPr>
            <w:tcW w:w="995" w:type="dxa"/>
          </w:tcPr>
          <w:p w14:paraId="133ED64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U90</w:t>
            </w:r>
          </w:p>
        </w:tc>
        <w:tc>
          <w:tcPr>
            <w:tcW w:w="1731" w:type="dxa"/>
            <w:vMerge/>
            <w:vAlign w:val="center"/>
          </w:tcPr>
          <w:p w14:paraId="6CB0530A" w14:textId="77777777" w:rsidR="00891682" w:rsidRPr="00C529E3" w:rsidRDefault="00891682" w:rsidP="006C23EA">
            <w:pPr>
              <w:spacing w:line="240" w:lineRule="auto"/>
              <w:jc w:val="both"/>
              <w:rPr>
                <w:rFonts w:cstheme="minorHAnsi"/>
                <w:sz w:val="16"/>
                <w:szCs w:val="16"/>
              </w:rPr>
            </w:pPr>
          </w:p>
        </w:tc>
      </w:tr>
      <w:tr w:rsidR="00891682" w:rsidRPr="00C529E3" w14:paraId="4CAFF78E" w14:textId="77777777" w:rsidTr="00FE4A75">
        <w:tc>
          <w:tcPr>
            <w:tcW w:w="1034" w:type="dxa"/>
          </w:tcPr>
          <w:p w14:paraId="01FB6B6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HHV-7</w:t>
            </w:r>
          </w:p>
        </w:tc>
        <w:tc>
          <w:tcPr>
            <w:tcW w:w="5166" w:type="dxa"/>
          </w:tcPr>
          <w:p w14:paraId="255519C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CTCGCAGATTGCTTGTTG</w:t>
            </w:r>
          </w:p>
          <w:p w14:paraId="4CC9BCD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GCATACACCAACCCTACTGTAA </w:t>
            </w:r>
          </w:p>
          <w:p w14:paraId="725E1F4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TxRd-TTAGGCATCACGTTGGCATTG-BHQ2</w:t>
            </w:r>
          </w:p>
        </w:tc>
        <w:tc>
          <w:tcPr>
            <w:tcW w:w="995" w:type="dxa"/>
          </w:tcPr>
          <w:p w14:paraId="1FE3CAB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U57</w:t>
            </w:r>
          </w:p>
        </w:tc>
        <w:tc>
          <w:tcPr>
            <w:tcW w:w="1731" w:type="dxa"/>
            <w:vMerge/>
            <w:vAlign w:val="center"/>
          </w:tcPr>
          <w:p w14:paraId="00E42D71" w14:textId="77777777" w:rsidR="00891682" w:rsidRPr="00C529E3" w:rsidRDefault="00891682" w:rsidP="006C23EA">
            <w:pPr>
              <w:spacing w:line="240" w:lineRule="auto"/>
              <w:jc w:val="both"/>
              <w:rPr>
                <w:rFonts w:cstheme="minorHAnsi"/>
                <w:sz w:val="16"/>
                <w:szCs w:val="16"/>
              </w:rPr>
            </w:pPr>
          </w:p>
        </w:tc>
      </w:tr>
      <w:tr w:rsidR="00891682" w:rsidRPr="00C529E3" w14:paraId="106367FC" w14:textId="77777777" w:rsidTr="00FE4A75">
        <w:tc>
          <w:tcPr>
            <w:tcW w:w="1034" w:type="dxa"/>
          </w:tcPr>
          <w:p w14:paraId="15B8E29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KSHV</w:t>
            </w:r>
          </w:p>
        </w:tc>
        <w:tc>
          <w:tcPr>
            <w:tcW w:w="5166" w:type="dxa"/>
          </w:tcPr>
          <w:p w14:paraId="70D8D42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xml:space="preserve">ATATACGGCGACACTGACTC </w:t>
            </w:r>
          </w:p>
          <w:p w14:paraId="494ECEB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GAGCAGAAGGCACTTGAAG</w:t>
            </w:r>
          </w:p>
          <w:p w14:paraId="6F5CABA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JOE-CGGAGGAGCTAGCGTCAATCA-BHQ1</w:t>
            </w:r>
          </w:p>
        </w:tc>
        <w:tc>
          <w:tcPr>
            <w:tcW w:w="995" w:type="dxa"/>
          </w:tcPr>
          <w:p w14:paraId="513109F7"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ORF9</w:t>
            </w:r>
          </w:p>
        </w:tc>
        <w:tc>
          <w:tcPr>
            <w:tcW w:w="1731" w:type="dxa"/>
            <w:vMerge/>
            <w:vAlign w:val="center"/>
          </w:tcPr>
          <w:p w14:paraId="615837D9" w14:textId="77777777" w:rsidR="00891682" w:rsidRPr="00C529E3" w:rsidRDefault="00891682" w:rsidP="006C23EA">
            <w:pPr>
              <w:spacing w:line="240" w:lineRule="auto"/>
              <w:jc w:val="both"/>
              <w:rPr>
                <w:rFonts w:cstheme="minorHAnsi"/>
                <w:sz w:val="16"/>
                <w:szCs w:val="16"/>
              </w:rPr>
            </w:pPr>
          </w:p>
        </w:tc>
      </w:tr>
      <w:tr w:rsidR="00891682" w:rsidRPr="00C529E3" w14:paraId="3D74A0D4" w14:textId="77777777" w:rsidTr="00FE4A75">
        <w:tc>
          <w:tcPr>
            <w:tcW w:w="1034" w:type="dxa"/>
          </w:tcPr>
          <w:p w14:paraId="5098F47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B19V</w:t>
            </w:r>
          </w:p>
        </w:tc>
        <w:tc>
          <w:tcPr>
            <w:tcW w:w="5166" w:type="dxa"/>
          </w:tcPr>
          <w:p w14:paraId="16E6F20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CCACTATGAAAACTGGGCAATA</w:t>
            </w:r>
          </w:p>
          <w:p w14:paraId="34E032B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GCTGCTTTCACTGAGTTCTTCA</w:t>
            </w:r>
          </w:p>
          <w:p w14:paraId="1805679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FAM-AATGCAGATGCCCTCCACCCAG-BHQ1</w:t>
            </w:r>
          </w:p>
        </w:tc>
        <w:tc>
          <w:tcPr>
            <w:tcW w:w="995" w:type="dxa"/>
          </w:tcPr>
          <w:p w14:paraId="2264345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NS1</w:t>
            </w:r>
          </w:p>
        </w:tc>
        <w:tc>
          <w:tcPr>
            <w:tcW w:w="1731" w:type="dxa"/>
            <w:vAlign w:val="center"/>
          </w:tcPr>
          <w:p w14:paraId="7939E78A" w14:textId="2BFA8689"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{"citationItems":[{"id":"ITEM-1","itemData":{"DOI":"10.1016/j.jviromet.2015.03.006","ISSN":"18790984","PMID":"25794796","abstract":"Parvovirus B19 (B19V) is a minute ssDNA virus associated with a wide range of diseases from childhood erythema to fetal death. After primary infection, the viral genomes persist lifelong in solid tissues of most types. Quantification of the viral DNA is important in the timing of primary infection, assessment of tissue persistence and screening of blood donor plasma. In this study, we present a new PCR assay for detection and quantification as well as for differentiation of all three B19V genotypes.A new B19V qPCR was designed to target a 154-bp region of the NS1 area. Serum, plasma and solid tissue samples were suitable for testing in the assay. The WHO International Reference Panel for Parvovirus B19 Genotypes was utilized to validate the assay for detection of different genotypes of B19V in clinical material. Each panel member yielded, by the new qPCR, a quantity similar to the one reported by National Institute for Biological Standards and Control (NIBSC). The qPCR was specific for B19V and amplified and quantified all three genotypes with detection sensitivities of ≤10 copies/reaction. The differentiation of B19V genotypes was performed by Sanger sequencing of the amplified products.","author":[{"dropping-particle":"","family":"Toppinen","given":"M.","non-dropping-particle":"","parse-names":false,"suffix":""},{"dropping-particle":"","family":"Norja","given":"P.","non-dropping-particle":"","parse-names":false,"suffix":""},{"dropping-particle":"","family":"Aaltonen","given":"L. M.","non-dropping-particle":"","parse-names":false,"suffix":""},{"dropping-particle":"","family":"Wessberg","given":"S.","non-dropping-particle":"","parse-names":false,"suffix":""},{"dropping-particle":"","family":"Hedman","given":"L.","non-dropping-particle":"","parse-names":false,"suffix":""},{"dropping-particle":"","family":"Söderlund-Venermo","given":"M.","non-dropping-particle":"","parse-names":false,"suffix":""},{"dropping-particle":"","family":"Hedman","given":"K.","non-dropping-particle":"","parse-names":false,"suffix":""}],"container-title":"Journal of Virological Methods","id":"ITEM-1","issued":{"date-parts":[["2015","6","5"]]},"page":"40-45","publisher":"Elsevier","title":"A new quantitative PCR for human parvovirus B19 genotypes","type":"article-journal","volume":"218"},"uris":["http://www.mendeley.com/documents/?uuid=9087e082-1f80-35b5-9c2c-fe5c6c740827"]}],"mendeley":{"formattedCitation":"[16]","plainTextFormattedCitation":"[16]","previouslyFormattedCitation":"(Toppinen et al., 2015)"},"properties":{"noteIndex":0},"schema":"https://github.com/citation-style-language/schema/raw/master/csl-citation.json"}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[16]</w:t>
            </w:r>
            <w:r w:rsidRPr="00C529E3">
              <w:rPr>
                <w:rFonts w:cstheme="minorHAnsi"/>
                <w:sz w:val="16"/>
                <w:szCs w:val="16"/>
              </w:rPr>
              <w:fldChar w:fldCharType="end"/>
            </w:r>
          </w:p>
        </w:tc>
      </w:tr>
      <w:tr w:rsidR="00891682" w:rsidRPr="00C529E3" w14:paraId="7DFF344A" w14:textId="77777777" w:rsidTr="00FE4A75">
        <w:tc>
          <w:tcPr>
            <w:tcW w:w="1034" w:type="dxa"/>
          </w:tcPr>
          <w:p w14:paraId="3E4ABD0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TTV</w:t>
            </w:r>
          </w:p>
        </w:tc>
        <w:tc>
          <w:tcPr>
            <w:tcW w:w="5166" w:type="dxa"/>
          </w:tcPr>
          <w:p w14:paraId="5443AC5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GTGCCGNAGGTGAGTTTA</w:t>
            </w:r>
          </w:p>
          <w:p w14:paraId="4337287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GGACTGGCCGGGCT</w:t>
            </w:r>
          </w:p>
          <w:p w14:paraId="3617890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GGTCTGGCCGGGCT</w:t>
            </w:r>
          </w:p>
          <w:p w14:paraId="3FF00BA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FAM-TCAAGGGGCAATTCGGGCT-BHQ1</w:t>
            </w:r>
          </w:p>
        </w:tc>
        <w:tc>
          <w:tcPr>
            <w:tcW w:w="995" w:type="dxa"/>
          </w:tcPr>
          <w:p w14:paraId="76FB33F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UTR</w:t>
            </w:r>
          </w:p>
        </w:tc>
        <w:tc>
          <w:tcPr>
            <w:tcW w:w="1731" w:type="dxa"/>
            <w:vAlign w:val="center"/>
          </w:tcPr>
          <w:p w14:paraId="1E0697ED" w14:textId="0D3DF645"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{"citationItems":[{"id":"ITEM-1","itemData":{"DOI":"10.1016/j.fsigen.2020.102353","ISSN":"18780326","PMID":"32668397","abstract":"The imprints left by persistent DNA viruses in the tissues can testify to the changes driving virus evolution as well as provide clues on the provenance of modern and ancient humans. However, the history hidden in skeletal remains is practically unknown, as only parvovirus B19 and hepatitis B virus DNA have been detected in hard tissues so far. Here, we investigated the DNA prevalences of 38 viruses in femoral bone of recently deceased individuals. To this end, we used quantitative PCRs and a custom viral targeted enrichment followed by next-generation sequencing. The data was analyzed with a tailor-made bioinformatics pipeline. Our findings revealed bone to be a much richer source of persistent DNA viruses than earlier perceived, discovering ten additional ones, including several members of the herpes- and polyomavirus families, as well as human papillomavirus 31 and torque teno virus. Remarkably, many of the viruses found have oncogenic potential and/or may reactivate in the elderly and immunosuppressed individuals. Thus, their persistence warrants careful evaluation of their clinical significance and impact on bone biology. Our findings open new frontiers for the study of virus evolution from ancient relics as well as provide new tools for the investigation of human skeletal remains in forensic and archaeological contexts.","author":[{"dropping-particle":"","family":"Toppinen","given":"Mari","non-dropping-particle":"","parse-names":false,"suffix":""},{"dropping-particle":"","family":"Pratas","given":"Diogo","non-dropping-particle":"","parse-names":false,"suffix":""},{"dropping-particle":"","family":"Väisänen","given":"Elina","non-dropping-particle":"","parse-names":false,"suffix":""},{"dropping-particle":"","family":"Söderlund-Venermo","given":"Maria","non-dropping-particle":"","parse-names":false,"suffix":""},{"dropping-particle":"","family":"Hedman","given":"Klaus","non-dropping-particle":"","parse-names":false,"suffix":""},{"dropping-particle":"","family":"Perdomo","given":"Maria F.","non-dropping-particle":"","parse-names":false,"suffix":""},{"dropping-particle":"","family":"Sajantila","given":"Antti","non-dropping-particle":"","parse-names":false,"suffix":""}],"container-title":"Forensic Science International: Genetics","id":"ITEM-1","issued":{"date-parts":[["2020","9","1"]]},"page":"102353","publisher":"Elsevier Ireland Ltd","title":"The landscape of persistent human DNA viruses in femoral bone","type":"article-journal","volume":"48"},"uris":["http://www.mendeley.com/documents/?uuid=1ff8f3c2-d807-33c9-ba78-c7a4431dbc17"]}],"mendeley":{"formattedCitation":"[18]","plainTextFormattedCitation":"[18]","previouslyFormattedCitation":"(Toppinen et al., 2020)"},"properties":{"noteIndex":0},"schema":"https://github.com/citation-style-language/schema/raw/master/csl-citation.json"}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[18]</w:t>
            </w:r>
            <w:r w:rsidRPr="00C529E3">
              <w:rPr>
                <w:rFonts w:cstheme="minorHAnsi"/>
                <w:sz w:val="16"/>
                <w:szCs w:val="16"/>
              </w:rPr>
              <w:fldChar w:fldCharType="end"/>
            </w:r>
          </w:p>
        </w:tc>
      </w:tr>
      <w:tr w:rsidR="00891682" w:rsidRPr="00C529E3" w14:paraId="78886BE5" w14:textId="77777777" w:rsidTr="00FE4A75">
        <w:trPr>
          <w:trHeight w:val="508"/>
        </w:trPr>
        <w:tc>
          <w:tcPr>
            <w:tcW w:w="1034" w:type="dxa"/>
          </w:tcPr>
          <w:p w14:paraId="4285E8E1"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BKPyV</w:t>
            </w:r>
            <w:proofErr w:type="spellEnd"/>
          </w:p>
        </w:tc>
        <w:tc>
          <w:tcPr>
            <w:tcW w:w="5166" w:type="dxa"/>
          </w:tcPr>
          <w:p w14:paraId="2643CC1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CCTTACCCAATTTCCTTTTTGCT</w:t>
            </w:r>
          </w:p>
          <w:p w14:paraId="11F96BB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ATACATAGGCTGCCCATCCAC</w:t>
            </w:r>
          </w:p>
          <w:p w14:paraId="28A631C2"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TGACCTTATAAACAGGAGAACCC</w:t>
            </w:r>
          </w:p>
          <w:p w14:paraId="0ACFB6F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 </w:t>
            </w:r>
          </w:p>
        </w:tc>
        <w:tc>
          <w:tcPr>
            <w:tcW w:w="995" w:type="dxa"/>
          </w:tcPr>
          <w:p w14:paraId="5DAC0E1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VP1</w:t>
            </w:r>
          </w:p>
        </w:tc>
        <w:tc>
          <w:tcPr>
            <w:tcW w:w="1731" w:type="dxa"/>
            <w:vAlign w:val="center"/>
          </w:tcPr>
          <w:p w14:paraId="2CA607DD" w14:textId="38797875"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{"citationItems":[{"id":"ITEM-1","itemData":{"DOI":"10.1128/JCM.00258-08","ISSN":"00951137","PMID":"18562587","abstract":"BK virus (BKV) is the infectious cause of polyomavirus-associated nephropathy. Screening guidelines for renal-transplant recipients define levels of viremia and viruria that are actionable for additional testing or intervention. However, standardized real-time PCR primers, probes, and standards are unavailable, and the extent of agreement among published assays is unknown. We compared seven TaqMan real-time PCR primer/probe sets (three designed at this institution, three described in the literature, and one purchased) in conjunction with two different standards to prospectively measure BKV titers in 251 urine specimens submitted to our clinical laboratory. We observed substantial disagreement among assays attributable both to features of primer and probe design and to choice of reference material. The most significant source of error among individual specimens was primer or probe mismatch due to subtype-associated polymorphisms, primarily among subtype III and IV isolates. In contrast, measurement of the most abundant subtypes (Ia, V, and VI) were typically uniform among all seven assays. Finally, we describe and validate a new clinical assay designed to reliably measure all subtypes encountered in our study population (Ia, Ic, III, IV, and VI). Consideration of available BKV sequence information in conjunction with details of subtype distribution allowed us to develop a redesigned assay with markedly improved performance. These results suggest that both accurate BKV measurement and the uniform application of BKV screening guidelines could be significantly improved by the use of standardized reference materials and PCR primers and probes. Copyright © 2008, American Society for Microbiology. All Rights Reserved.","author":[{"dropping-particle":"","family":"Hoffman","given":"Noah G.","non-dropping-particle":"","parse-names":false,"suffix":""},{"dropping-particle":"","family":"Cook","given":"Linda","non-dropping-particle":"","parse-names":false,"suffix":""},{"dropping-particle":"","family":"Atienza","given":"Ederlyn E.","non-dropping-particle":"","parse-names":false,"suffix":""},{"dropping-particle":"","family":"Limaye","given":"Ajit P.","non-dropping-particle":"","parse-names":false,"suffix":""},{"dropping-particle":"","family":"Jerome","given":"Keith R.","non-dropping-particle":"","parse-names":false,"suffix":""}],"container-title":"Journal of Clinical Microbiology","id":"ITEM-1","issue":"8","issued":{"date-parts":[["2008","8"]]},"page":"2671-2680","publisher":"J Clin Microbiol","title":"Marked variability of BK virus load measurement using quantitative real-time PCR among commonly used assays","type":"article-journal","volume":"46"},"uris":["http://www.mendeley.com/documents/?uuid=9b88d17f-77d1-3e04-80f0-60929a8613c4"]}],"mendeley":{"formattedCitation":"[19]","plainTextFormattedCitation":"[19]","previouslyFormattedCitation":"(Hoffman et al., 2008)"},"properties":{"noteIndex":0},"schema":"https://github.com/citation-style-language/schema/raw/master/csl-citation.json"}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[19]</w:t>
            </w:r>
            <w:r w:rsidRPr="00C529E3">
              <w:rPr>
                <w:rFonts w:cstheme="minorHAnsi"/>
                <w:sz w:val="16"/>
                <w:szCs w:val="16"/>
              </w:rPr>
              <w:fldChar w:fldCharType="end"/>
            </w:r>
          </w:p>
        </w:tc>
      </w:tr>
      <w:tr w:rsidR="00891682" w:rsidRPr="00C529E3" w14:paraId="16E4D2C3" w14:textId="77777777" w:rsidTr="00FE4A75">
        <w:tc>
          <w:tcPr>
            <w:tcW w:w="1034" w:type="dxa"/>
          </w:tcPr>
          <w:p w14:paraId="24A01C64"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JCPyV</w:t>
            </w:r>
            <w:proofErr w:type="spellEnd"/>
          </w:p>
        </w:tc>
        <w:tc>
          <w:tcPr>
            <w:tcW w:w="5166" w:type="dxa"/>
          </w:tcPr>
          <w:p w14:paraId="2D6DE6E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CTAAACACAGCTTGACTGAGGAATG</w:t>
            </w:r>
          </w:p>
          <w:p w14:paraId="6C3FAC5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CATTTAATGAGAAGTGGGATGAAGAC</w:t>
            </w:r>
          </w:p>
          <w:p w14:paraId="61C46F6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TAGAGTGTTGGGATCCTGTGTTTTCATCATCACT</w:t>
            </w:r>
          </w:p>
        </w:tc>
        <w:tc>
          <w:tcPr>
            <w:tcW w:w="995" w:type="dxa"/>
          </w:tcPr>
          <w:p w14:paraId="47F3D4B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LT</w:t>
            </w:r>
          </w:p>
        </w:tc>
        <w:tc>
          <w:tcPr>
            <w:tcW w:w="1731" w:type="dxa"/>
            <w:vAlign w:val="center"/>
          </w:tcPr>
          <w:p w14:paraId="7034065B" w14:textId="0029942D"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{"citationItems":[{"id":"ITEM-1","itemData":{"DOI":"10.1128/JCM.02008-10","ISSN":"00951137","PMID":"21325560","abstract":"PCR-based molecular assays have a central role in polyomavirus diagnostics. To assure optimal performance, target sequences should be regularly updated according to newly available sequences. The aim of this study was to review our in-house polyomavirus BK (BKV) and JC (JCV) real-time PCR assays. Database analysis revealed variations in the BKV target region which might affect the assay performance, while no significant changes were found in the JCV target region. We compared two degenerate versions of our BKV primers which accommodated at least 95% of all published genetic variants. Dilutions of cloned viral genomic DNA and probit analysis indicated an analytical sensitivity of the updated BKV assay of 4.15 copies/reaction and that of the JCV assay was 3.37 copies/reaction. The specificity was assessed by testing JCV-and BKVpositive samples that showed no cross-reactivity. The performance of the original and updated BKV assay was compared in 101 urine and 200 plasma samples submitted to our routine diagnostic laboratory revealed similar quantitative results. We conclude that our JCV and updated BKV real-time PCR assays are robust and detect rare variants possibly encountered in the clinical routine. Copyright © 2011, American Society for Microbiology.","author":[{"dropping-particle":"","family":"Dumoulin","given":"A.","non-dropping-particle":"","parse-names":false,"suffix":""},{"dropping-particle":"","family":"Hirsch","given":"H. H.","non-dropping-particle":"","parse-names":false,"suffix":""}],"container-title":"Journal of Clinical Microbiology","id":"ITEM-1","issue":"4","issued":{"date-parts":[["2011","4"]]},"page":"1382-1388","publisher":"American Society for Microbiology (ASM)","title":"Reevaluating and optimizing polyomavirus BK and JC real-time PCR assays to detect rare sequence polymorphisms","type":"article-journal","volume":"49"},"uris":["http://www.mendeley.com/documents/?uuid=30b61531-dbbe-3e21-82c7-d65168d27e43"]}],"mendeley":{"formattedCitation":"[20]","plainTextFormattedCitation":"[20]","previouslyFormattedCitation":"(Dumoulin and Hirsch, 2011)"},"properties":{"noteIndex":0},"schema":"https://github.com/citation-style-language/schema/raw/master/csl-citation.json"}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[20]</w:t>
            </w:r>
            <w:r w:rsidRPr="00C529E3">
              <w:rPr>
                <w:rFonts w:cstheme="minorHAnsi"/>
                <w:sz w:val="16"/>
                <w:szCs w:val="16"/>
              </w:rPr>
              <w:fldChar w:fldCharType="end"/>
            </w:r>
          </w:p>
        </w:tc>
      </w:tr>
      <w:tr w:rsidR="00891682" w:rsidRPr="00C529E3" w14:paraId="0C1A2765" w14:textId="77777777" w:rsidTr="00FE4A75">
        <w:tc>
          <w:tcPr>
            <w:tcW w:w="1034" w:type="dxa"/>
          </w:tcPr>
          <w:p w14:paraId="63764680"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MCPyV</w:t>
            </w:r>
            <w:proofErr w:type="spellEnd"/>
          </w:p>
        </w:tc>
        <w:tc>
          <w:tcPr>
            <w:tcW w:w="5166" w:type="dxa"/>
          </w:tcPr>
          <w:p w14:paraId="4B7B772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CCACAGCCAGAGCTCTTCCT</w:t>
            </w:r>
          </w:p>
          <w:p w14:paraId="5A9757D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TGGTGGTCTCCTCTCTGCTACTG</w:t>
            </w:r>
          </w:p>
          <w:p w14:paraId="7B123EF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FAM-TCCTTCTCAGCGTCCCAGGCTTCA-BHQ1</w:t>
            </w:r>
          </w:p>
        </w:tc>
        <w:tc>
          <w:tcPr>
            <w:tcW w:w="995" w:type="dxa"/>
          </w:tcPr>
          <w:p w14:paraId="0606F589"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LT</w:t>
            </w:r>
          </w:p>
        </w:tc>
        <w:tc>
          <w:tcPr>
            <w:tcW w:w="1731" w:type="dxa"/>
            <w:vAlign w:val="center"/>
          </w:tcPr>
          <w:p w14:paraId="54062DDC" w14:textId="0B42E396"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{"citationItems":[{"id":"ITEM-1","itemData":{"DOI":"10.3201/eid1503.081206","ISSN":"10806040","PMID":"19239773","abstract":"Merkel cell polyomavirus (MCPyV), associated with Merkel cell carcinoma, was detected in 27 of 635 nasopharyngeal aspirate samples by real-time PCR. MCPyV was more commonly found in adults than in children. Presence in the upper respiratory tract may be a general property of human PyVs.","author":[{"dropping-particle":"","family":"Goh","given":"Shan","non-dropping-particle":"","parse-names":false,"suffix":""},{"dropping-particle":"","family":"Lindau","given":"Cecilia","non-dropping-particle":"","parse-names":false,"suffix":""},{"dropping-particle":"","family":"Tiveljung-Lindell","given":"Annika","non-dropping-particle":"","parse-names":false,"suffix":""},{"dropping-particle":"","family":"Allander","given":"Tobias","non-dropping-particle":"","parse-names":false,"suffix":""}],"container-title":"Emerging Infectious Diseases","id":"ITEM-1","issue":"3","issued":{"date-parts":[["2009","3"]]},"page":"489-491","publisher":"Centers for Disease Control and Prevention","title":"Merkel cell polyomavirus in respiratory tract secretions","type":"article-journal","volume":"15"},"uris":["http://www.mendeley.com/documents/?uuid=b1b08e1f-caef-30b1-a9ef-311fba665134"]}],"mendeley":{"formattedCitation":"[21]","plainTextFormattedCitation":"[21]","previouslyFormattedCitation":"(Goh et al., 2009)"},"properties":{"noteIndex":0},"schema":"https://github.com/citation-style-language/schema/raw/master/csl-citation.json"}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[21]</w:t>
            </w:r>
            <w:r w:rsidRPr="00C529E3">
              <w:rPr>
                <w:rFonts w:cstheme="minorHAnsi"/>
                <w:sz w:val="16"/>
                <w:szCs w:val="16"/>
              </w:rPr>
              <w:fldChar w:fldCharType="end"/>
            </w:r>
          </w:p>
        </w:tc>
      </w:tr>
      <w:tr w:rsidR="00891682" w:rsidRPr="00C529E3" w14:paraId="57ABA387" w14:textId="77777777" w:rsidTr="00FE4A75">
        <w:trPr>
          <w:trHeight w:val="688"/>
        </w:trPr>
        <w:tc>
          <w:tcPr>
            <w:tcW w:w="1034" w:type="dxa"/>
          </w:tcPr>
          <w:p w14:paraId="6265F25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HPyV6</w:t>
            </w:r>
          </w:p>
        </w:tc>
        <w:tc>
          <w:tcPr>
            <w:tcW w:w="5166" w:type="dxa"/>
          </w:tcPr>
          <w:p w14:paraId="7C0E79E5"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TTGAGGAGCTGGACAAAGAGATT </w:t>
            </w:r>
          </w:p>
          <w:p w14:paraId="52675049"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TCTGGGAAGCTTTTGAATTGGT</w:t>
            </w:r>
          </w:p>
          <w:p w14:paraId="607FD15E"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FAM-AGGAAGATGCCTTGTCACAGAAAAGGAAATG-BHQ1</w:t>
            </w:r>
          </w:p>
          <w:p w14:paraId="228FDC9D" w14:textId="77777777" w:rsidR="00891682" w:rsidRPr="00C529E3" w:rsidRDefault="00891682" w:rsidP="006C23EA">
            <w:pPr>
              <w:spacing w:line="240" w:lineRule="auto"/>
              <w:jc w:val="both"/>
              <w:rPr>
                <w:rFonts w:cstheme="minorHAnsi"/>
                <w:sz w:val="16"/>
                <w:szCs w:val="16"/>
              </w:rPr>
            </w:pPr>
          </w:p>
        </w:tc>
        <w:tc>
          <w:tcPr>
            <w:tcW w:w="995" w:type="dxa"/>
          </w:tcPr>
          <w:p w14:paraId="040F483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VP2</w:t>
            </w:r>
          </w:p>
        </w:tc>
        <w:tc>
          <w:tcPr>
            <w:tcW w:w="1731" w:type="dxa"/>
            <w:vMerge w:val="restart"/>
            <w:vAlign w:val="center"/>
          </w:tcPr>
          <w:p w14:paraId="5952C710" w14:textId="72CCFF7C"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{"citationItems":[{"id":"ITEM-1","itemData":{"DOI":"10.1371/journal.pone.0039842","ISSN":"19326203","PMID":"22916092","abstract":"Several different viruses have been proposed to play a role in breast carcinogenesis. The aim of this study was to investigate the prevalence of a subset of viruses in breast cancer tissue. We investigated the prevalence of 12 DNA viruses: EBV and CMV from the Herpesviridae family and SV40, BKV, JCV, MCV, WUV, KIV, LPV, HPyV6, HPyV7, and TSV from the Polyomaviridae family in 54 fresh frozen breast tumour specimens. Relevant clinical data and basic lifestyle data were available for all patients. The tissue samples were DNA extracted and real-time PCR assays were used for viral detection. The highest prevalence, 10% (5/54), was found for EBV. MCV, HPyV6, and HPyV7 were detected in single patient samples (2% each), while WUV, KIV, JCV, BKV, LPV, SV40, TSV and CMV were not detected in the 54 breast cancer specimens analysed here. Further investigations are needed to elucidate the potential role of viruses, and particularly EBV, in breast carcinogenesis. © 2012 Antonsson et al.","author":[{"dropping-particle":"","family":"Antonsson","given":"Annika","non-dropping-particle":"","parse-names":false,"suffix":""},{"dropping-particle":"","family":"Bialasiewicz","given":"Seweryn","non-dropping-particle":"","parse-names":false,"suffix":""},{"dropping-particle":"","family":"Rockett","given":"Rebecca J.","non-dropping-particle":"","parse-names":false,"suffix":""},{"dropping-particle":"","family":"Jacob","given":"Kevin","non-dropping-particle":"","parse-names":false,"suffix":""},{"dropping-particle":"","family":"Bennett","given":"Ian C.","non-dropping-particle":"","parse-names":false,"suffix":""},{"dropping-particle":"","family":"Sloots","given":"Theo P.","non-dropping-particle":"","parse-names":false,"suffix":""}],"container-title":"PLoS ONE","id":"ITEM-1","issue":"8","issued":{"date-parts":[["2012","8","15"]]},"page":"39842","publisher":"Public Library of Science","title":"Exploring the prevalence of ten polyomaviruses and two herpes viruses in breast cancer","type":"article-journal","volume":"7"},"uris":["http://www.mendeley.com/documents/?uuid=f8675a1d-fb55-3ca6-a009-b71880fc0a5f"]}],"mendeley":{"formattedCitation":"[22]","plainTextFormattedCitation":"[22]","previouslyFormattedCitation":"(Antonsson et al., 2012)"},"properties":{"noteIndex":0},"schema":"https://github.com/citation-style-language/schema/raw/master/csl-citation.json"}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[22]</w:t>
            </w:r>
            <w:r w:rsidRPr="00C529E3">
              <w:rPr>
                <w:rFonts w:cstheme="minorHAnsi"/>
                <w:sz w:val="16"/>
                <w:szCs w:val="16"/>
              </w:rPr>
              <w:fldChar w:fldCharType="end"/>
            </w:r>
          </w:p>
        </w:tc>
      </w:tr>
      <w:tr w:rsidR="00891682" w:rsidRPr="00C529E3" w14:paraId="6C413018" w14:textId="77777777" w:rsidTr="00FE4A75">
        <w:tc>
          <w:tcPr>
            <w:tcW w:w="1034" w:type="dxa"/>
          </w:tcPr>
          <w:p w14:paraId="6EAD4F67"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HPyV7</w:t>
            </w:r>
          </w:p>
        </w:tc>
        <w:tc>
          <w:tcPr>
            <w:tcW w:w="5166" w:type="dxa"/>
          </w:tcPr>
          <w:p w14:paraId="09CC08B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GAGGAAGGAAACACTCCCCAGTA</w:t>
            </w:r>
          </w:p>
          <w:p w14:paraId="73766C4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TTCACTTCTTTTTGTAGCTCCTCAAG</w:t>
            </w:r>
          </w:p>
          <w:p w14:paraId="2123E06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FAM-ACTATACCTCAATGGATGCTTTTTGT-BHQ1</w:t>
            </w:r>
          </w:p>
        </w:tc>
        <w:tc>
          <w:tcPr>
            <w:tcW w:w="995" w:type="dxa"/>
          </w:tcPr>
          <w:p w14:paraId="7865247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VP2</w:t>
            </w:r>
          </w:p>
        </w:tc>
        <w:tc>
          <w:tcPr>
            <w:tcW w:w="1731" w:type="dxa"/>
            <w:vMerge/>
            <w:vAlign w:val="center"/>
          </w:tcPr>
          <w:p w14:paraId="5B33C609" w14:textId="77777777" w:rsidR="00891682" w:rsidRPr="00C529E3" w:rsidRDefault="00891682" w:rsidP="006C23EA">
            <w:pPr>
              <w:spacing w:line="240" w:lineRule="auto"/>
              <w:jc w:val="both"/>
              <w:rPr>
                <w:rFonts w:cstheme="minorHAnsi"/>
                <w:sz w:val="16"/>
                <w:szCs w:val="16"/>
              </w:rPr>
            </w:pPr>
          </w:p>
        </w:tc>
      </w:tr>
      <w:tr w:rsidR="00891682" w:rsidRPr="00C529E3" w14:paraId="16FD9F70" w14:textId="77777777" w:rsidTr="00FE4A75">
        <w:tc>
          <w:tcPr>
            <w:tcW w:w="1034" w:type="dxa"/>
          </w:tcPr>
          <w:p w14:paraId="1BDEE6F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HPyV10</w:t>
            </w:r>
          </w:p>
        </w:tc>
        <w:tc>
          <w:tcPr>
            <w:tcW w:w="5166" w:type="dxa"/>
          </w:tcPr>
          <w:p w14:paraId="514FF224"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TGAGAAGGCCCCGGTTCT</w:t>
            </w:r>
          </w:p>
          <w:p w14:paraId="03092972"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GAGGATGGGATGAAGATTTAAGTTG</w:t>
            </w:r>
          </w:p>
          <w:p w14:paraId="1187B024" w14:textId="77777777" w:rsidR="00891682" w:rsidRPr="00C529E3" w:rsidRDefault="00891682" w:rsidP="006C23EA">
            <w:pPr>
              <w:spacing w:line="240" w:lineRule="auto"/>
              <w:jc w:val="both"/>
              <w:rPr>
                <w:rFonts w:cstheme="minorHAnsi"/>
                <w:color w:val="000000"/>
                <w:sz w:val="16"/>
                <w:szCs w:val="16"/>
              </w:rPr>
            </w:pPr>
            <w:r w:rsidRPr="00C529E3">
              <w:rPr>
                <w:rFonts w:cstheme="minorHAnsi"/>
                <w:color w:val="000000"/>
                <w:sz w:val="16"/>
                <w:szCs w:val="16"/>
              </w:rPr>
              <w:t>FAM-CCTCATCACTGGGAGC-BHQ1</w:t>
            </w:r>
          </w:p>
        </w:tc>
        <w:tc>
          <w:tcPr>
            <w:tcW w:w="995" w:type="dxa"/>
          </w:tcPr>
          <w:p w14:paraId="1D7D11A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LT</w:t>
            </w:r>
          </w:p>
        </w:tc>
        <w:tc>
          <w:tcPr>
            <w:tcW w:w="1731" w:type="dxa"/>
            <w:vAlign w:val="center"/>
          </w:tcPr>
          <w:p w14:paraId="6219E89C" w14:textId="12F3B216"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{"citationItems":[{"id":"ITEM-1","itemData":{"DOI":"10.1128/jvi.01210-12","ISSN":"0022-538X","PMID":"22740408","abstract":"We have discovered a novel polyomavirus present in multiple human stool samples. The virus was initially identified by shotgun pyrosequencing of DNA purified from virus-like particles isolated from a stool sample collected from a healthy child from Malawi. We subsequently sequenced the virus' 4,927-bp genome, which has been provisionally namedMWpolyomavirus (MWPyV). The virus has genomic features characteristic of the family Polyomaviridae but is highly divergent from other members of this family. It is predicted to encode the large T antigen and small T antigen early proteins and the VP1, VP2, and VP3 structural proteins. A real-time PCR assay was designed and used to screen 514 stool samples from children with diarrhea in St. Louis, MO; 12 specimens were positive for MWPyV. Comparison of the whole-genome sequences of the index Malawi case and one St. Louis case demonstrated that the two strains of MWPyV varied by 5.3% at the nucleotide level. The number of polyomaviruses found in the human body continues to grow, raising the question of how many more species have yet to be identified and what roles they play in humans with and without manifest disease. © 2012 American Society for Microbiology.","author":[{"dropping-particle":"","family":"Siebrasse","given":"E. A.","non-dropping-particle":"","parse-names":false,"suffix":""},{"dropping-particle":"","family":"Reyes","given":"A.","non-dropping-particle":"","parse-names":false,"suffix":""},{"dropping-particle":"","family":"Lim","given":"E. S.","non-dropping-particle":"","parse-names":false,"suffix":""},{"dropping-particle":"","family":"Zhao","given":"G.","non-dropping-particle":"","parse-names":false,"suffix":""},{"dropping-particle":"","family":"Mkakosya","given":"R. S.","non-dropping-particle":"","parse-names":false,"suffix":""},{"dropping-particle":"","family":"Manary","given":"M. J.","non-dropping-particle":"","parse-names":false,"suffix":""},{"dropping-particle":"","family":"Gordon","given":"J. I.","non-dropping-particle":"","parse-names":false,"suffix":""},{"dropping-particle":"","family":"Wang","given":"D.","non-dropping-particle":"","parse-names":false,"suffix":""}],"container-title":"Journal of Virology","id":"ITEM-1","issue":"19","issued":{"date-parts":[["2012","10","1"]]},"page":"10321-10326","publisher":"American Society for Microbiology","title":"Identification of MW Polyomavirus, a Novel Polyomavirus in Human Stool","type":"article-journal","volume":"86"},"uris":["http://www.mendeley.com/documents/?uuid=fcfa2791-4b7c-3177-a723-b6ccd7fb18a5"]}],"mendeley":{"formattedCitation":"[23]","plainTextFormattedCitation":"[23]","previouslyFormattedCitation":"(Siebrasse et al., 2012)"},"properties":{"noteIndex":0},"schema":"https://github.com/citation-style-language/schema/raw/master/csl-citation.json"}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[23]</w:t>
            </w:r>
            <w:r w:rsidRPr="00C529E3">
              <w:rPr>
                <w:rFonts w:cstheme="minorHAnsi"/>
                <w:sz w:val="16"/>
                <w:szCs w:val="16"/>
              </w:rPr>
              <w:fldChar w:fldCharType="end"/>
            </w:r>
          </w:p>
        </w:tc>
      </w:tr>
      <w:tr w:rsidR="00891682" w:rsidRPr="00802888" w14:paraId="7420DE2A" w14:textId="77777777" w:rsidTr="00FE4A75">
        <w:tc>
          <w:tcPr>
            <w:tcW w:w="1034" w:type="dxa"/>
          </w:tcPr>
          <w:p w14:paraId="1ADA3B5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HBV</w:t>
            </w:r>
          </w:p>
        </w:tc>
        <w:tc>
          <w:tcPr>
            <w:tcW w:w="5166" w:type="dxa"/>
          </w:tcPr>
          <w:p w14:paraId="41236687" w14:textId="77777777" w:rsidR="00891682" w:rsidRPr="00D313A6" w:rsidRDefault="00891682" w:rsidP="006C23EA">
            <w:pPr>
              <w:spacing w:line="240" w:lineRule="auto"/>
              <w:jc w:val="both"/>
              <w:rPr>
                <w:rFonts w:cstheme="minorHAnsi"/>
                <w:sz w:val="16"/>
                <w:szCs w:val="16"/>
                <w:lang w:val="en-US"/>
              </w:rPr>
            </w:pPr>
            <w:r w:rsidRPr="00D313A6">
              <w:rPr>
                <w:rFonts w:cstheme="minorHAnsi"/>
                <w:sz w:val="16"/>
                <w:szCs w:val="16"/>
                <w:lang w:val="en-US"/>
              </w:rPr>
              <w:t>Hepatitis B Virus PCR Kit (</w:t>
            </w:r>
            <w:proofErr w:type="spellStart"/>
            <w:r w:rsidRPr="00D313A6">
              <w:rPr>
                <w:rFonts w:cstheme="minorHAnsi"/>
                <w:sz w:val="16"/>
                <w:szCs w:val="16"/>
                <w:lang w:val="en-US"/>
              </w:rPr>
              <w:t>Geneproof</w:t>
            </w:r>
            <w:proofErr w:type="spellEnd"/>
            <w:r w:rsidRPr="00D313A6">
              <w:rPr>
                <w:rFonts w:cstheme="minorHAnsi"/>
                <w:sz w:val="16"/>
                <w:szCs w:val="16"/>
                <w:lang w:val="en-US"/>
              </w:rPr>
              <w:t>)</w:t>
            </w:r>
          </w:p>
        </w:tc>
        <w:tc>
          <w:tcPr>
            <w:tcW w:w="995" w:type="dxa"/>
          </w:tcPr>
          <w:p w14:paraId="06210E6E" w14:textId="77777777" w:rsidR="00891682" w:rsidRPr="00D313A6" w:rsidRDefault="00891682" w:rsidP="006C23EA">
            <w:pPr>
              <w:spacing w:line="240" w:lineRule="auto"/>
              <w:jc w:val="both"/>
              <w:rPr>
                <w:rFonts w:cstheme="minorHAnsi"/>
                <w:sz w:val="16"/>
                <w:szCs w:val="16"/>
                <w:lang w:val="en-US"/>
              </w:rPr>
            </w:pPr>
          </w:p>
        </w:tc>
        <w:tc>
          <w:tcPr>
            <w:tcW w:w="1731" w:type="dxa"/>
            <w:vAlign w:val="center"/>
          </w:tcPr>
          <w:p w14:paraId="3D334D14" w14:textId="77777777" w:rsidR="00891682" w:rsidRPr="00D313A6" w:rsidRDefault="00891682" w:rsidP="006C23EA">
            <w:pPr>
              <w:spacing w:line="240" w:lineRule="auto"/>
              <w:jc w:val="both"/>
              <w:rPr>
                <w:rFonts w:cstheme="minorHAnsi"/>
                <w:sz w:val="16"/>
                <w:szCs w:val="16"/>
                <w:lang w:val="en-US"/>
              </w:rPr>
            </w:pPr>
          </w:p>
        </w:tc>
      </w:tr>
      <w:tr w:rsidR="00891682" w:rsidRPr="00802888" w14:paraId="15F6900B" w14:textId="77777777" w:rsidTr="00FE4A75">
        <w:tc>
          <w:tcPr>
            <w:tcW w:w="1034" w:type="dxa"/>
            <w:shd w:val="clear" w:color="auto" w:fill="D9D9D9" w:themeFill="background1" w:themeFillShade="D9"/>
          </w:tcPr>
          <w:p w14:paraId="2BF7F2A9" w14:textId="77777777" w:rsidR="00891682" w:rsidRPr="00C529E3" w:rsidRDefault="00891682" w:rsidP="006C23EA">
            <w:pPr>
              <w:spacing w:line="240" w:lineRule="auto"/>
              <w:jc w:val="both"/>
              <w:rPr>
                <w:rFonts w:cstheme="minorHAnsi"/>
                <w:b/>
                <w:bCs/>
                <w:sz w:val="16"/>
                <w:szCs w:val="16"/>
              </w:rPr>
            </w:pPr>
            <w:proofErr w:type="spellStart"/>
            <w:r w:rsidRPr="00C529E3">
              <w:rPr>
                <w:rFonts w:cstheme="minorHAnsi"/>
                <w:b/>
                <w:bCs/>
                <w:sz w:val="16"/>
                <w:szCs w:val="16"/>
              </w:rPr>
              <w:t>Luminex</w:t>
            </w:r>
            <w:proofErr w:type="spellEnd"/>
            <w:r w:rsidRPr="00C529E3">
              <w:rPr>
                <w:rFonts w:cstheme="minorHAnsi"/>
                <w:b/>
                <w:bCs/>
                <w:sz w:val="16"/>
                <w:szCs w:val="16"/>
              </w:rPr>
              <w:t xml:space="preserve"> </w:t>
            </w:r>
            <w:proofErr w:type="spellStart"/>
            <w:r w:rsidRPr="00C529E3">
              <w:rPr>
                <w:rFonts w:cstheme="minorHAnsi"/>
                <w:b/>
                <w:bCs/>
                <w:sz w:val="16"/>
                <w:szCs w:val="16"/>
              </w:rPr>
              <w:t>multiplex</w:t>
            </w:r>
            <w:proofErr w:type="spellEnd"/>
            <w:r w:rsidRPr="00C529E3">
              <w:rPr>
                <w:rFonts w:cstheme="minorHAnsi"/>
                <w:b/>
                <w:bCs/>
                <w:sz w:val="16"/>
                <w:szCs w:val="16"/>
              </w:rPr>
              <w:t xml:space="preserve"> PCR</w:t>
            </w:r>
          </w:p>
        </w:tc>
        <w:tc>
          <w:tcPr>
            <w:tcW w:w="7892" w:type="dxa"/>
            <w:gridSpan w:val="3"/>
            <w:shd w:val="clear" w:color="auto" w:fill="D9D9D9" w:themeFill="background1" w:themeFillShade="D9"/>
          </w:tcPr>
          <w:p w14:paraId="62250B8B" w14:textId="77777777" w:rsidR="00891682" w:rsidRPr="00D313A6" w:rsidRDefault="00891682" w:rsidP="006C23EA">
            <w:pPr>
              <w:spacing w:line="240" w:lineRule="auto"/>
              <w:jc w:val="both"/>
              <w:rPr>
                <w:rFonts w:cstheme="minorHAnsi"/>
                <w:b/>
                <w:bCs/>
                <w:sz w:val="16"/>
                <w:szCs w:val="16"/>
                <w:lang w:val="en-US"/>
              </w:rPr>
            </w:pPr>
            <w:r w:rsidRPr="00D313A6">
              <w:rPr>
                <w:rFonts w:cstheme="minorHAnsi"/>
                <w:b/>
                <w:bCs/>
                <w:sz w:val="16"/>
                <w:szCs w:val="16"/>
                <w:lang w:val="en-US"/>
              </w:rPr>
              <w:t>Reverse primers 5’ ends are biotinylated</w:t>
            </w:r>
          </w:p>
          <w:p w14:paraId="4238BEA5" w14:textId="77777777" w:rsidR="00891682" w:rsidRPr="00D313A6" w:rsidRDefault="00891682" w:rsidP="006C23EA">
            <w:pPr>
              <w:spacing w:line="240" w:lineRule="auto"/>
              <w:jc w:val="both"/>
              <w:rPr>
                <w:rFonts w:cstheme="minorHAnsi"/>
                <w:sz w:val="16"/>
                <w:szCs w:val="16"/>
                <w:lang w:val="en-US"/>
              </w:rPr>
            </w:pPr>
            <w:r w:rsidRPr="00D313A6">
              <w:rPr>
                <w:rFonts w:cstheme="minorHAnsi"/>
                <w:b/>
                <w:bCs/>
                <w:sz w:val="16"/>
                <w:szCs w:val="16"/>
                <w:lang w:val="en-US"/>
              </w:rPr>
              <w:t xml:space="preserve">Probes are 5’ amine-C12 </w:t>
            </w:r>
          </w:p>
        </w:tc>
      </w:tr>
      <w:tr w:rsidR="00891682" w:rsidRPr="00C529E3" w14:paraId="0EA9B2D0" w14:textId="77777777" w:rsidTr="00FE4A75">
        <w:tc>
          <w:tcPr>
            <w:tcW w:w="1034" w:type="dxa"/>
          </w:tcPr>
          <w:p w14:paraId="2F00B024"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BKPyV</w:t>
            </w:r>
            <w:proofErr w:type="spellEnd"/>
          </w:p>
        </w:tc>
        <w:tc>
          <w:tcPr>
            <w:tcW w:w="5166" w:type="dxa"/>
          </w:tcPr>
          <w:p w14:paraId="48722D1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ACAGAGGTTATTGGAATAACTAG</w:t>
            </w:r>
          </w:p>
          <w:p w14:paraId="5F39C22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ACTCCCTGCATTTCCAAGGG</w:t>
            </w:r>
          </w:p>
          <w:p w14:paraId="45D9F50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CTTAACCTTCATGCAGGGTC</w:t>
            </w:r>
          </w:p>
        </w:tc>
        <w:tc>
          <w:tcPr>
            <w:tcW w:w="995" w:type="dxa"/>
            <w:vMerge w:val="restart"/>
            <w:vAlign w:val="center"/>
          </w:tcPr>
          <w:p w14:paraId="5599395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VP1</w:t>
            </w:r>
          </w:p>
        </w:tc>
        <w:tc>
          <w:tcPr>
            <w:tcW w:w="1731" w:type="dxa"/>
            <w:vMerge w:val="restart"/>
            <w:vAlign w:val="center"/>
          </w:tcPr>
          <w:p w14:paraId="7238F8B2" w14:textId="4D581E8C" w:rsidR="00891682" w:rsidRPr="00C529E3" w:rsidRDefault="00891682" w:rsidP="006C23EA">
            <w:pPr>
              <w:spacing w:line="240" w:lineRule="auto"/>
              <w:jc w:val="both"/>
              <w:rPr>
                <w:rFonts w:cstheme="minorHAnsi"/>
                <w:sz w:val="16"/>
                <w:szCs w:val="16"/>
              </w:rPr>
            </w:pPr>
            <w:r w:rsidRPr="00C529E3">
              <w:rPr>
                <w:rFonts w:cstheme="minorHAnsi"/>
                <w:sz w:val="16"/>
                <w:szCs w:val="16"/>
              </w:rPr>
              <w:fldChar w:fldCharType="begin" w:fldLock="1"/>
            </w:r>
            <w:r w:rsidR="00D313A6">
              <w:rPr>
                <w:rFonts w:cstheme="minorHAnsi"/>
                <w:sz w:val="16"/>
                <w:szCs w:val="16"/>
              </w:rPr>
              <w:instrText>ADDIN CSL_CITATION {"citationItems":[{"id":"ITEM-1","itemData":{"DOI":"10.1186/s12879-017-2479-5","ISBN":"1471-2334 (Electronic) 1471-2334 (Linking)","ISSN":"14712334","PMID":"28595595","abstract":"Background: In the past few years, eleven new human viruses have joined the two previously known members JCPyV and BKPyV of the Polyomaviridae family, by virtue of molecular methods. Serology data suggest that infections with human polyomaviruses (HPyVs) occur since childhood and the viruses are widespread in the general population. However, the viral persistence sites and transmission routes are by and large unknown. Our previous studies demonstrated that the four new HPyVs - KIPyV, WUPyV, MCPyV and TSPyV - were present in the tonsils, and suggested lymphoid tissue as a persistent site of these emerging human viruses. We developed a Luminex-based multiplex assay for simultaneous detection of all 13 HPyVs known, and explored their occurrence in tonsillar tissues of children and adults mostly with tonsillitis or tonsillar hypertrophy. Methods: We set up and validated a new Luminex-based multiplex assay by using primer pairs and probes targeting the respective HPyV viral protein 1 (VP1) genes. With this assay we tested 78 tonsillar tissues for DNAs of 13 HPyVs. Results: The multiplex assay allowed for simultaneous detection of 13 HPyVs with high analytical sensitivity and specificity, with detection limits of 100-102 copies per microliter, and identified correctly all 13 target sequences with no cross reactions. HPyV DNA altogether was found in 14 (17.9%) of 78 tonsils. The most prevalent HPyVs were HPyV6 (7.7%), TSPyV (3.8%) and WUPyV (3.8%). Mixed infection of two HPyVs occurred in one sample. Conclusions: The Luminex-based HPyV multiplex assay appears highly suitable for clinical diagnostic purposes and large-scale epidemiological studies. Additional evidence was acquired that the lymphoid system plays a role in HPyV infection and persistence. Thereby, shedding from this site during reactivation might take part in transmission of the newly found HPyVs.","author":[{"dropping-particle":"","family":"Sadeghi","given":"Mohammadreza","non-dropping-particle":"","parse-names":false,"suffix":""},{"dropping-particle":"","family":"Wang","given":"Yilin","non-dropping-particle":"","parse-names":false,"suffix":""},{"dropping-particle":"","family":"Ramqvist","given":"Torbjörn","non-dropping-particle":"","parse-names":false,"suffix":""},{"dropping-particle":"","family":"Aaltonen","given":"Leena Maija","non-dropping-particle":"","parse-names":false,"suffix":""},{"dropping-particle":"","family":"Pyöriä","given":"Lari","non-dropping-particle":"","parse-names":false,"suffix":""},{"dropping-particle":"","family":"Toppinen","given":"Mari","non-dropping-particle":"","parse-names":false,"suffix":""},{"dropping-particle":"","family":"Söderlund-Venermo","given":"Maria","non-dropping-particle":"","parse-names":false,"suffix":""},{"dropping-particle":"","family":"Hedman","given":"Klaus","non-dropping-particle":"","parse-names":false,"suffix":""}],"container-title":"BMC Infectious Diseases","id":"ITEM-1","issue":"1","issued":{"date-parts":[["2017"]]},"page":"1-8","publisher":"BMC Infectious Diseases","title":"Multiplex detection in tonsillar tissue of all known human polyomaviruses","type":"article-journal","volume":"17"},"uris":["http://www.mendeley.com/documents/?uuid=d627d4c6-cbed-4e62-918a-d9ab6042bc77"]}],"mendeley":{"formattedCitation":"[24]","plainTextFormattedCitation":"[24]","previouslyFormattedCitation":"(Sadeghi et al., 2017)"},"properties":{"noteIndex":0},"schema":"https://github.com/citation-style-language/schema/raw/master/csl-citation.json"}</w:instrText>
            </w:r>
            <w:r w:rsidRPr="00C529E3">
              <w:rPr>
                <w:rFonts w:cstheme="minorHAnsi"/>
                <w:sz w:val="16"/>
                <w:szCs w:val="16"/>
              </w:rPr>
              <w:fldChar w:fldCharType="separate"/>
            </w:r>
            <w:r w:rsidR="00D313A6" w:rsidRPr="00D313A6">
              <w:rPr>
                <w:rFonts w:cstheme="minorHAnsi"/>
                <w:noProof/>
                <w:sz w:val="16"/>
                <w:szCs w:val="16"/>
              </w:rPr>
              <w:t>[24]</w:t>
            </w:r>
            <w:r w:rsidRPr="00C529E3">
              <w:rPr>
                <w:rFonts w:cstheme="minorHAnsi"/>
                <w:sz w:val="16"/>
                <w:szCs w:val="16"/>
              </w:rPr>
              <w:fldChar w:fldCharType="end"/>
            </w:r>
          </w:p>
        </w:tc>
      </w:tr>
      <w:tr w:rsidR="00891682" w:rsidRPr="00C529E3" w14:paraId="3B058B75" w14:textId="77777777" w:rsidTr="00FE4A75">
        <w:tc>
          <w:tcPr>
            <w:tcW w:w="1034" w:type="dxa"/>
          </w:tcPr>
          <w:p w14:paraId="1F3D89A4"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JCPyV</w:t>
            </w:r>
            <w:proofErr w:type="spellEnd"/>
          </w:p>
        </w:tc>
        <w:tc>
          <w:tcPr>
            <w:tcW w:w="5166" w:type="dxa"/>
          </w:tcPr>
          <w:p w14:paraId="16D61546"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AATGAGGATCTAACCTGTGGAA</w:t>
            </w:r>
          </w:p>
          <w:p w14:paraId="2DFAD6D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lastRenderedPageBreak/>
              <w:t>CTGCACCATTGTCATGAGTTGCTTG</w:t>
            </w:r>
          </w:p>
          <w:p w14:paraId="0B113A6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ATGAATGTGCACTCTAATGG</w:t>
            </w:r>
          </w:p>
        </w:tc>
        <w:tc>
          <w:tcPr>
            <w:tcW w:w="995" w:type="dxa"/>
            <w:vMerge/>
          </w:tcPr>
          <w:p w14:paraId="2EFAF0D1" w14:textId="77777777" w:rsidR="00891682" w:rsidRPr="00C529E3" w:rsidRDefault="00891682" w:rsidP="006C23EA">
            <w:pPr>
              <w:spacing w:line="240" w:lineRule="auto"/>
              <w:jc w:val="both"/>
              <w:rPr>
                <w:rFonts w:cstheme="minorHAnsi"/>
                <w:sz w:val="16"/>
                <w:szCs w:val="16"/>
              </w:rPr>
            </w:pPr>
          </w:p>
        </w:tc>
        <w:tc>
          <w:tcPr>
            <w:tcW w:w="1731" w:type="dxa"/>
            <w:vMerge/>
          </w:tcPr>
          <w:p w14:paraId="6BF54283" w14:textId="77777777" w:rsidR="00891682" w:rsidRPr="00C529E3" w:rsidRDefault="00891682" w:rsidP="006C23EA">
            <w:pPr>
              <w:spacing w:line="240" w:lineRule="auto"/>
              <w:jc w:val="both"/>
              <w:rPr>
                <w:rFonts w:cstheme="minorHAnsi"/>
                <w:sz w:val="16"/>
                <w:szCs w:val="16"/>
              </w:rPr>
            </w:pPr>
          </w:p>
        </w:tc>
      </w:tr>
      <w:tr w:rsidR="00891682" w:rsidRPr="00C529E3" w14:paraId="64B518F9" w14:textId="77777777" w:rsidTr="00FE4A75">
        <w:tc>
          <w:tcPr>
            <w:tcW w:w="1034" w:type="dxa"/>
          </w:tcPr>
          <w:p w14:paraId="5EC3E8AF"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KIPyV</w:t>
            </w:r>
            <w:proofErr w:type="spellEnd"/>
          </w:p>
        </w:tc>
        <w:tc>
          <w:tcPr>
            <w:tcW w:w="5166" w:type="dxa"/>
          </w:tcPr>
          <w:p w14:paraId="1CC271F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TTGGATGAAAATGGCATTGG</w:t>
            </w:r>
          </w:p>
          <w:p w14:paraId="6A9AFC4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TAACCCTTCTTTGTCTAAAATGTAGCC</w:t>
            </w:r>
          </w:p>
          <w:p w14:paraId="56CC163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CTTGGAACAGCTAATAGTAGAATC</w:t>
            </w:r>
          </w:p>
        </w:tc>
        <w:tc>
          <w:tcPr>
            <w:tcW w:w="995" w:type="dxa"/>
            <w:vMerge/>
          </w:tcPr>
          <w:p w14:paraId="6E7C21B3" w14:textId="77777777" w:rsidR="00891682" w:rsidRPr="00C529E3" w:rsidRDefault="00891682" w:rsidP="006C23EA">
            <w:pPr>
              <w:spacing w:line="240" w:lineRule="auto"/>
              <w:jc w:val="both"/>
              <w:rPr>
                <w:rFonts w:cstheme="minorHAnsi"/>
                <w:sz w:val="16"/>
                <w:szCs w:val="16"/>
              </w:rPr>
            </w:pPr>
          </w:p>
        </w:tc>
        <w:tc>
          <w:tcPr>
            <w:tcW w:w="1731" w:type="dxa"/>
            <w:vMerge/>
          </w:tcPr>
          <w:p w14:paraId="2B25D04E" w14:textId="77777777" w:rsidR="00891682" w:rsidRPr="00C529E3" w:rsidRDefault="00891682" w:rsidP="006C23EA">
            <w:pPr>
              <w:spacing w:line="240" w:lineRule="auto"/>
              <w:jc w:val="both"/>
              <w:rPr>
                <w:rFonts w:cstheme="minorHAnsi"/>
                <w:sz w:val="16"/>
                <w:szCs w:val="16"/>
              </w:rPr>
            </w:pPr>
          </w:p>
        </w:tc>
      </w:tr>
      <w:tr w:rsidR="00891682" w:rsidRPr="00C529E3" w14:paraId="1A646755" w14:textId="77777777" w:rsidTr="00FE4A75">
        <w:tc>
          <w:tcPr>
            <w:tcW w:w="1034" w:type="dxa"/>
          </w:tcPr>
          <w:p w14:paraId="128C0418"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WUPyV</w:t>
            </w:r>
            <w:proofErr w:type="spellEnd"/>
          </w:p>
        </w:tc>
        <w:tc>
          <w:tcPr>
            <w:tcW w:w="5166" w:type="dxa"/>
          </w:tcPr>
          <w:p w14:paraId="2085B4F5"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TTGGATGAAAATGGCATTGG</w:t>
            </w:r>
          </w:p>
          <w:p w14:paraId="447BE33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TAACCCTTCTTTGTCTAAAATGTAGCC</w:t>
            </w:r>
          </w:p>
          <w:p w14:paraId="5FC9528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GAGTACATACAGGGCTTTCCAG</w:t>
            </w:r>
          </w:p>
        </w:tc>
        <w:tc>
          <w:tcPr>
            <w:tcW w:w="995" w:type="dxa"/>
            <w:vMerge/>
          </w:tcPr>
          <w:p w14:paraId="49700E29" w14:textId="77777777" w:rsidR="00891682" w:rsidRPr="00C529E3" w:rsidRDefault="00891682" w:rsidP="006C23EA">
            <w:pPr>
              <w:spacing w:line="240" w:lineRule="auto"/>
              <w:jc w:val="both"/>
              <w:rPr>
                <w:rFonts w:cstheme="minorHAnsi"/>
                <w:sz w:val="16"/>
                <w:szCs w:val="16"/>
              </w:rPr>
            </w:pPr>
          </w:p>
        </w:tc>
        <w:tc>
          <w:tcPr>
            <w:tcW w:w="1731" w:type="dxa"/>
            <w:vMerge/>
          </w:tcPr>
          <w:p w14:paraId="6ADC242B" w14:textId="77777777" w:rsidR="00891682" w:rsidRPr="00C529E3" w:rsidRDefault="00891682" w:rsidP="006C23EA">
            <w:pPr>
              <w:spacing w:line="240" w:lineRule="auto"/>
              <w:jc w:val="both"/>
              <w:rPr>
                <w:rFonts w:cstheme="minorHAnsi"/>
                <w:sz w:val="16"/>
                <w:szCs w:val="16"/>
              </w:rPr>
            </w:pPr>
          </w:p>
        </w:tc>
      </w:tr>
      <w:tr w:rsidR="00891682" w:rsidRPr="00C529E3" w14:paraId="6B5BB797" w14:textId="77777777" w:rsidTr="00FE4A75">
        <w:tc>
          <w:tcPr>
            <w:tcW w:w="1034" w:type="dxa"/>
          </w:tcPr>
          <w:p w14:paraId="18DCD5F6"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MCPyV</w:t>
            </w:r>
            <w:proofErr w:type="spellEnd"/>
          </w:p>
        </w:tc>
        <w:tc>
          <w:tcPr>
            <w:tcW w:w="5166" w:type="dxa"/>
          </w:tcPr>
          <w:p w14:paraId="6B090D0A"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TTCCATCTTTATCTAATTTTGCTT</w:t>
            </w:r>
          </w:p>
          <w:p w14:paraId="55462E3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AGGCCTAGTTTTAGATTACCAGAC</w:t>
            </w:r>
          </w:p>
          <w:p w14:paraId="00670DD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GTAATAGGCCCACCATTTGT</w:t>
            </w:r>
          </w:p>
        </w:tc>
        <w:tc>
          <w:tcPr>
            <w:tcW w:w="995" w:type="dxa"/>
            <w:vMerge/>
          </w:tcPr>
          <w:p w14:paraId="0C8B4E4C" w14:textId="77777777" w:rsidR="00891682" w:rsidRPr="00C529E3" w:rsidRDefault="00891682" w:rsidP="006C23EA">
            <w:pPr>
              <w:spacing w:line="240" w:lineRule="auto"/>
              <w:jc w:val="both"/>
              <w:rPr>
                <w:rFonts w:cstheme="minorHAnsi"/>
                <w:sz w:val="16"/>
                <w:szCs w:val="16"/>
              </w:rPr>
            </w:pPr>
          </w:p>
        </w:tc>
        <w:tc>
          <w:tcPr>
            <w:tcW w:w="1731" w:type="dxa"/>
            <w:vMerge/>
          </w:tcPr>
          <w:p w14:paraId="574774E1" w14:textId="77777777" w:rsidR="00891682" w:rsidRPr="00C529E3" w:rsidRDefault="00891682" w:rsidP="006C23EA">
            <w:pPr>
              <w:spacing w:line="240" w:lineRule="auto"/>
              <w:jc w:val="both"/>
              <w:rPr>
                <w:rFonts w:cstheme="minorHAnsi"/>
                <w:sz w:val="16"/>
                <w:szCs w:val="16"/>
              </w:rPr>
            </w:pPr>
          </w:p>
        </w:tc>
      </w:tr>
      <w:tr w:rsidR="00891682" w:rsidRPr="00C529E3" w14:paraId="3F0280C7" w14:textId="77777777" w:rsidTr="00FE4A75">
        <w:tc>
          <w:tcPr>
            <w:tcW w:w="1034" w:type="dxa"/>
          </w:tcPr>
          <w:p w14:paraId="389F00E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HPyV6</w:t>
            </w:r>
          </w:p>
        </w:tc>
        <w:tc>
          <w:tcPr>
            <w:tcW w:w="5166" w:type="dxa"/>
          </w:tcPr>
          <w:p w14:paraId="46F3AC0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TTGCTTCTGGATCCAATACTGC</w:t>
            </w:r>
          </w:p>
          <w:p w14:paraId="0D1ACB1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GGCCTCAGGAATTTCAGGCAA</w:t>
            </w:r>
          </w:p>
          <w:p w14:paraId="57EE806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TGGATGCTGGTTCATCTCTG</w:t>
            </w:r>
          </w:p>
        </w:tc>
        <w:tc>
          <w:tcPr>
            <w:tcW w:w="995" w:type="dxa"/>
            <w:vMerge/>
          </w:tcPr>
          <w:p w14:paraId="73C00491" w14:textId="77777777" w:rsidR="00891682" w:rsidRPr="00C529E3" w:rsidRDefault="00891682" w:rsidP="006C23EA">
            <w:pPr>
              <w:spacing w:line="240" w:lineRule="auto"/>
              <w:jc w:val="both"/>
              <w:rPr>
                <w:rFonts w:cstheme="minorHAnsi"/>
                <w:sz w:val="16"/>
                <w:szCs w:val="16"/>
              </w:rPr>
            </w:pPr>
          </w:p>
        </w:tc>
        <w:tc>
          <w:tcPr>
            <w:tcW w:w="1731" w:type="dxa"/>
            <w:vMerge/>
          </w:tcPr>
          <w:p w14:paraId="287C2E21" w14:textId="77777777" w:rsidR="00891682" w:rsidRPr="00C529E3" w:rsidRDefault="00891682" w:rsidP="006C23EA">
            <w:pPr>
              <w:spacing w:line="240" w:lineRule="auto"/>
              <w:jc w:val="both"/>
              <w:rPr>
                <w:rFonts w:cstheme="minorHAnsi"/>
                <w:sz w:val="16"/>
                <w:szCs w:val="16"/>
              </w:rPr>
            </w:pPr>
          </w:p>
        </w:tc>
      </w:tr>
      <w:tr w:rsidR="00891682" w:rsidRPr="00C529E3" w14:paraId="0E59CAE0" w14:textId="77777777" w:rsidTr="00FE4A75">
        <w:tc>
          <w:tcPr>
            <w:tcW w:w="1034" w:type="dxa"/>
          </w:tcPr>
          <w:p w14:paraId="5E13357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HPyV7</w:t>
            </w:r>
          </w:p>
        </w:tc>
        <w:tc>
          <w:tcPr>
            <w:tcW w:w="5166" w:type="dxa"/>
          </w:tcPr>
          <w:p w14:paraId="21F835D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AAGCAGCTACAACTGGGAACTT</w:t>
            </w:r>
          </w:p>
          <w:p w14:paraId="4A3701E7"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GGCCTCAGGAATTTCAGGCAA</w:t>
            </w:r>
          </w:p>
          <w:p w14:paraId="3B50D19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GCCTACCTTATCCTATGAGTG</w:t>
            </w:r>
          </w:p>
        </w:tc>
        <w:tc>
          <w:tcPr>
            <w:tcW w:w="995" w:type="dxa"/>
            <w:vMerge/>
          </w:tcPr>
          <w:p w14:paraId="26862D95" w14:textId="77777777" w:rsidR="00891682" w:rsidRPr="00C529E3" w:rsidRDefault="00891682" w:rsidP="006C23EA">
            <w:pPr>
              <w:spacing w:line="240" w:lineRule="auto"/>
              <w:jc w:val="both"/>
              <w:rPr>
                <w:rFonts w:cstheme="minorHAnsi"/>
                <w:sz w:val="16"/>
                <w:szCs w:val="16"/>
              </w:rPr>
            </w:pPr>
          </w:p>
        </w:tc>
        <w:tc>
          <w:tcPr>
            <w:tcW w:w="1731" w:type="dxa"/>
            <w:vMerge/>
          </w:tcPr>
          <w:p w14:paraId="048F73CA" w14:textId="77777777" w:rsidR="00891682" w:rsidRPr="00C529E3" w:rsidRDefault="00891682" w:rsidP="006C23EA">
            <w:pPr>
              <w:spacing w:line="240" w:lineRule="auto"/>
              <w:jc w:val="both"/>
              <w:rPr>
                <w:rFonts w:cstheme="minorHAnsi"/>
                <w:sz w:val="16"/>
                <w:szCs w:val="16"/>
              </w:rPr>
            </w:pPr>
          </w:p>
        </w:tc>
      </w:tr>
      <w:tr w:rsidR="00891682" w:rsidRPr="00C529E3" w14:paraId="7D821A25" w14:textId="77777777" w:rsidTr="00FE4A75">
        <w:tc>
          <w:tcPr>
            <w:tcW w:w="1034" w:type="dxa"/>
          </w:tcPr>
          <w:p w14:paraId="25C8B996" w14:textId="77777777" w:rsidR="00891682" w:rsidRPr="00C529E3" w:rsidRDefault="00891682" w:rsidP="006C23EA">
            <w:pPr>
              <w:spacing w:line="240" w:lineRule="auto"/>
              <w:jc w:val="both"/>
              <w:rPr>
                <w:rFonts w:cstheme="minorHAnsi"/>
                <w:sz w:val="16"/>
                <w:szCs w:val="16"/>
              </w:rPr>
            </w:pPr>
            <w:proofErr w:type="spellStart"/>
            <w:r w:rsidRPr="00C529E3">
              <w:rPr>
                <w:rFonts w:cstheme="minorHAnsi"/>
                <w:sz w:val="16"/>
                <w:szCs w:val="16"/>
              </w:rPr>
              <w:t>TSPyV</w:t>
            </w:r>
            <w:proofErr w:type="spellEnd"/>
          </w:p>
        </w:tc>
        <w:tc>
          <w:tcPr>
            <w:tcW w:w="5166" w:type="dxa"/>
          </w:tcPr>
          <w:p w14:paraId="20846A8A" w14:textId="77777777" w:rsidR="00891682" w:rsidRPr="00C529E3" w:rsidRDefault="00891682" w:rsidP="006C23EA">
            <w:pPr>
              <w:autoSpaceDE w:val="0"/>
              <w:autoSpaceDN w:val="0"/>
              <w:adjustRightInd w:val="0"/>
              <w:spacing w:line="240" w:lineRule="auto"/>
              <w:jc w:val="both"/>
              <w:rPr>
                <w:rFonts w:cstheme="minorHAnsi"/>
                <w:sz w:val="16"/>
                <w:szCs w:val="16"/>
              </w:rPr>
            </w:pPr>
            <w:r w:rsidRPr="00C529E3">
              <w:rPr>
                <w:rFonts w:cstheme="minorHAnsi"/>
                <w:sz w:val="16"/>
                <w:szCs w:val="16"/>
              </w:rPr>
              <w:t>AGAATGTATGATGACAAAGGTAT</w:t>
            </w:r>
          </w:p>
          <w:p w14:paraId="12F7E8B5" w14:textId="77777777" w:rsidR="00891682" w:rsidRPr="00C529E3" w:rsidRDefault="00891682" w:rsidP="006C23EA">
            <w:pPr>
              <w:autoSpaceDE w:val="0"/>
              <w:autoSpaceDN w:val="0"/>
              <w:adjustRightInd w:val="0"/>
              <w:spacing w:line="240" w:lineRule="auto"/>
              <w:jc w:val="both"/>
              <w:rPr>
                <w:rFonts w:cstheme="minorHAnsi"/>
                <w:sz w:val="16"/>
                <w:szCs w:val="16"/>
              </w:rPr>
            </w:pPr>
            <w:r w:rsidRPr="00C529E3">
              <w:rPr>
                <w:rFonts w:cstheme="minorHAnsi"/>
                <w:sz w:val="16"/>
                <w:szCs w:val="16"/>
              </w:rPr>
              <w:t>TCTGTAGTTTCCAGTTAGAAAC</w:t>
            </w:r>
          </w:p>
          <w:p w14:paraId="4BA7208D"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TGAGGGAATGAATTTCCATATGTT</w:t>
            </w:r>
          </w:p>
        </w:tc>
        <w:tc>
          <w:tcPr>
            <w:tcW w:w="995" w:type="dxa"/>
            <w:vMerge/>
          </w:tcPr>
          <w:p w14:paraId="65988EEC" w14:textId="77777777" w:rsidR="00891682" w:rsidRPr="00C529E3" w:rsidRDefault="00891682" w:rsidP="006C23EA">
            <w:pPr>
              <w:spacing w:line="240" w:lineRule="auto"/>
              <w:jc w:val="both"/>
              <w:rPr>
                <w:rFonts w:cstheme="minorHAnsi"/>
                <w:sz w:val="16"/>
                <w:szCs w:val="16"/>
              </w:rPr>
            </w:pPr>
          </w:p>
        </w:tc>
        <w:tc>
          <w:tcPr>
            <w:tcW w:w="1731" w:type="dxa"/>
            <w:vMerge/>
          </w:tcPr>
          <w:p w14:paraId="28AFDB70" w14:textId="77777777" w:rsidR="00891682" w:rsidRPr="00C529E3" w:rsidRDefault="00891682" w:rsidP="006C23EA">
            <w:pPr>
              <w:spacing w:line="240" w:lineRule="auto"/>
              <w:jc w:val="both"/>
              <w:rPr>
                <w:rFonts w:cstheme="minorHAnsi"/>
                <w:sz w:val="16"/>
                <w:szCs w:val="16"/>
              </w:rPr>
            </w:pPr>
          </w:p>
        </w:tc>
      </w:tr>
      <w:tr w:rsidR="00891682" w:rsidRPr="00C529E3" w14:paraId="3F9CDA89" w14:textId="77777777" w:rsidTr="00FE4A75">
        <w:tc>
          <w:tcPr>
            <w:tcW w:w="1034" w:type="dxa"/>
          </w:tcPr>
          <w:p w14:paraId="0332021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HPyV9</w:t>
            </w:r>
          </w:p>
        </w:tc>
        <w:tc>
          <w:tcPr>
            <w:tcW w:w="5166" w:type="dxa"/>
          </w:tcPr>
          <w:p w14:paraId="30860D2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ATCTATGGCTCATCCTCAGG</w:t>
            </w:r>
          </w:p>
          <w:p w14:paraId="21B2ABB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GTAGAGCTAGCAACTAGGCCT</w:t>
            </w:r>
          </w:p>
          <w:p w14:paraId="5E727E92"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AGTGCAGGGTACCACTCTC</w:t>
            </w:r>
          </w:p>
        </w:tc>
        <w:tc>
          <w:tcPr>
            <w:tcW w:w="995" w:type="dxa"/>
            <w:vMerge/>
          </w:tcPr>
          <w:p w14:paraId="696E80E0" w14:textId="77777777" w:rsidR="00891682" w:rsidRPr="00C529E3" w:rsidRDefault="00891682" w:rsidP="006C23EA">
            <w:pPr>
              <w:spacing w:line="240" w:lineRule="auto"/>
              <w:jc w:val="both"/>
              <w:rPr>
                <w:rFonts w:cstheme="minorHAnsi"/>
                <w:sz w:val="16"/>
                <w:szCs w:val="16"/>
              </w:rPr>
            </w:pPr>
          </w:p>
        </w:tc>
        <w:tc>
          <w:tcPr>
            <w:tcW w:w="1731" w:type="dxa"/>
            <w:vMerge/>
          </w:tcPr>
          <w:p w14:paraId="4F530969" w14:textId="77777777" w:rsidR="00891682" w:rsidRPr="00C529E3" w:rsidRDefault="00891682" w:rsidP="006C23EA">
            <w:pPr>
              <w:spacing w:line="240" w:lineRule="auto"/>
              <w:jc w:val="both"/>
              <w:rPr>
                <w:rFonts w:cstheme="minorHAnsi"/>
                <w:sz w:val="16"/>
                <w:szCs w:val="16"/>
              </w:rPr>
            </w:pPr>
          </w:p>
        </w:tc>
      </w:tr>
      <w:tr w:rsidR="00891682" w:rsidRPr="00C529E3" w14:paraId="17A4BD69" w14:textId="77777777" w:rsidTr="00FE4A75">
        <w:tc>
          <w:tcPr>
            <w:tcW w:w="1034" w:type="dxa"/>
          </w:tcPr>
          <w:p w14:paraId="7F7887FE"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HPyV10</w:t>
            </w:r>
          </w:p>
        </w:tc>
        <w:tc>
          <w:tcPr>
            <w:tcW w:w="5166" w:type="dxa"/>
          </w:tcPr>
          <w:p w14:paraId="4E060D64"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GTCCAGTTCCTACTAAAGTTCCT</w:t>
            </w:r>
          </w:p>
          <w:p w14:paraId="593C8161"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TACATCATTGCCCATCCTTGGTT</w:t>
            </w:r>
          </w:p>
          <w:p w14:paraId="013C4E1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GCCGGACACCACAATGACA</w:t>
            </w:r>
          </w:p>
        </w:tc>
        <w:tc>
          <w:tcPr>
            <w:tcW w:w="995" w:type="dxa"/>
            <w:vMerge/>
          </w:tcPr>
          <w:p w14:paraId="018C98C2" w14:textId="77777777" w:rsidR="00891682" w:rsidRPr="00C529E3" w:rsidRDefault="00891682" w:rsidP="006C23EA">
            <w:pPr>
              <w:spacing w:line="240" w:lineRule="auto"/>
              <w:jc w:val="both"/>
              <w:rPr>
                <w:rFonts w:cstheme="minorHAnsi"/>
                <w:sz w:val="16"/>
                <w:szCs w:val="16"/>
              </w:rPr>
            </w:pPr>
          </w:p>
        </w:tc>
        <w:tc>
          <w:tcPr>
            <w:tcW w:w="1731" w:type="dxa"/>
            <w:vMerge/>
          </w:tcPr>
          <w:p w14:paraId="09CCFA23" w14:textId="77777777" w:rsidR="00891682" w:rsidRPr="00C529E3" w:rsidRDefault="00891682" w:rsidP="006C23EA">
            <w:pPr>
              <w:spacing w:line="240" w:lineRule="auto"/>
              <w:jc w:val="both"/>
              <w:rPr>
                <w:rFonts w:cstheme="minorHAnsi"/>
                <w:sz w:val="16"/>
                <w:szCs w:val="16"/>
              </w:rPr>
            </w:pPr>
          </w:p>
        </w:tc>
      </w:tr>
      <w:tr w:rsidR="00891682" w:rsidRPr="00C529E3" w14:paraId="462E8D03" w14:textId="77777777" w:rsidTr="00FE4A75">
        <w:tc>
          <w:tcPr>
            <w:tcW w:w="1034" w:type="dxa"/>
          </w:tcPr>
          <w:p w14:paraId="2603222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HPyV11</w:t>
            </w:r>
          </w:p>
        </w:tc>
        <w:tc>
          <w:tcPr>
            <w:tcW w:w="5166" w:type="dxa"/>
          </w:tcPr>
          <w:p w14:paraId="614338EB"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TGAATATGATCCGTGCCAAA</w:t>
            </w:r>
          </w:p>
          <w:p w14:paraId="6AEB7306"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ACTGCATCAGGGCCTACTTG</w:t>
            </w:r>
          </w:p>
          <w:p w14:paraId="65A89D5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CCTCCTCCAACATGTGTTCC</w:t>
            </w:r>
          </w:p>
        </w:tc>
        <w:tc>
          <w:tcPr>
            <w:tcW w:w="995" w:type="dxa"/>
            <w:vMerge/>
          </w:tcPr>
          <w:p w14:paraId="10A93607" w14:textId="77777777" w:rsidR="00891682" w:rsidRPr="00C529E3" w:rsidRDefault="00891682" w:rsidP="006C23EA">
            <w:pPr>
              <w:spacing w:line="240" w:lineRule="auto"/>
              <w:jc w:val="both"/>
              <w:rPr>
                <w:rFonts w:cstheme="minorHAnsi"/>
                <w:sz w:val="16"/>
                <w:szCs w:val="16"/>
              </w:rPr>
            </w:pPr>
          </w:p>
        </w:tc>
        <w:tc>
          <w:tcPr>
            <w:tcW w:w="1731" w:type="dxa"/>
            <w:vMerge/>
          </w:tcPr>
          <w:p w14:paraId="468A6416" w14:textId="77777777" w:rsidR="00891682" w:rsidRPr="00C529E3" w:rsidRDefault="00891682" w:rsidP="006C23EA">
            <w:pPr>
              <w:spacing w:line="240" w:lineRule="auto"/>
              <w:jc w:val="both"/>
              <w:rPr>
                <w:rFonts w:cstheme="minorHAnsi"/>
                <w:sz w:val="16"/>
                <w:szCs w:val="16"/>
              </w:rPr>
            </w:pPr>
          </w:p>
        </w:tc>
      </w:tr>
      <w:tr w:rsidR="00891682" w:rsidRPr="00C529E3" w14:paraId="7F0A0170" w14:textId="77777777" w:rsidTr="00FE4A75">
        <w:tc>
          <w:tcPr>
            <w:tcW w:w="1034" w:type="dxa"/>
          </w:tcPr>
          <w:p w14:paraId="02E490F3"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HPyV12</w:t>
            </w:r>
          </w:p>
        </w:tc>
        <w:tc>
          <w:tcPr>
            <w:tcW w:w="5166" w:type="dxa"/>
          </w:tcPr>
          <w:p w14:paraId="15995A2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GTAATGGCACCCAAGAGGAA</w:t>
            </w:r>
          </w:p>
          <w:p w14:paraId="372338AC"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GGGGATTTAGAAAGGCCTCA</w:t>
            </w:r>
          </w:p>
          <w:p w14:paraId="5D41EE0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CCCAGCAGTGTCCCTAAATT</w:t>
            </w:r>
          </w:p>
        </w:tc>
        <w:tc>
          <w:tcPr>
            <w:tcW w:w="995" w:type="dxa"/>
            <w:vMerge/>
          </w:tcPr>
          <w:p w14:paraId="45568B8B" w14:textId="77777777" w:rsidR="00891682" w:rsidRPr="00C529E3" w:rsidRDefault="00891682" w:rsidP="006C23EA">
            <w:pPr>
              <w:spacing w:line="240" w:lineRule="auto"/>
              <w:jc w:val="both"/>
              <w:rPr>
                <w:rFonts w:cstheme="minorHAnsi"/>
                <w:sz w:val="16"/>
                <w:szCs w:val="16"/>
              </w:rPr>
            </w:pPr>
          </w:p>
        </w:tc>
        <w:tc>
          <w:tcPr>
            <w:tcW w:w="1731" w:type="dxa"/>
            <w:vMerge/>
          </w:tcPr>
          <w:p w14:paraId="24342206" w14:textId="77777777" w:rsidR="00891682" w:rsidRPr="00C529E3" w:rsidRDefault="00891682" w:rsidP="006C23EA">
            <w:pPr>
              <w:spacing w:line="240" w:lineRule="auto"/>
              <w:jc w:val="both"/>
              <w:rPr>
                <w:rFonts w:cstheme="minorHAnsi"/>
                <w:sz w:val="16"/>
                <w:szCs w:val="16"/>
              </w:rPr>
            </w:pPr>
          </w:p>
        </w:tc>
      </w:tr>
      <w:tr w:rsidR="00891682" w:rsidRPr="00C529E3" w14:paraId="1802DD5B" w14:textId="77777777" w:rsidTr="00FE4A75">
        <w:tc>
          <w:tcPr>
            <w:tcW w:w="1034" w:type="dxa"/>
          </w:tcPr>
          <w:p w14:paraId="3DE62DE8"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HPyV13</w:t>
            </w:r>
          </w:p>
        </w:tc>
        <w:tc>
          <w:tcPr>
            <w:tcW w:w="5166" w:type="dxa"/>
          </w:tcPr>
          <w:p w14:paraId="427BFFD0"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TGTGTGCCAAAGAAGTGTCCT</w:t>
            </w:r>
          </w:p>
          <w:p w14:paraId="2A11A2EF"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TCTGTCACCTGTTGGAGCATT</w:t>
            </w:r>
          </w:p>
          <w:p w14:paraId="01A47289" w14:textId="77777777" w:rsidR="00891682" w:rsidRPr="00C529E3" w:rsidRDefault="00891682" w:rsidP="006C23EA">
            <w:pPr>
              <w:spacing w:line="240" w:lineRule="auto"/>
              <w:jc w:val="both"/>
              <w:rPr>
                <w:rFonts w:cstheme="minorHAnsi"/>
                <w:sz w:val="16"/>
                <w:szCs w:val="16"/>
              </w:rPr>
            </w:pPr>
            <w:r w:rsidRPr="00C529E3">
              <w:rPr>
                <w:rFonts w:cstheme="minorHAnsi"/>
                <w:sz w:val="16"/>
                <w:szCs w:val="16"/>
              </w:rPr>
              <w:t>CTGATGCTACTACTGAAATTGAA</w:t>
            </w:r>
          </w:p>
        </w:tc>
        <w:tc>
          <w:tcPr>
            <w:tcW w:w="995" w:type="dxa"/>
            <w:vMerge/>
          </w:tcPr>
          <w:p w14:paraId="1CCA9EBB" w14:textId="77777777" w:rsidR="00891682" w:rsidRPr="00C529E3" w:rsidRDefault="00891682" w:rsidP="006C23EA">
            <w:pPr>
              <w:spacing w:line="240" w:lineRule="auto"/>
              <w:jc w:val="both"/>
              <w:rPr>
                <w:rFonts w:cstheme="minorHAnsi"/>
                <w:sz w:val="16"/>
                <w:szCs w:val="16"/>
              </w:rPr>
            </w:pPr>
          </w:p>
        </w:tc>
        <w:tc>
          <w:tcPr>
            <w:tcW w:w="1731" w:type="dxa"/>
            <w:vMerge/>
          </w:tcPr>
          <w:p w14:paraId="24381ED0" w14:textId="77777777" w:rsidR="00891682" w:rsidRPr="00C529E3" w:rsidRDefault="00891682" w:rsidP="006C23EA">
            <w:pPr>
              <w:spacing w:line="240" w:lineRule="auto"/>
              <w:jc w:val="both"/>
              <w:rPr>
                <w:rFonts w:cstheme="minorHAnsi"/>
                <w:sz w:val="16"/>
                <w:szCs w:val="16"/>
              </w:rPr>
            </w:pPr>
          </w:p>
        </w:tc>
      </w:tr>
    </w:tbl>
    <w:p w14:paraId="40F2A857" w14:textId="77777777" w:rsidR="00891682" w:rsidRPr="006E120F" w:rsidRDefault="00891682" w:rsidP="00891682">
      <w:pPr>
        <w:rPr>
          <w:sz w:val="18"/>
          <w:szCs w:val="18"/>
        </w:rPr>
      </w:pPr>
      <w:r>
        <w:rPr>
          <w:sz w:val="16"/>
          <w:szCs w:val="16"/>
        </w:rPr>
        <w:t>*</w:t>
      </w:r>
      <w:proofErr w:type="spellStart"/>
      <w:r>
        <w:rPr>
          <w:sz w:val="16"/>
          <w:szCs w:val="16"/>
        </w:rPr>
        <w:t>Locked</w:t>
      </w:r>
      <w:proofErr w:type="spellEnd"/>
      <w:r>
        <w:rPr>
          <w:sz w:val="16"/>
          <w:szCs w:val="16"/>
        </w:rPr>
        <w:t xml:space="preserve"> </w:t>
      </w:r>
      <w:proofErr w:type="spellStart"/>
      <w:r>
        <w:rPr>
          <w:sz w:val="16"/>
          <w:szCs w:val="16"/>
        </w:rPr>
        <w:t>nucleic</w:t>
      </w:r>
      <w:proofErr w:type="spellEnd"/>
      <w:r>
        <w:rPr>
          <w:sz w:val="16"/>
          <w:szCs w:val="16"/>
        </w:rPr>
        <w:t xml:space="preserve"> </w:t>
      </w:r>
      <w:proofErr w:type="spellStart"/>
      <w:r>
        <w:rPr>
          <w:sz w:val="16"/>
          <w:szCs w:val="16"/>
        </w:rPr>
        <w:t>acids</w:t>
      </w:r>
      <w:proofErr w:type="spellEnd"/>
      <w:r>
        <w:rPr>
          <w:sz w:val="16"/>
          <w:szCs w:val="16"/>
        </w:rPr>
        <w:t xml:space="preserve"> </w:t>
      </w:r>
      <w:proofErr w:type="spellStart"/>
      <w:r>
        <w:rPr>
          <w:sz w:val="16"/>
          <w:szCs w:val="16"/>
        </w:rPr>
        <w:t>are</w:t>
      </w:r>
      <w:proofErr w:type="spellEnd"/>
      <w:r>
        <w:rPr>
          <w:sz w:val="16"/>
          <w:szCs w:val="16"/>
        </w:rPr>
        <w:t xml:space="preserve"> inside </w:t>
      </w:r>
      <w:proofErr w:type="spellStart"/>
      <w:r>
        <w:rPr>
          <w:sz w:val="16"/>
          <w:szCs w:val="16"/>
        </w:rPr>
        <w:t>brackets</w:t>
      </w:r>
      <w:proofErr w:type="spellEnd"/>
      <w:r>
        <w:rPr>
          <w:sz w:val="16"/>
          <w:szCs w:val="16"/>
        </w:rPr>
        <w:t>.</w:t>
      </w:r>
    </w:p>
    <w:p w14:paraId="3830DD3F" w14:textId="77777777" w:rsidR="00891682" w:rsidRDefault="00891682" w:rsidP="00891682"/>
    <w:p w14:paraId="45A48E8E" w14:textId="77777777" w:rsidR="00891682" w:rsidRPr="00D648E0" w:rsidRDefault="00891682" w:rsidP="00891682">
      <w:pPr>
        <w:pStyle w:val="Otsikko1"/>
        <w:jc w:val="both"/>
      </w:pPr>
      <w:r w:rsidRPr="00D648E0">
        <w:lastRenderedPageBreak/>
        <w:t xml:space="preserve">Supplemental </w:t>
      </w:r>
      <w:proofErr w:type="spellStart"/>
      <w:r w:rsidRPr="00D648E0">
        <w:t>Figures</w:t>
      </w:r>
      <w:proofErr w:type="spellEnd"/>
    </w:p>
    <w:p w14:paraId="54FDC12A" w14:textId="77777777" w:rsidR="00891682" w:rsidRDefault="00891682" w:rsidP="00891682">
      <w:pPr>
        <w:jc w:val="both"/>
      </w:pPr>
      <w:r>
        <w:rPr>
          <w:noProof/>
          <w:lang w:eastAsia="fi-FI"/>
        </w:rPr>
        <w:t xml:space="preserve"> </w:t>
      </w:r>
      <w:r>
        <w:rPr>
          <w:noProof/>
          <w:lang w:eastAsia="fi-FI"/>
        </w:rPr>
        <w:drawing>
          <wp:inline distT="0" distB="0" distL="0" distR="0" wp14:anchorId="67DA6CD6" wp14:editId="418E3E82">
            <wp:extent cx="6120600" cy="6997326"/>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600" cy="6997326"/>
                    </a:xfrm>
                    <a:prstGeom prst="rect">
                      <a:avLst/>
                    </a:prstGeom>
                  </pic:spPr>
                </pic:pic>
              </a:graphicData>
            </a:graphic>
          </wp:inline>
        </w:drawing>
      </w:r>
    </w:p>
    <w:p w14:paraId="25E85176" w14:textId="77777777" w:rsidR="00891682" w:rsidRDefault="00891682" w:rsidP="00891682">
      <w:pPr>
        <w:jc w:val="both"/>
      </w:pPr>
    </w:p>
    <w:p w14:paraId="5C89D03E" w14:textId="77777777" w:rsidR="00891682" w:rsidRDefault="00891682" w:rsidP="00891682">
      <w:pPr>
        <w:jc w:val="both"/>
      </w:pPr>
    </w:p>
    <w:p w14:paraId="2E06B317" w14:textId="77777777" w:rsidR="00891682" w:rsidRDefault="00891682" w:rsidP="00891682">
      <w:pPr>
        <w:jc w:val="both"/>
      </w:pPr>
    </w:p>
    <w:p w14:paraId="521147A8" w14:textId="77777777" w:rsidR="00891682" w:rsidRDefault="00891682" w:rsidP="00891682">
      <w:pPr>
        <w:jc w:val="both"/>
      </w:pPr>
      <w:r>
        <w:rPr>
          <w:noProof/>
          <w:lang w:eastAsia="fi-FI"/>
        </w:rPr>
        <w:drawing>
          <wp:inline distT="0" distB="0" distL="0" distR="0" wp14:anchorId="0900E93B" wp14:editId="03003469">
            <wp:extent cx="6347666" cy="7313679"/>
            <wp:effectExtent l="0" t="0" r="0"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7666" cy="7313679"/>
                    </a:xfrm>
                    <a:prstGeom prst="rect">
                      <a:avLst/>
                    </a:prstGeom>
                  </pic:spPr>
                </pic:pic>
              </a:graphicData>
            </a:graphic>
          </wp:inline>
        </w:drawing>
      </w:r>
    </w:p>
    <w:p w14:paraId="7BF6CAC0" w14:textId="77777777" w:rsidR="00891682" w:rsidRDefault="00891682" w:rsidP="00891682">
      <w:pPr>
        <w:jc w:val="both"/>
      </w:pPr>
      <w:r>
        <w:rPr>
          <w:noProof/>
          <w:lang w:eastAsia="fi-FI"/>
        </w:rPr>
        <w:lastRenderedPageBreak/>
        <w:drawing>
          <wp:inline distT="0" distB="0" distL="0" distR="0" wp14:anchorId="39E7478F" wp14:editId="78B10141">
            <wp:extent cx="6120130" cy="494092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940927"/>
                    </a:xfrm>
                    <a:prstGeom prst="rect">
                      <a:avLst/>
                    </a:prstGeom>
                  </pic:spPr>
                </pic:pic>
              </a:graphicData>
            </a:graphic>
          </wp:inline>
        </w:drawing>
      </w:r>
    </w:p>
    <w:p w14:paraId="45CD15F8" w14:textId="77777777" w:rsidR="00891682" w:rsidRPr="00D648E0" w:rsidRDefault="00891682" w:rsidP="00891682">
      <w:pPr>
        <w:jc w:val="both"/>
      </w:pPr>
      <w:r>
        <w:rPr>
          <w:noProof/>
          <w:lang w:eastAsia="fi-FI"/>
        </w:rPr>
        <w:lastRenderedPageBreak/>
        <w:drawing>
          <wp:inline distT="0" distB="0" distL="0" distR="0" wp14:anchorId="398A1652" wp14:editId="01871D70">
            <wp:extent cx="6120130" cy="4780211"/>
            <wp:effectExtent l="0" t="0" r="0" b="190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780211"/>
                    </a:xfrm>
                    <a:prstGeom prst="rect">
                      <a:avLst/>
                    </a:prstGeom>
                  </pic:spPr>
                </pic:pic>
              </a:graphicData>
            </a:graphic>
          </wp:inline>
        </w:drawing>
      </w:r>
    </w:p>
    <w:p w14:paraId="67D0AC6C" w14:textId="77777777" w:rsidR="00891682" w:rsidRPr="00D648E0" w:rsidRDefault="00891682" w:rsidP="00891682">
      <w:pPr>
        <w:jc w:val="both"/>
      </w:pPr>
    </w:p>
    <w:p w14:paraId="4B73A990" w14:textId="77777777" w:rsidR="00891682" w:rsidRPr="00FA4565" w:rsidRDefault="00891682" w:rsidP="00891682">
      <w:pPr>
        <w:pStyle w:val="Kuvaotsikko"/>
        <w:jc w:val="both"/>
        <w:rPr>
          <w:rFonts w:cs="Arial"/>
          <w:sz w:val="16"/>
          <w:szCs w:val="16"/>
          <w:lang w:val="en-US"/>
        </w:rPr>
      </w:pPr>
      <w:r w:rsidRPr="00802888">
        <w:rPr>
          <w:rFonts w:cs="Arial"/>
          <w:sz w:val="16"/>
          <w:szCs w:val="16"/>
        </w:rPr>
        <w:t xml:space="preserve">Supplemental </w:t>
      </w:r>
      <w:proofErr w:type="spellStart"/>
      <w:r w:rsidRPr="00802888">
        <w:rPr>
          <w:rFonts w:cs="Arial"/>
          <w:sz w:val="16"/>
          <w:szCs w:val="16"/>
        </w:rPr>
        <w:t>Figure</w:t>
      </w:r>
      <w:proofErr w:type="spellEnd"/>
      <w:r w:rsidRPr="00802888">
        <w:rPr>
          <w:rFonts w:cs="Arial"/>
          <w:sz w:val="16"/>
          <w:szCs w:val="16"/>
        </w:rPr>
        <w:t xml:space="preserve"> 1.Viral DNA </w:t>
      </w:r>
      <w:proofErr w:type="spellStart"/>
      <w:r w:rsidRPr="00802888">
        <w:rPr>
          <w:rFonts w:cs="Arial"/>
          <w:sz w:val="16"/>
          <w:szCs w:val="16"/>
        </w:rPr>
        <w:t>prevalences</w:t>
      </w:r>
      <w:proofErr w:type="spellEnd"/>
      <w:r w:rsidRPr="00802888">
        <w:rPr>
          <w:rFonts w:cs="Arial"/>
          <w:sz w:val="16"/>
          <w:szCs w:val="16"/>
        </w:rPr>
        <w:t xml:space="preserve"> and </w:t>
      </w:r>
      <w:proofErr w:type="spellStart"/>
      <w:r w:rsidRPr="00802888">
        <w:rPr>
          <w:rFonts w:cs="Arial"/>
          <w:sz w:val="16"/>
          <w:szCs w:val="16"/>
        </w:rPr>
        <w:t>quantities</w:t>
      </w:r>
      <w:proofErr w:type="spellEnd"/>
      <w:r w:rsidRPr="00802888">
        <w:rPr>
          <w:rFonts w:cs="Arial"/>
          <w:sz w:val="16"/>
          <w:szCs w:val="16"/>
        </w:rPr>
        <w:t xml:space="preserve">. </w:t>
      </w:r>
      <w:proofErr w:type="spellStart"/>
      <w:r w:rsidRPr="00802888">
        <w:rPr>
          <w:rFonts w:cs="Arial"/>
          <w:sz w:val="16"/>
          <w:szCs w:val="16"/>
        </w:rPr>
        <w:t>Viral</w:t>
      </w:r>
      <w:proofErr w:type="spellEnd"/>
      <w:r w:rsidRPr="00802888">
        <w:rPr>
          <w:rFonts w:cs="Arial"/>
          <w:sz w:val="16"/>
          <w:szCs w:val="16"/>
        </w:rPr>
        <w:t xml:space="preserve"> </w:t>
      </w:r>
      <w:proofErr w:type="spellStart"/>
      <w:r w:rsidRPr="00802888">
        <w:rPr>
          <w:rFonts w:cs="Arial"/>
          <w:sz w:val="16"/>
          <w:szCs w:val="16"/>
        </w:rPr>
        <w:t>prevalence</w:t>
      </w:r>
      <w:proofErr w:type="spellEnd"/>
      <w:r w:rsidRPr="00802888">
        <w:rPr>
          <w:rFonts w:cs="Arial"/>
          <w:sz w:val="16"/>
          <w:szCs w:val="16"/>
        </w:rPr>
        <w:t xml:space="preserve"> in </w:t>
      </w:r>
      <w:proofErr w:type="spellStart"/>
      <w:r w:rsidRPr="00802888">
        <w:rPr>
          <w:rFonts w:cs="Arial"/>
          <w:sz w:val="16"/>
          <w:szCs w:val="16"/>
        </w:rPr>
        <w:t>the</w:t>
      </w:r>
      <w:proofErr w:type="spellEnd"/>
      <w:r w:rsidRPr="00802888">
        <w:rPr>
          <w:rFonts w:cs="Arial"/>
          <w:sz w:val="16"/>
          <w:szCs w:val="16"/>
        </w:rPr>
        <w:t xml:space="preserve"> </w:t>
      </w:r>
      <w:proofErr w:type="spellStart"/>
      <w:r w:rsidRPr="00802888">
        <w:rPr>
          <w:rFonts w:cs="Arial"/>
          <w:sz w:val="16"/>
          <w:szCs w:val="16"/>
        </w:rPr>
        <w:t>body</w:t>
      </w:r>
      <w:proofErr w:type="spellEnd"/>
      <w:r w:rsidRPr="00802888">
        <w:rPr>
          <w:rFonts w:cs="Arial"/>
          <w:sz w:val="16"/>
          <w:szCs w:val="16"/>
        </w:rPr>
        <w:t xml:space="preserve"> (top) and in </w:t>
      </w:r>
      <w:proofErr w:type="spellStart"/>
      <w:r w:rsidRPr="00802888">
        <w:rPr>
          <w:rFonts w:cs="Arial"/>
          <w:sz w:val="16"/>
          <w:szCs w:val="16"/>
        </w:rPr>
        <w:t>different</w:t>
      </w:r>
      <w:proofErr w:type="spellEnd"/>
      <w:r w:rsidRPr="00802888">
        <w:rPr>
          <w:rFonts w:cs="Arial"/>
          <w:sz w:val="16"/>
          <w:szCs w:val="16"/>
        </w:rPr>
        <w:t xml:space="preserve"> </w:t>
      </w:r>
      <w:proofErr w:type="spellStart"/>
      <w:r w:rsidRPr="00802888">
        <w:rPr>
          <w:rFonts w:cs="Arial"/>
          <w:sz w:val="16"/>
          <w:szCs w:val="16"/>
        </w:rPr>
        <w:t>organs</w:t>
      </w:r>
      <w:proofErr w:type="spellEnd"/>
      <w:r w:rsidRPr="00802888">
        <w:rPr>
          <w:rFonts w:cs="Arial"/>
          <w:sz w:val="16"/>
          <w:szCs w:val="16"/>
        </w:rPr>
        <w:t xml:space="preserve"> </w:t>
      </w:r>
      <w:proofErr w:type="spellStart"/>
      <w:r w:rsidRPr="00802888">
        <w:rPr>
          <w:rFonts w:cs="Arial"/>
          <w:sz w:val="16"/>
          <w:szCs w:val="16"/>
        </w:rPr>
        <w:t>determined</w:t>
      </w:r>
      <w:proofErr w:type="spellEnd"/>
      <w:r w:rsidRPr="00802888">
        <w:rPr>
          <w:rFonts w:cs="Arial"/>
          <w:sz w:val="16"/>
          <w:szCs w:val="16"/>
        </w:rPr>
        <w:t xml:space="preserve"> </w:t>
      </w:r>
      <w:proofErr w:type="spellStart"/>
      <w:r w:rsidRPr="00802888">
        <w:rPr>
          <w:rFonts w:cs="Arial"/>
          <w:sz w:val="16"/>
          <w:szCs w:val="16"/>
        </w:rPr>
        <w:t>by</w:t>
      </w:r>
      <w:proofErr w:type="spellEnd"/>
      <w:r w:rsidRPr="00802888">
        <w:rPr>
          <w:rFonts w:cs="Arial"/>
          <w:sz w:val="16"/>
          <w:szCs w:val="16"/>
        </w:rPr>
        <w:t xml:space="preserve"> </w:t>
      </w:r>
      <w:proofErr w:type="spellStart"/>
      <w:r w:rsidRPr="00802888">
        <w:rPr>
          <w:rFonts w:cs="Arial"/>
          <w:sz w:val="16"/>
          <w:szCs w:val="16"/>
        </w:rPr>
        <w:t>qPCR</w:t>
      </w:r>
      <w:proofErr w:type="spellEnd"/>
      <w:r w:rsidRPr="00802888">
        <w:rPr>
          <w:rFonts w:cs="Arial"/>
          <w:sz w:val="16"/>
          <w:szCs w:val="16"/>
        </w:rPr>
        <w:t xml:space="preserve"> and NGS, and </w:t>
      </w:r>
      <w:proofErr w:type="spellStart"/>
      <w:r w:rsidRPr="00802888">
        <w:rPr>
          <w:rFonts w:cs="Arial"/>
          <w:sz w:val="16"/>
          <w:szCs w:val="16"/>
        </w:rPr>
        <w:t>quantities</w:t>
      </w:r>
      <w:proofErr w:type="spellEnd"/>
      <w:r w:rsidRPr="00802888">
        <w:rPr>
          <w:rFonts w:cs="Arial"/>
          <w:sz w:val="16"/>
          <w:szCs w:val="16"/>
        </w:rPr>
        <w:t xml:space="preserve"> </w:t>
      </w:r>
      <w:proofErr w:type="spellStart"/>
      <w:r w:rsidRPr="00802888">
        <w:rPr>
          <w:rFonts w:cs="Arial"/>
          <w:sz w:val="16"/>
          <w:szCs w:val="16"/>
        </w:rPr>
        <w:t>by</w:t>
      </w:r>
      <w:proofErr w:type="spellEnd"/>
      <w:r w:rsidRPr="00802888">
        <w:rPr>
          <w:rFonts w:cs="Arial"/>
          <w:sz w:val="16"/>
          <w:szCs w:val="16"/>
        </w:rPr>
        <w:t xml:space="preserve"> </w:t>
      </w:r>
      <w:proofErr w:type="spellStart"/>
      <w:r w:rsidRPr="00802888">
        <w:rPr>
          <w:rFonts w:cs="Arial"/>
          <w:sz w:val="16"/>
          <w:szCs w:val="16"/>
        </w:rPr>
        <w:t>qPCR</w:t>
      </w:r>
      <w:proofErr w:type="spellEnd"/>
      <w:r w:rsidRPr="00802888">
        <w:rPr>
          <w:rFonts w:cs="Arial"/>
          <w:sz w:val="16"/>
          <w:szCs w:val="16"/>
        </w:rPr>
        <w:t xml:space="preserve">. </w:t>
      </w:r>
      <w:proofErr w:type="spellStart"/>
      <w:r w:rsidRPr="00802888">
        <w:rPr>
          <w:rFonts w:cs="Arial"/>
          <w:sz w:val="16"/>
          <w:szCs w:val="16"/>
        </w:rPr>
        <w:t>Quantities</w:t>
      </w:r>
      <w:proofErr w:type="spellEnd"/>
      <w:r w:rsidRPr="00802888">
        <w:rPr>
          <w:rFonts w:cs="Arial"/>
          <w:sz w:val="16"/>
          <w:szCs w:val="16"/>
        </w:rPr>
        <w:t xml:space="preserve"> of a virus </w:t>
      </w:r>
      <w:proofErr w:type="spellStart"/>
      <w:r w:rsidRPr="00802888">
        <w:rPr>
          <w:rFonts w:cs="Arial"/>
          <w:sz w:val="16"/>
          <w:szCs w:val="16"/>
        </w:rPr>
        <w:t>shown</w:t>
      </w:r>
      <w:proofErr w:type="spellEnd"/>
      <w:r w:rsidRPr="00802888">
        <w:rPr>
          <w:rFonts w:cs="Arial"/>
          <w:sz w:val="16"/>
          <w:szCs w:val="16"/>
        </w:rPr>
        <w:t xml:space="preserve"> </w:t>
      </w:r>
      <w:proofErr w:type="spellStart"/>
      <w:r w:rsidRPr="00802888">
        <w:rPr>
          <w:rFonts w:cs="Arial"/>
          <w:sz w:val="16"/>
          <w:szCs w:val="16"/>
        </w:rPr>
        <w:t>if</w:t>
      </w:r>
      <w:proofErr w:type="spellEnd"/>
      <w:r w:rsidRPr="00802888">
        <w:rPr>
          <w:rFonts w:cs="Arial"/>
          <w:sz w:val="16"/>
          <w:szCs w:val="16"/>
        </w:rPr>
        <w:t xml:space="preserve"> at </w:t>
      </w:r>
      <w:proofErr w:type="spellStart"/>
      <w:r w:rsidRPr="00802888">
        <w:rPr>
          <w:rFonts w:cs="Arial"/>
          <w:sz w:val="16"/>
          <w:szCs w:val="16"/>
        </w:rPr>
        <w:t>least</w:t>
      </w:r>
      <w:proofErr w:type="spellEnd"/>
      <w:r w:rsidRPr="00802888">
        <w:rPr>
          <w:rFonts w:cs="Arial"/>
          <w:sz w:val="16"/>
          <w:szCs w:val="16"/>
        </w:rPr>
        <w:t xml:space="preserve"> 5 </w:t>
      </w:r>
      <w:proofErr w:type="spellStart"/>
      <w:r w:rsidRPr="00802888">
        <w:rPr>
          <w:rFonts w:cs="Arial"/>
          <w:sz w:val="16"/>
          <w:szCs w:val="16"/>
        </w:rPr>
        <w:t>positive</w:t>
      </w:r>
      <w:proofErr w:type="spellEnd"/>
      <w:r w:rsidRPr="00802888">
        <w:rPr>
          <w:rFonts w:cs="Arial"/>
          <w:sz w:val="16"/>
          <w:szCs w:val="16"/>
        </w:rPr>
        <w:t xml:space="preserve"> </w:t>
      </w:r>
      <w:proofErr w:type="spellStart"/>
      <w:r w:rsidRPr="00802888">
        <w:rPr>
          <w:rFonts w:cs="Arial"/>
          <w:sz w:val="16"/>
          <w:szCs w:val="16"/>
        </w:rPr>
        <w:t>samples</w:t>
      </w:r>
      <w:proofErr w:type="spellEnd"/>
      <w:r w:rsidRPr="00802888">
        <w:rPr>
          <w:rFonts w:cs="Arial"/>
          <w:sz w:val="16"/>
          <w:szCs w:val="16"/>
        </w:rPr>
        <w:t xml:space="preserve"> in a </w:t>
      </w:r>
      <w:proofErr w:type="spellStart"/>
      <w:r w:rsidRPr="00802888">
        <w:rPr>
          <w:rFonts w:cs="Arial"/>
          <w:sz w:val="16"/>
          <w:szCs w:val="16"/>
        </w:rPr>
        <w:t>given</w:t>
      </w:r>
      <w:proofErr w:type="spellEnd"/>
      <w:r w:rsidRPr="00802888">
        <w:rPr>
          <w:rFonts w:cs="Arial"/>
          <w:sz w:val="16"/>
          <w:szCs w:val="16"/>
        </w:rPr>
        <w:t xml:space="preserve"> </w:t>
      </w:r>
      <w:proofErr w:type="spellStart"/>
      <w:r w:rsidRPr="00802888">
        <w:rPr>
          <w:rFonts w:cs="Arial"/>
          <w:sz w:val="16"/>
          <w:szCs w:val="16"/>
        </w:rPr>
        <w:t>organ</w:t>
      </w:r>
      <w:proofErr w:type="spellEnd"/>
      <w:r w:rsidRPr="00802888">
        <w:rPr>
          <w:rFonts w:cs="Arial"/>
          <w:sz w:val="16"/>
          <w:szCs w:val="16"/>
        </w:rPr>
        <w:t xml:space="preserve">.  </w:t>
      </w:r>
      <w:proofErr w:type="spellStart"/>
      <w:r w:rsidRPr="00802888">
        <w:rPr>
          <w:rFonts w:cs="Arial"/>
          <w:sz w:val="16"/>
          <w:szCs w:val="16"/>
        </w:rPr>
        <w:t>Error</w:t>
      </w:r>
      <w:proofErr w:type="spellEnd"/>
      <w:r w:rsidRPr="00802888">
        <w:rPr>
          <w:rFonts w:cs="Arial"/>
          <w:sz w:val="16"/>
          <w:szCs w:val="16"/>
        </w:rPr>
        <w:t xml:space="preserve"> </w:t>
      </w:r>
      <w:proofErr w:type="spellStart"/>
      <w:r w:rsidRPr="00802888">
        <w:rPr>
          <w:rFonts w:cs="Arial"/>
          <w:sz w:val="16"/>
          <w:szCs w:val="16"/>
        </w:rPr>
        <w:t>bars</w:t>
      </w:r>
      <w:proofErr w:type="spellEnd"/>
      <w:r w:rsidRPr="00802888">
        <w:rPr>
          <w:rFonts w:cs="Arial"/>
          <w:sz w:val="16"/>
          <w:szCs w:val="16"/>
        </w:rPr>
        <w:t xml:space="preserve"> </w:t>
      </w:r>
      <w:proofErr w:type="spellStart"/>
      <w:r w:rsidRPr="00802888">
        <w:rPr>
          <w:rFonts w:cs="Arial"/>
          <w:sz w:val="16"/>
          <w:szCs w:val="16"/>
        </w:rPr>
        <w:t>represent</w:t>
      </w:r>
      <w:proofErr w:type="spellEnd"/>
      <w:r w:rsidRPr="00802888">
        <w:rPr>
          <w:rFonts w:cs="Arial"/>
          <w:sz w:val="16"/>
          <w:szCs w:val="16"/>
        </w:rPr>
        <w:t xml:space="preserve"> </w:t>
      </w:r>
      <w:proofErr w:type="gramStart"/>
      <w:r w:rsidRPr="00802888">
        <w:rPr>
          <w:rFonts w:cs="Arial"/>
          <w:sz w:val="16"/>
          <w:szCs w:val="16"/>
        </w:rPr>
        <w:t>95%</w:t>
      </w:r>
      <w:proofErr w:type="gramEnd"/>
      <w:r w:rsidRPr="00802888">
        <w:rPr>
          <w:rFonts w:cs="Arial"/>
          <w:sz w:val="16"/>
          <w:szCs w:val="16"/>
        </w:rPr>
        <w:t xml:space="preserve"> </w:t>
      </w:r>
      <w:proofErr w:type="spellStart"/>
      <w:r w:rsidRPr="00802888">
        <w:rPr>
          <w:rFonts w:cs="Arial"/>
          <w:sz w:val="16"/>
          <w:szCs w:val="16"/>
        </w:rPr>
        <w:t>confidence</w:t>
      </w:r>
      <w:proofErr w:type="spellEnd"/>
      <w:r w:rsidRPr="00802888">
        <w:rPr>
          <w:rFonts w:cs="Arial"/>
          <w:sz w:val="16"/>
          <w:szCs w:val="16"/>
        </w:rPr>
        <w:t xml:space="preserve"> </w:t>
      </w:r>
      <w:proofErr w:type="spellStart"/>
      <w:r w:rsidRPr="00802888">
        <w:rPr>
          <w:rFonts w:cs="Arial"/>
          <w:sz w:val="16"/>
          <w:szCs w:val="16"/>
        </w:rPr>
        <w:t>intervals</w:t>
      </w:r>
      <w:proofErr w:type="spellEnd"/>
      <w:r w:rsidRPr="00802888">
        <w:rPr>
          <w:rFonts w:cs="Arial"/>
          <w:sz w:val="16"/>
          <w:szCs w:val="16"/>
        </w:rPr>
        <w:t xml:space="preserve">. </w:t>
      </w:r>
      <w:proofErr w:type="spellStart"/>
      <w:r w:rsidRPr="00802888">
        <w:rPr>
          <w:rFonts w:cs="Arial"/>
          <w:sz w:val="16"/>
          <w:szCs w:val="16"/>
        </w:rPr>
        <w:t>The</w:t>
      </w:r>
      <w:proofErr w:type="spellEnd"/>
      <w:r w:rsidRPr="00802888">
        <w:rPr>
          <w:rFonts w:cs="Arial"/>
          <w:sz w:val="16"/>
          <w:szCs w:val="16"/>
        </w:rPr>
        <w:t xml:space="preserve"> </w:t>
      </w:r>
      <w:proofErr w:type="spellStart"/>
      <w:r w:rsidRPr="00802888">
        <w:rPr>
          <w:rFonts w:cs="Arial"/>
          <w:sz w:val="16"/>
          <w:szCs w:val="16"/>
        </w:rPr>
        <w:t>geometric</w:t>
      </w:r>
      <w:proofErr w:type="spellEnd"/>
      <w:r w:rsidRPr="00802888">
        <w:rPr>
          <w:rFonts w:cs="Arial"/>
          <w:sz w:val="16"/>
          <w:szCs w:val="16"/>
        </w:rPr>
        <w:t xml:space="preserve"> </w:t>
      </w:r>
      <w:proofErr w:type="spellStart"/>
      <w:r w:rsidRPr="00802888">
        <w:rPr>
          <w:rFonts w:cs="Arial"/>
          <w:sz w:val="16"/>
          <w:szCs w:val="16"/>
        </w:rPr>
        <w:t>means</w:t>
      </w:r>
      <w:proofErr w:type="spellEnd"/>
      <w:r w:rsidRPr="00802888">
        <w:rPr>
          <w:rFonts w:cs="Arial"/>
          <w:sz w:val="16"/>
          <w:szCs w:val="16"/>
        </w:rPr>
        <w:t xml:space="preserve"> of </w:t>
      </w:r>
      <w:proofErr w:type="spellStart"/>
      <w:r w:rsidRPr="00802888">
        <w:rPr>
          <w:rFonts w:cs="Arial"/>
          <w:sz w:val="16"/>
          <w:szCs w:val="16"/>
        </w:rPr>
        <w:t>viral</w:t>
      </w:r>
      <w:proofErr w:type="spellEnd"/>
      <w:r w:rsidRPr="00802888">
        <w:rPr>
          <w:rFonts w:cs="Arial"/>
          <w:sz w:val="16"/>
          <w:szCs w:val="16"/>
        </w:rPr>
        <w:t xml:space="preserve"> </w:t>
      </w:r>
      <w:proofErr w:type="spellStart"/>
      <w:r w:rsidRPr="00802888">
        <w:rPr>
          <w:rFonts w:cs="Arial"/>
          <w:sz w:val="16"/>
          <w:szCs w:val="16"/>
        </w:rPr>
        <w:t>copies</w:t>
      </w:r>
      <w:proofErr w:type="spellEnd"/>
      <w:r w:rsidRPr="00802888">
        <w:rPr>
          <w:rFonts w:cs="Arial"/>
          <w:sz w:val="16"/>
          <w:szCs w:val="16"/>
        </w:rPr>
        <w:t xml:space="preserve"> </w:t>
      </w:r>
      <w:proofErr w:type="spellStart"/>
      <w:r w:rsidRPr="00802888">
        <w:rPr>
          <w:rFonts w:cs="Arial"/>
          <w:sz w:val="16"/>
          <w:szCs w:val="16"/>
        </w:rPr>
        <w:t>between</w:t>
      </w:r>
      <w:proofErr w:type="spellEnd"/>
      <w:r w:rsidRPr="00802888">
        <w:rPr>
          <w:rFonts w:cs="Arial"/>
          <w:sz w:val="16"/>
          <w:szCs w:val="16"/>
        </w:rPr>
        <w:t xml:space="preserve"> </w:t>
      </w:r>
      <w:proofErr w:type="spellStart"/>
      <w:r w:rsidRPr="00802888">
        <w:rPr>
          <w:rFonts w:cs="Arial"/>
          <w:sz w:val="16"/>
          <w:szCs w:val="16"/>
        </w:rPr>
        <w:t>viruses</w:t>
      </w:r>
      <w:proofErr w:type="spellEnd"/>
      <w:r w:rsidRPr="00802888">
        <w:rPr>
          <w:rFonts w:cs="Arial"/>
          <w:sz w:val="16"/>
          <w:szCs w:val="16"/>
        </w:rPr>
        <w:t xml:space="preserve"> in </w:t>
      </w:r>
      <w:proofErr w:type="spellStart"/>
      <w:r w:rsidRPr="00802888">
        <w:rPr>
          <w:rFonts w:cs="Arial"/>
          <w:sz w:val="16"/>
          <w:szCs w:val="16"/>
        </w:rPr>
        <w:t>different</w:t>
      </w:r>
      <w:proofErr w:type="spellEnd"/>
      <w:r w:rsidRPr="00802888">
        <w:rPr>
          <w:rFonts w:cs="Arial"/>
          <w:sz w:val="16"/>
          <w:szCs w:val="16"/>
        </w:rPr>
        <w:t xml:space="preserve"> </w:t>
      </w:r>
      <w:proofErr w:type="spellStart"/>
      <w:r w:rsidRPr="00802888">
        <w:rPr>
          <w:rFonts w:cs="Arial"/>
          <w:sz w:val="16"/>
          <w:szCs w:val="16"/>
        </w:rPr>
        <w:t>organs</w:t>
      </w:r>
      <w:proofErr w:type="spellEnd"/>
      <w:r w:rsidRPr="00802888">
        <w:rPr>
          <w:rFonts w:cs="Arial"/>
          <w:sz w:val="16"/>
          <w:szCs w:val="16"/>
        </w:rPr>
        <w:t xml:space="preserve"> </w:t>
      </w:r>
      <w:proofErr w:type="spellStart"/>
      <w:r w:rsidRPr="00802888">
        <w:rPr>
          <w:rFonts w:cs="Arial"/>
          <w:sz w:val="16"/>
          <w:szCs w:val="16"/>
        </w:rPr>
        <w:t>were</w:t>
      </w:r>
      <w:proofErr w:type="spellEnd"/>
      <w:r w:rsidRPr="00802888">
        <w:rPr>
          <w:rFonts w:cs="Arial"/>
          <w:sz w:val="16"/>
          <w:szCs w:val="16"/>
        </w:rPr>
        <w:t xml:space="preserve"> </w:t>
      </w:r>
      <w:proofErr w:type="spellStart"/>
      <w:r w:rsidRPr="00802888">
        <w:rPr>
          <w:rFonts w:cs="Arial"/>
          <w:sz w:val="16"/>
          <w:szCs w:val="16"/>
        </w:rPr>
        <w:t>compared</w:t>
      </w:r>
      <w:proofErr w:type="spellEnd"/>
      <w:r w:rsidRPr="00802888">
        <w:rPr>
          <w:rFonts w:cs="Arial"/>
          <w:sz w:val="16"/>
          <w:szCs w:val="16"/>
        </w:rPr>
        <w:t xml:space="preserve"> </w:t>
      </w:r>
      <w:proofErr w:type="spellStart"/>
      <w:r w:rsidRPr="00802888">
        <w:rPr>
          <w:rFonts w:cs="Arial"/>
          <w:sz w:val="16"/>
          <w:szCs w:val="16"/>
        </w:rPr>
        <w:t>with</w:t>
      </w:r>
      <w:proofErr w:type="spellEnd"/>
      <w:r w:rsidRPr="00802888">
        <w:rPr>
          <w:rFonts w:cs="Arial"/>
          <w:sz w:val="16"/>
          <w:szCs w:val="16"/>
        </w:rPr>
        <w:t xml:space="preserve"> </w:t>
      </w:r>
      <w:proofErr w:type="spellStart"/>
      <w:r w:rsidRPr="00802888">
        <w:rPr>
          <w:rFonts w:cs="Arial"/>
          <w:sz w:val="16"/>
          <w:szCs w:val="16"/>
        </w:rPr>
        <w:t>one-way</w:t>
      </w:r>
      <w:proofErr w:type="spellEnd"/>
      <w:r w:rsidRPr="00802888">
        <w:rPr>
          <w:rFonts w:cs="Arial"/>
          <w:sz w:val="16"/>
          <w:szCs w:val="16"/>
        </w:rPr>
        <w:t xml:space="preserve"> ANOVA. </w:t>
      </w:r>
      <w:proofErr w:type="spellStart"/>
      <w:r w:rsidRPr="00802888">
        <w:rPr>
          <w:rFonts w:cs="Arial"/>
          <w:sz w:val="16"/>
          <w:szCs w:val="16"/>
        </w:rPr>
        <w:t>When</w:t>
      </w:r>
      <w:proofErr w:type="spellEnd"/>
      <w:r w:rsidRPr="00802888">
        <w:rPr>
          <w:rFonts w:cs="Arial"/>
          <w:sz w:val="16"/>
          <w:szCs w:val="16"/>
        </w:rPr>
        <w:t xml:space="preserve"> </w:t>
      </w:r>
      <w:proofErr w:type="spellStart"/>
      <w:r w:rsidRPr="00802888">
        <w:rPr>
          <w:rFonts w:cs="Arial"/>
          <w:sz w:val="16"/>
          <w:szCs w:val="16"/>
        </w:rPr>
        <w:t>significant</w:t>
      </w:r>
      <w:proofErr w:type="spellEnd"/>
      <w:r w:rsidRPr="00802888">
        <w:rPr>
          <w:rFonts w:cs="Arial"/>
          <w:sz w:val="16"/>
          <w:szCs w:val="16"/>
        </w:rPr>
        <w:t xml:space="preserve">, </w:t>
      </w:r>
      <w:proofErr w:type="spellStart"/>
      <w:r w:rsidRPr="00802888">
        <w:rPr>
          <w:rFonts w:cs="Arial"/>
          <w:sz w:val="16"/>
          <w:szCs w:val="16"/>
        </w:rPr>
        <w:t>step-wise</w:t>
      </w:r>
      <w:proofErr w:type="spellEnd"/>
      <w:r w:rsidRPr="00802888">
        <w:rPr>
          <w:rFonts w:cs="Arial"/>
          <w:sz w:val="16"/>
          <w:szCs w:val="16"/>
        </w:rPr>
        <w:t xml:space="preserve"> </w:t>
      </w:r>
      <w:proofErr w:type="spellStart"/>
      <w:r w:rsidRPr="00802888">
        <w:rPr>
          <w:rFonts w:cs="Arial"/>
          <w:sz w:val="16"/>
          <w:szCs w:val="16"/>
        </w:rPr>
        <w:t>group</w:t>
      </w:r>
      <w:proofErr w:type="spellEnd"/>
      <w:r w:rsidRPr="00802888">
        <w:rPr>
          <w:rFonts w:cs="Arial"/>
          <w:sz w:val="16"/>
          <w:szCs w:val="16"/>
        </w:rPr>
        <w:t xml:space="preserve"> </w:t>
      </w:r>
      <w:proofErr w:type="spellStart"/>
      <w:r w:rsidRPr="00802888">
        <w:rPr>
          <w:rFonts w:cs="Arial"/>
          <w:sz w:val="16"/>
          <w:szCs w:val="16"/>
        </w:rPr>
        <w:t>comparison</w:t>
      </w:r>
      <w:proofErr w:type="spellEnd"/>
      <w:r w:rsidRPr="00802888">
        <w:rPr>
          <w:rFonts w:cs="Arial"/>
          <w:sz w:val="16"/>
          <w:szCs w:val="16"/>
        </w:rPr>
        <w:t xml:space="preserve"> </w:t>
      </w:r>
      <w:proofErr w:type="spellStart"/>
      <w:r w:rsidRPr="00802888">
        <w:rPr>
          <w:rFonts w:cs="Arial"/>
          <w:sz w:val="16"/>
          <w:szCs w:val="16"/>
        </w:rPr>
        <w:t>was</w:t>
      </w:r>
      <w:proofErr w:type="spellEnd"/>
      <w:r w:rsidRPr="00802888">
        <w:rPr>
          <w:rFonts w:cs="Arial"/>
          <w:sz w:val="16"/>
          <w:szCs w:val="16"/>
        </w:rPr>
        <w:t xml:space="preserve"> </w:t>
      </w:r>
      <w:proofErr w:type="spellStart"/>
      <w:r w:rsidRPr="00802888">
        <w:rPr>
          <w:rFonts w:cs="Arial"/>
          <w:sz w:val="16"/>
          <w:szCs w:val="16"/>
        </w:rPr>
        <w:t>performed</w:t>
      </w:r>
      <w:proofErr w:type="spellEnd"/>
      <w:r w:rsidRPr="00802888">
        <w:rPr>
          <w:rFonts w:cs="Arial"/>
          <w:sz w:val="16"/>
          <w:szCs w:val="16"/>
        </w:rPr>
        <w:t xml:space="preserve"> </w:t>
      </w:r>
      <w:proofErr w:type="spellStart"/>
      <w:r w:rsidRPr="00802888">
        <w:rPr>
          <w:rFonts w:cs="Arial"/>
          <w:sz w:val="16"/>
          <w:szCs w:val="16"/>
        </w:rPr>
        <w:t>with</w:t>
      </w:r>
      <w:proofErr w:type="spellEnd"/>
      <w:r w:rsidRPr="00802888">
        <w:rPr>
          <w:rFonts w:cs="Arial"/>
          <w:sz w:val="16"/>
          <w:szCs w:val="16"/>
        </w:rPr>
        <w:t xml:space="preserve"> REGWF. </w:t>
      </w:r>
      <w:proofErr w:type="spellStart"/>
      <w:r w:rsidRPr="00802888">
        <w:rPr>
          <w:rFonts w:cs="Arial"/>
          <w:sz w:val="16"/>
          <w:szCs w:val="16"/>
        </w:rPr>
        <w:t>Different</w:t>
      </w:r>
      <w:proofErr w:type="spellEnd"/>
      <w:r w:rsidRPr="00802888">
        <w:rPr>
          <w:rFonts w:cs="Arial"/>
          <w:sz w:val="16"/>
          <w:szCs w:val="16"/>
        </w:rPr>
        <w:t xml:space="preserve"> cat</w:t>
      </w:r>
      <w:proofErr w:type="spellStart"/>
      <w:r w:rsidRPr="00FA4565">
        <w:rPr>
          <w:rFonts w:cs="Arial"/>
          <w:sz w:val="16"/>
          <w:szCs w:val="16"/>
          <w:lang w:val="en-US"/>
        </w:rPr>
        <w:t>egories</w:t>
      </w:r>
      <w:proofErr w:type="spellEnd"/>
      <w:r w:rsidRPr="00FA4565">
        <w:rPr>
          <w:rFonts w:cs="Arial"/>
          <w:sz w:val="16"/>
          <w:szCs w:val="16"/>
          <w:lang w:val="en-US"/>
        </w:rPr>
        <w:t xml:space="preserve"> (marked </w:t>
      </w:r>
      <w:proofErr w:type="spellStart"/>
      <w:proofErr w:type="gramStart"/>
      <w:r w:rsidRPr="00FA4565">
        <w:rPr>
          <w:rFonts w:cs="Arial"/>
          <w:sz w:val="16"/>
          <w:szCs w:val="16"/>
          <w:lang w:val="en-US"/>
        </w:rPr>
        <w:t>a,b</w:t>
      </w:r>
      <w:proofErr w:type="gramEnd"/>
      <w:r w:rsidRPr="00FA4565">
        <w:rPr>
          <w:rFonts w:cs="Arial"/>
          <w:sz w:val="16"/>
          <w:szCs w:val="16"/>
          <w:lang w:val="en-US"/>
        </w:rPr>
        <w:t>,c</w:t>
      </w:r>
      <w:proofErr w:type="spellEnd"/>
      <w:r w:rsidRPr="00FA4565">
        <w:rPr>
          <w:rFonts w:cs="Arial"/>
          <w:sz w:val="16"/>
          <w:szCs w:val="16"/>
          <w:lang w:val="en-US"/>
        </w:rPr>
        <w:t>) had statistical significance (p&lt;0.05).</w:t>
      </w:r>
    </w:p>
    <w:p w14:paraId="2F3CDC98" w14:textId="77777777" w:rsidR="00891682" w:rsidRDefault="00891682" w:rsidP="00891682">
      <w:pPr>
        <w:jc w:val="both"/>
        <w:rPr>
          <w:rFonts w:cs="Arial"/>
          <w:i/>
          <w:iCs/>
          <w:color w:val="44546A" w:themeColor="text2"/>
          <w:sz w:val="16"/>
          <w:szCs w:val="16"/>
        </w:rPr>
      </w:pPr>
      <w:r>
        <w:rPr>
          <w:rFonts w:cs="Arial"/>
          <w:i/>
          <w:iCs/>
          <w:noProof/>
          <w:color w:val="44546A" w:themeColor="text2"/>
          <w:sz w:val="16"/>
          <w:szCs w:val="16"/>
          <w:lang w:eastAsia="fi-FI"/>
        </w:rPr>
        <w:lastRenderedPageBreak/>
        <w:drawing>
          <wp:inline distT="0" distB="0" distL="0" distR="0" wp14:anchorId="3780F667" wp14:editId="6979A768">
            <wp:extent cx="5778192" cy="8217535"/>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4205" cy="8226087"/>
                    </a:xfrm>
                    <a:prstGeom prst="rect">
                      <a:avLst/>
                    </a:prstGeom>
                  </pic:spPr>
                </pic:pic>
              </a:graphicData>
            </a:graphic>
          </wp:inline>
        </w:drawing>
      </w:r>
    </w:p>
    <w:p w14:paraId="4CE7808B" w14:textId="77777777" w:rsidR="00891682" w:rsidRDefault="00891682" w:rsidP="00891682">
      <w:pPr>
        <w:jc w:val="both"/>
        <w:rPr>
          <w:rFonts w:cs="Arial"/>
          <w:i/>
          <w:iCs/>
          <w:color w:val="44546A" w:themeColor="text2"/>
          <w:sz w:val="16"/>
          <w:szCs w:val="16"/>
        </w:rPr>
      </w:pPr>
    </w:p>
    <w:p w14:paraId="683B3FB7" w14:textId="77777777" w:rsidR="00891682" w:rsidRDefault="00891682" w:rsidP="00891682">
      <w:pPr>
        <w:jc w:val="both"/>
        <w:rPr>
          <w:rFonts w:cs="Arial"/>
          <w:i/>
          <w:iCs/>
          <w:color w:val="44546A" w:themeColor="text2"/>
          <w:sz w:val="16"/>
          <w:szCs w:val="16"/>
        </w:rPr>
      </w:pPr>
      <w:r>
        <w:rPr>
          <w:rFonts w:cs="Arial"/>
          <w:i/>
          <w:iCs/>
          <w:noProof/>
          <w:color w:val="44546A" w:themeColor="text2"/>
          <w:sz w:val="16"/>
          <w:szCs w:val="16"/>
          <w:lang w:eastAsia="fi-FI"/>
        </w:rPr>
        <w:lastRenderedPageBreak/>
        <w:drawing>
          <wp:inline distT="0" distB="0" distL="0" distR="0" wp14:anchorId="7B182BDA" wp14:editId="695739B0">
            <wp:extent cx="5537606" cy="8149090"/>
            <wp:effectExtent l="0" t="0" r="6350" b="4445"/>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5267" cy="8160363"/>
                    </a:xfrm>
                    <a:prstGeom prst="rect">
                      <a:avLst/>
                    </a:prstGeom>
                  </pic:spPr>
                </pic:pic>
              </a:graphicData>
            </a:graphic>
          </wp:inline>
        </w:drawing>
      </w:r>
    </w:p>
    <w:p w14:paraId="44084CE9" w14:textId="77777777" w:rsidR="00891682" w:rsidRPr="00B17E4B" w:rsidRDefault="00891682" w:rsidP="00891682">
      <w:pPr>
        <w:spacing w:line="240" w:lineRule="auto"/>
        <w:jc w:val="both"/>
        <w:rPr>
          <w:rFonts w:cs="Arial"/>
          <w:i/>
          <w:iCs/>
          <w:color w:val="44546A" w:themeColor="text2"/>
          <w:sz w:val="16"/>
          <w:szCs w:val="16"/>
          <w:lang w:val="en-US"/>
        </w:rPr>
      </w:pPr>
      <w:r w:rsidRPr="00E57B15">
        <w:rPr>
          <w:rFonts w:cs="Arial"/>
          <w:i/>
          <w:iCs/>
          <w:color w:val="44546A" w:themeColor="text2"/>
          <w:sz w:val="16"/>
          <w:szCs w:val="16"/>
          <w:lang w:val="en-US"/>
        </w:rPr>
        <w:t>Suppl</w:t>
      </w:r>
      <w:r w:rsidRPr="004B5C6E">
        <w:rPr>
          <w:rFonts w:cs="Arial"/>
          <w:i/>
          <w:iCs/>
          <w:color w:val="44546A" w:themeColor="text2"/>
          <w:sz w:val="16"/>
          <w:szCs w:val="16"/>
          <w:lang w:val="en-US"/>
        </w:rPr>
        <w:t xml:space="preserve">emental Figure 2. </w:t>
      </w:r>
      <w:r w:rsidRPr="00993A8B">
        <w:rPr>
          <w:rFonts w:cs="Arial"/>
          <w:i/>
          <w:iCs/>
          <w:color w:val="44546A" w:themeColor="text2"/>
          <w:sz w:val="16"/>
          <w:szCs w:val="16"/>
          <w:lang w:val="en-US"/>
        </w:rPr>
        <w:t>Viral DNA intr</w:t>
      </w:r>
      <w:r w:rsidRPr="0040314D">
        <w:rPr>
          <w:rFonts w:cs="Arial"/>
          <w:i/>
          <w:iCs/>
          <w:color w:val="44546A" w:themeColor="text2"/>
          <w:sz w:val="16"/>
          <w:szCs w:val="16"/>
          <w:lang w:val="en-US"/>
        </w:rPr>
        <w:t>a</w:t>
      </w:r>
      <w:r w:rsidRPr="00E11FA6">
        <w:rPr>
          <w:rFonts w:cs="Arial"/>
          <w:i/>
          <w:iCs/>
          <w:color w:val="44546A" w:themeColor="text2"/>
          <w:sz w:val="16"/>
          <w:szCs w:val="16"/>
          <w:lang w:val="en-US"/>
        </w:rPr>
        <w:t>-hos</w:t>
      </w:r>
      <w:r w:rsidRPr="0000050C">
        <w:rPr>
          <w:rFonts w:cs="Arial"/>
          <w:i/>
          <w:iCs/>
          <w:color w:val="44546A" w:themeColor="text2"/>
          <w:sz w:val="16"/>
          <w:szCs w:val="16"/>
          <w:lang w:val="en-US"/>
        </w:rPr>
        <w:t xml:space="preserve">t </w:t>
      </w:r>
      <w:r w:rsidRPr="004B67CA">
        <w:rPr>
          <w:rFonts w:cs="Arial"/>
          <w:i/>
          <w:iCs/>
          <w:color w:val="44546A" w:themeColor="text2"/>
          <w:sz w:val="16"/>
          <w:szCs w:val="16"/>
          <w:lang w:val="en-US"/>
        </w:rPr>
        <w:t>correlation between organs. Weighted</w:t>
      </w:r>
      <w:r>
        <w:rPr>
          <w:rFonts w:cs="Arial"/>
          <w:i/>
          <w:iCs/>
          <w:color w:val="44546A" w:themeColor="text2"/>
          <w:sz w:val="16"/>
          <w:szCs w:val="16"/>
          <w:lang w:val="en-US"/>
        </w:rPr>
        <w:t xml:space="preserve"> correlation</w:t>
      </w:r>
      <w:r w:rsidRPr="004B67CA">
        <w:rPr>
          <w:rFonts w:cs="Arial"/>
          <w:i/>
          <w:iCs/>
          <w:color w:val="44546A" w:themeColor="text2"/>
          <w:sz w:val="16"/>
          <w:szCs w:val="16"/>
          <w:lang w:val="en-US"/>
        </w:rPr>
        <w:t xml:space="preserve"> network of statistically significant (p&lt;0.05) viral prevalence (circles) and </w:t>
      </w:r>
      <w:r>
        <w:rPr>
          <w:rFonts w:cs="Arial"/>
          <w:i/>
          <w:iCs/>
          <w:color w:val="44546A" w:themeColor="text2"/>
          <w:sz w:val="16"/>
          <w:szCs w:val="16"/>
          <w:lang w:val="en-US"/>
        </w:rPr>
        <w:t>quantities</w:t>
      </w:r>
      <w:r w:rsidRPr="004B67CA">
        <w:rPr>
          <w:rFonts w:cs="Arial"/>
          <w:i/>
          <w:iCs/>
          <w:color w:val="44546A" w:themeColor="text2"/>
          <w:sz w:val="16"/>
          <w:szCs w:val="16"/>
          <w:lang w:val="en-US"/>
        </w:rPr>
        <w:t xml:space="preserve"> (squares)</w:t>
      </w:r>
      <w:r>
        <w:rPr>
          <w:rFonts w:cs="Arial"/>
          <w:i/>
          <w:iCs/>
          <w:color w:val="44546A" w:themeColor="text2"/>
          <w:sz w:val="16"/>
          <w:szCs w:val="16"/>
          <w:lang w:val="en-US"/>
        </w:rPr>
        <w:t xml:space="preserve"> </w:t>
      </w:r>
      <w:r w:rsidRPr="004B67CA">
        <w:rPr>
          <w:rFonts w:cs="Arial"/>
          <w:i/>
          <w:iCs/>
          <w:color w:val="44546A" w:themeColor="text2"/>
          <w:sz w:val="16"/>
          <w:szCs w:val="16"/>
          <w:lang w:val="en-US"/>
        </w:rPr>
        <w:t>between tissues as calculated by</w:t>
      </w:r>
      <w:r>
        <w:rPr>
          <w:rFonts w:cs="Arial"/>
          <w:i/>
          <w:iCs/>
          <w:color w:val="44546A" w:themeColor="text2"/>
          <w:sz w:val="16"/>
          <w:szCs w:val="16"/>
          <w:lang w:val="en-US"/>
        </w:rPr>
        <w:t xml:space="preserve"> pairwise comparisons with</w:t>
      </w:r>
      <w:r w:rsidRPr="004B67CA">
        <w:rPr>
          <w:rFonts w:cs="Arial"/>
          <w:i/>
          <w:iCs/>
          <w:color w:val="44546A" w:themeColor="text2"/>
          <w:sz w:val="16"/>
          <w:szCs w:val="16"/>
          <w:lang w:val="en-US"/>
        </w:rPr>
        <w:t xml:space="preserve"> </w:t>
      </w:r>
      <w:r w:rsidRPr="00A97D21">
        <w:rPr>
          <w:rFonts w:cs="Arial"/>
          <w:color w:val="202124"/>
          <w:sz w:val="16"/>
          <w:szCs w:val="16"/>
          <w:shd w:val="clear" w:color="auto" w:fill="FFFFFF"/>
        </w:rPr>
        <w:t>φ</w:t>
      </w:r>
      <w:r>
        <w:rPr>
          <w:rFonts w:cs="Arial"/>
          <w:i/>
          <w:iCs/>
          <w:color w:val="44546A" w:themeColor="text2"/>
          <w:sz w:val="16"/>
          <w:szCs w:val="16"/>
          <w:lang w:val="en-US"/>
        </w:rPr>
        <w:t xml:space="preserve"> coefficient or S</w:t>
      </w:r>
      <w:r w:rsidRPr="004B67CA">
        <w:rPr>
          <w:rFonts w:cs="Arial"/>
          <w:i/>
          <w:iCs/>
          <w:color w:val="44546A" w:themeColor="text2"/>
          <w:sz w:val="16"/>
          <w:szCs w:val="16"/>
          <w:lang w:val="en-US"/>
        </w:rPr>
        <w:t>pearman</w:t>
      </w:r>
      <w:r>
        <w:rPr>
          <w:rFonts w:cs="Arial"/>
          <w:i/>
          <w:iCs/>
          <w:color w:val="44546A" w:themeColor="text2"/>
          <w:sz w:val="16"/>
          <w:szCs w:val="16"/>
          <w:lang w:val="en-US"/>
        </w:rPr>
        <w:t>'</w:t>
      </w:r>
      <w:r w:rsidRPr="004B67CA">
        <w:rPr>
          <w:rFonts w:cs="Arial"/>
          <w:i/>
          <w:iCs/>
          <w:color w:val="44546A" w:themeColor="text2"/>
          <w:sz w:val="16"/>
          <w:szCs w:val="16"/>
          <w:lang w:val="en-US"/>
        </w:rPr>
        <w:t xml:space="preserve">s </w:t>
      </w:r>
      <w:r w:rsidRPr="008F687D">
        <w:rPr>
          <w:rFonts w:cs="Arial"/>
          <w:color w:val="202124"/>
          <w:sz w:val="16"/>
          <w:szCs w:val="16"/>
          <w:shd w:val="clear" w:color="auto" w:fill="FFFFFF"/>
        </w:rPr>
        <w:t>ρ</w:t>
      </w:r>
      <w:r w:rsidRPr="004B67CA">
        <w:rPr>
          <w:rFonts w:cs="Arial"/>
          <w:i/>
          <w:iCs/>
          <w:color w:val="44546A" w:themeColor="text2"/>
          <w:sz w:val="16"/>
          <w:szCs w:val="16"/>
          <w:lang w:val="en-US"/>
        </w:rPr>
        <w:t>, respectively.</w:t>
      </w:r>
      <w:r>
        <w:rPr>
          <w:rFonts w:cs="Arial"/>
          <w:i/>
          <w:iCs/>
          <w:color w:val="44546A" w:themeColor="text2"/>
          <w:sz w:val="16"/>
          <w:szCs w:val="16"/>
          <w:lang w:val="en-US"/>
        </w:rPr>
        <w:t xml:space="preserve"> The</w:t>
      </w:r>
      <w:r w:rsidRPr="004B67CA">
        <w:rPr>
          <w:rFonts w:cs="Arial"/>
          <w:i/>
          <w:iCs/>
          <w:color w:val="44546A" w:themeColor="text2"/>
          <w:sz w:val="16"/>
          <w:szCs w:val="16"/>
          <w:lang w:val="en-US"/>
        </w:rPr>
        <w:t xml:space="preserve"> </w:t>
      </w:r>
      <w:r>
        <w:rPr>
          <w:rFonts w:cs="Arial"/>
          <w:i/>
          <w:iCs/>
          <w:color w:val="44546A" w:themeColor="text2"/>
          <w:sz w:val="16"/>
          <w:szCs w:val="16"/>
          <w:lang w:val="en-US"/>
        </w:rPr>
        <w:t>w</w:t>
      </w:r>
      <w:r w:rsidRPr="004B67CA">
        <w:rPr>
          <w:rFonts w:cs="Arial"/>
          <w:i/>
          <w:iCs/>
          <w:color w:val="44546A" w:themeColor="text2"/>
          <w:sz w:val="16"/>
          <w:szCs w:val="16"/>
          <w:lang w:val="en-US"/>
        </w:rPr>
        <w:t>idth of connecting lines</w:t>
      </w:r>
      <w:r>
        <w:rPr>
          <w:rFonts w:cs="Arial"/>
          <w:i/>
          <w:iCs/>
          <w:color w:val="44546A" w:themeColor="text2"/>
          <w:sz w:val="16"/>
          <w:szCs w:val="16"/>
          <w:lang w:val="en-US"/>
        </w:rPr>
        <w:t xml:space="preserve"> (edges)</w:t>
      </w:r>
      <w:r w:rsidRPr="004B67CA">
        <w:rPr>
          <w:rFonts w:cs="Arial"/>
          <w:i/>
          <w:iCs/>
          <w:color w:val="44546A" w:themeColor="text2"/>
          <w:sz w:val="16"/>
          <w:szCs w:val="16"/>
          <w:lang w:val="en-US"/>
        </w:rPr>
        <w:t xml:space="preserve"> represents the strength of correlation.</w:t>
      </w:r>
      <w:r>
        <w:rPr>
          <w:rFonts w:cs="Arial"/>
          <w:i/>
          <w:iCs/>
          <w:color w:val="44546A" w:themeColor="text2"/>
          <w:sz w:val="16"/>
          <w:szCs w:val="16"/>
          <w:lang w:val="en-US"/>
        </w:rPr>
        <w:t xml:space="preserve"> The</w:t>
      </w:r>
      <w:r w:rsidRPr="004B67CA">
        <w:rPr>
          <w:rFonts w:cs="Arial"/>
          <w:i/>
          <w:iCs/>
          <w:color w:val="44546A" w:themeColor="text2"/>
          <w:sz w:val="16"/>
          <w:szCs w:val="16"/>
          <w:lang w:val="en-US"/>
        </w:rPr>
        <w:t xml:space="preserve"> </w:t>
      </w:r>
      <w:r>
        <w:rPr>
          <w:rFonts w:cs="Arial"/>
          <w:i/>
          <w:iCs/>
          <w:color w:val="44546A" w:themeColor="text2"/>
          <w:sz w:val="16"/>
          <w:szCs w:val="16"/>
          <w:lang w:val="en-US"/>
        </w:rPr>
        <w:t>size of circles and squares (nodes)</w:t>
      </w:r>
      <w:r w:rsidRPr="004B67CA">
        <w:rPr>
          <w:rFonts w:cs="Arial"/>
          <w:i/>
          <w:iCs/>
          <w:color w:val="44546A" w:themeColor="text2"/>
          <w:sz w:val="16"/>
          <w:szCs w:val="16"/>
          <w:lang w:val="en-US"/>
        </w:rPr>
        <w:t xml:space="preserve"> indicate percentage of viral prevalence and </w:t>
      </w:r>
      <w:r>
        <w:rPr>
          <w:rFonts w:cs="Arial"/>
          <w:i/>
          <w:iCs/>
          <w:color w:val="44546A" w:themeColor="text2"/>
          <w:sz w:val="16"/>
          <w:szCs w:val="16"/>
          <w:lang w:val="en-US"/>
        </w:rPr>
        <w:t>mean</w:t>
      </w:r>
      <w:r w:rsidRPr="004B67CA">
        <w:rPr>
          <w:rFonts w:cs="Arial"/>
          <w:i/>
          <w:iCs/>
          <w:color w:val="44546A" w:themeColor="text2"/>
          <w:sz w:val="16"/>
          <w:szCs w:val="16"/>
          <w:lang w:val="en-US"/>
        </w:rPr>
        <w:t xml:space="preserve"> copies of viral DNA, respectively, in </w:t>
      </w:r>
      <w:r>
        <w:rPr>
          <w:rFonts w:cs="Arial"/>
          <w:i/>
          <w:iCs/>
          <w:color w:val="44546A" w:themeColor="text2"/>
          <w:sz w:val="16"/>
          <w:szCs w:val="16"/>
          <w:lang w:val="en-US"/>
        </w:rPr>
        <w:t>each</w:t>
      </w:r>
      <w:r w:rsidRPr="004B67CA">
        <w:rPr>
          <w:rFonts w:cs="Arial"/>
          <w:i/>
          <w:iCs/>
          <w:color w:val="44546A" w:themeColor="text2"/>
          <w:sz w:val="16"/>
          <w:szCs w:val="16"/>
          <w:lang w:val="en-US"/>
        </w:rPr>
        <w:t xml:space="preserve"> orga</w:t>
      </w:r>
      <w:r>
        <w:rPr>
          <w:rFonts w:cs="Arial"/>
          <w:i/>
          <w:iCs/>
          <w:color w:val="44546A" w:themeColor="text2"/>
          <w:sz w:val="16"/>
          <w:szCs w:val="16"/>
          <w:lang w:val="en-US"/>
        </w:rPr>
        <w:t>n.</w:t>
      </w:r>
    </w:p>
    <w:p w14:paraId="0D7B6309" w14:textId="77777777" w:rsidR="00891682" w:rsidRDefault="00891682" w:rsidP="00891682">
      <w:pPr>
        <w:jc w:val="both"/>
        <w:rPr>
          <w:rFonts w:cs="Arial"/>
          <w:i/>
          <w:iCs/>
          <w:color w:val="44546A" w:themeColor="text2"/>
          <w:sz w:val="16"/>
          <w:szCs w:val="16"/>
          <w:lang w:val="en-US"/>
        </w:rPr>
      </w:pPr>
      <w:r>
        <w:rPr>
          <w:rFonts w:cs="Arial"/>
          <w:i/>
          <w:iCs/>
          <w:noProof/>
          <w:color w:val="44546A" w:themeColor="text2"/>
          <w:sz w:val="16"/>
          <w:szCs w:val="16"/>
          <w:lang w:eastAsia="fi-FI"/>
        </w:rPr>
        <w:lastRenderedPageBreak/>
        <w:drawing>
          <wp:inline distT="0" distB="0" distL="0" distR="0" wp14:anchorId="524CF991" wp14:editId="6E0F0757">
            <wp:extent cx="5946975" cy="8495182"/>
            <wp:effectExtent l="0" t="0" r="0" b="127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975" cy="8495182"/>
                    </a:xfrm>
                    <a:prstGeom prst="rect">
                      <a:avLst/>
                    </a:prstGeom>
                  </pic:spPr>
                </pic:pic>
              </a:graphicData>
            </a:graphic>
          </wp:inline>
        </w:drawing>
      </w:r>
    </w:p>
    <w:p w14:paraId="51930252" w14:textId="77777777" w:rsidR="00891682" w:rsidRDefault="00891682" w:rsidP="00891682">
      <w:pPr>
        <w:jc w:val="both"/>
        <w:rPr>
          <w:rFonts w:cs="Arial"/>
          <w:i/>
          <w:iCs/>
          <w:color w:val="44546A" w:themeColor="text2"/>
          <w:sz w:val="16"/>
          <w:szCs w:val="16"/>
          <w:lang w:val="en-US"/>
        </w:rPr>
      </w:pPr>
      <w:r>
        <w:rPr>
          <w:rFonts w:cs="Arial"/>
          <w:i/>
          <w:iCs/>
          <w:noProof/>
          <w:color w:val="44546A" w:themeColor="text2"/>
          <w:sz w:val="16"/>
          <w:szCs w:val="16"/>
          <w:lang w:eastAsia="fi-FI"/>
        </w:rPr>
        <w:lastRenderedPageBreak/>
        <w:drawing>
          <wp:inline distT="0" distB="0" distL="0" distR="0" wp14:anchorId="51998260" wp14:editId="092B7AC4">
            <wp:extent cx="6087928" cy="8198793"/>
            <wp:effectExtent l="0" t="0" r="825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7928" cy="8198793"/>
                    </a:xfrm>
                    <a:prstGeom prst="rect">
                      <a:avLst/>
                    </a:prstGeom>
                  </pic:spPr>
                </pic:pic>
              </a:graphicData>
            </a:graphic>
          </wp:inline>
        </w:drawing>
      </w:r>
    </w:p>
    <w:p w14:paraId="0FCCEA85" w14:textId="77777777" w:rsidR="00891682" w:rsidRDefault="00891682" w:rsidP="00891682">
      <w:pPr>
        <w:jc w:val="both"/>
        <w:rPr>
          <w:rFonts w:cs="Arial"/>
          <w:i/>
          <w:iCs/>
          <w:color w:val="44546A" w:themeColor="text2"/>
          <w:sz w:val="16"/>
          <w:szCs w:val="16"/>
          <w:lang w:val="en-US"/>
        </w:rPr>
      </w:pPr>
    </w:p>
    <w:p w14:paraId="434DA4EB" w14:textId="77777777" w:rsidR="00891682" w:rsidRDefault="00891682" w:rsidP="00891682">
      <w:pPr>
        <w:jc w:val="both"/>
        <w:rPr>
          <w:rFonts w:cs="Arial"/>
          <w:i/>
          <w:iCs/>
          <w:color w:val="44546A" w:themeColor="text2"/>
          <w:sz w:val="16"/>
          <w:szCs w:val="16"/>
          <w:lang w:val="en-US"/>
        </w:rPr>
      </w:pPr>
      <w:r>
        <w:rPr>
          <w:rFonts w:cs="Arial"/>
          <w:i/>
          <w:iCs/>
          <w:noProof/>
          <w:color w:val="44546A" w:themeColor="text2"/>
          <w:sz w:val="16"/>
          <w:szCs w:val="16"/>
          <w:lang w:eastAsia="fi-FI"/>
        </w:rPr>
        <w:lastRenderedPageBreak/>
        <w:drawing>
          <wp:inline distT="0" distB="0" distL="0" distR="0" wp14:anchorId="6411552B" wp14:editId="07FD33A8">
            <wp:extent cx="6164317" cy="8264048"/>
            <wp:effectExtent l="0" t="0" r="8255" b="381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6680" cy="8267216"/>
                    </a:xfrm>
                    <a:prstGeom prst="rect">
                      <a:avLst/>
                    </a:prstGeom>
                  </pic:spPr>
                </pic:pic>
              </a:graphicData>
            </a:graphic>
          </wp:inline>
        </w:drawing>
      </w:r>
    </w:p>
    <w:p w14:paraId="14BC927B" w14:textId="77777777" w:rsidR="00891682" w:rsidRPr="004B67CA" w:rsidRDefault="00891682" w:rsidP="00891682">
      <w:pPr>
        <w:spacing w:line="240" w:lineRule="auto"/>
        <w:jc w:val="both"/>
        <w:rPr>
          <w:rFonts w:cs="Arial"/>
          <w:i/>
          <w:iCs/>
          <w:color w:val="44546A" w:themeColor="text2"/>
          <w:sz w:val="16"/>
          <w:szCs w:val="16"/>
          <w:lang w:val="en-US"/>
        </w:rPr>
      </w:pPr>
      <w:r>
        <w:rPr>
          <w:rFonts w:cs="Arial"/>
          <w:i/>
          <w:iCs/>
          <w:color w:val="44546A" w:themeColor="text2"/>
          <w:sz w:val="16"/>
          <w:szCs w:val="16"/>
          <w:lang w:val="en-US"/>
        </w:rPr>
        <w:t xml:space="preserve">Supplemental </w:t>
      </w:r>
      <w:r w:rsidRPr="004B67CA">
        <w:rPr>
          <w:rFonts w:cs="Arial"/>
          <w:i/>
          <w:iCs/>
          <w:color w:val="44546A" w:themeColor="text2"/>
          <w:sz w:val="16"/>
          <w:szCs w:val="16"/>
          <w:lang w:val="en-US"/>
        </w:rPr>
        <w:t xml:space="preserve">Figure </w:t>
      </w:r>
      <w:r>
        <w:rPr>
          <w:rFonts w:cs="Arial"/>
          <w:i/>
          <w:iCs/>
          <w:color w:val="44546A" w:themeColor="text2"/>
          <w:sz w:val="16"/>
          <w:szCs w:val="16"/>
          <w:lang w:val="en-US"/>
        </w:rPr>
        <w:t>3</w:t>
      </w:r>
      <w:r w:rsidRPr="004B67CA">
        <w:rPr>
          <w:rFonts w:cs="Arial"/>
          <w:i/>
          <w:iCs/>
          <w:color w:val="44546A" w:themeColor="text2"/>
          <w:sz w:val="16"/>
          <w:szCs w:val="16"/>
          <w:lang w:val="en-US"/>
        </w:rPr>
        <w:t>.</w:t>
      </w:r>
      <w:r>
        <w:rPr>
          <w:rFonts w:cs="Arial"/>
          <w:i/>
          <w:iCs/>
          <w:color w:val="44546A" w:themeColor="text2"/>
          <w:sz w:val="16"/>
          <w:szCs w:val="16"/>
          <w:lang w:val="en-US"/>
        </w:rPr>
        <w:t xml:space="preserve"> Viral DNA co-occurrences in different organs.</w:t>
      </w:r>
      <w:r w:rsidRPr="004B67CA">
        <w:rPr>
          <w:rFonts w:cs="Arial"/>
          <w:i/>
          <w:iCs/>
          <w:color w:val="44546A" w:themeColor="text2"/>
          <w:sz w:val="16"/>
          <w:szCs w:val="16"/>
          <w:lang w:val="en-US"/>
        </w:rPr>
        <w:t xml:space="preserve"> </w:t>
      </w:r>
      <w:r>
        <w:rPr>
          <w:rFonts w:cs="Arial"/>
          <w:i/>
          <w:iCs/>
          <w:color w:val="44546A" w:themeColor="text2"/>
          <w:sz w:val="16"/>
          <w:szCs w:val="16"/>
          <w:lang w:val="en-US"/>
        </w:rPr>
        <w:t xml:space="preserve">On the left are Venn diagrams of all the positive viral DNA findings in each tissue. On the right are the weighted networks of viral DNA correlations as calculated by </w:t>
      </w:r>
      <w:r w:rsidRPr="00A97D21">
        <w:rPr>
          <w:rFonts w:cs="Arial"/>
          <w:color w:val="202124"/>
          <w:sz w:val="16"/>
          <w:szCs w:val="16"/>
          <w:shd w:val="clear" w:color="auto" w:fill="FFFFFF"/>
        </w:rPr>
        <w:t>φ</w:t>
      </w:r>
      <w:r>
        <w:rPr>
          <w:rFonts w:cs="Arial"/>
          <w:i/>
          <w:iCs/>
          <w:color w:val="44546A" w:themeColor="text2"/>
          <w:sz w:val="16"/>
          <w:szCs w:val="16"/>
          <w:lang w:val="en-US"/>
        </w:rPr>
        <w:t xml:space="preserve"> coefficient (p&lt;0.05). Correlation strength indicated by the width of the dashed line. Sizes of the spheres represent viral DNA prevalence </w:t>
      </w:r>
      <w:proofErr w:type="gramStart"/>
      <w:r>
        <w:rPr>
          <w:rFonts w:cs="Arial"/>
          <w:i/>
          <w:iCs/>
          <w:color w:val="44546A" w:themeColor="text2"/>
          <w:sz w:val="16"/>
          <w:szCs w:val="16"/>
          <w:lang w:val="en-US"/>
        </w:rPr>
        <w:t>in a given</w:t>
      </w:r>
      <w:proofErr w:type="gramEnd"/>
      <w:r>
        <w:rPr>
          <w:rFonts w:cs="Arial"/>
          <w:i/>
          <w:iCs/>
          <w:color w:val="44546A" w:themeColor="text2"/>
          <w:sz w:val="16"/>
          <w:szCs w:val="16"/>
          <w:lang w:val="en-US"/>
        </w:rPr>
        <w:t xml:space="preserve"> organ.</w:t>
      </w:r>
    </w:p>
    <w:p w14:paraId="214C3A9F" w14:textId="77777777" w:rsidR="00891682" w:rsidRDefault="00891682" w:rsidP="00891682">
      <w:pPr>
        <w:jc w:val="both"/>
        <w:rPr>
          <w:lang w:val="en-US"/>
        </w:rPr>
      </w:pPr>
      <w:r>
        <w:rPr>
          <w:noProof/>
          <w:lang w:eastAsia="fi-FI"/>
        </w:rPr>
        <w:lastRenderedPageBreak/>
        <w:drawing>
          <wp:inline distT="0" distB="0" distL="0" distR="0" wp14:anchorId="17B37020" wp14:editId="59E14906">
            <wp:extent cx="4678878" cy="7311851"/>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4450" cy="7351813"/>
                    </a:xfrm>
                    <a:prstGeom prst="rect">
                      <a:avLst/>
                    </a:prstGeom>
                  </pic:spPr>
                </pic:pic>
              </a:graphicData>
            </a:graphic>
          </wp:inline>
        </w:drawing>
      </w:r>
    </w:p>
    <w:p w14:paraId="0471B99C" w14:textId="77777777" w:rsidR="00891682" w:rsidRDefault="00891682" w:rsidP="00891682">
      <w:pPr>
        <w:spacing w:line="240" w:lineRule="auto"/>
        <w:jc w:val="both"/>
        <w:rPr>
          <w:rFonts w:cs="Arial"/>
          <w:i/>
          <w:iCs/>
          <w:color w:val="44546A" w:themeColor="text2"/>
          <w:sz w:val="16"/>
          <w:szCs w:val="16"/>
          <w:lang w:val="en-US"/>
        </w:rPr>
      </w:pPr>
      <w:r w:rsidRPr="004C2420">
        <w:rPr>
          <w:rFonts w:cs="Arial"/>
          <w:i/>
          <w:iCs/>
          <w:color w:val="44546A" w:themeColor="text2"/>
          <w:sz w:val="16"/>
          <w:szCs w:val="16"/>
          <w:lang w:val="en-US"/>
        </w:rPr>
        <w:t>Supplemental Figure 4. Virus prevalence and quantities across organs.</w:t>
      </w:r>
      <w:r>
        <w:rPr>
          <w:rFonts w:cs="Arial"/>
          <w:i/>
          <w:iCs/>
          <w:color w:val="44546A" w:themeColor="text2"/>
          <w:sz w:val="16"/>
          <w:szCs w:val="16"/>
          <w:lang w:val="en-US"/>
        </w:rPr>
        <w:t xml:space="preserve"> </w:t>
      </w:r>
      <w:r w:rsidRPr="004C2420">
        <w:rPr>
          <w:rFonts w:cs="Arial"/>
          <w:i/>
          <w:iCs/>
          <w:color w:val="44546A" w:themeColor="text2"/>
          <w:sz w:val="16"/>
          <w:szCs w:val="16"/>
          <w:lang w:val="en-US"/>
        </w:rPr>
        <w:t xml:space="preserve">Side by side comparison of </w:t>
      </w:r>
      <w:proofErr w:type="gramStart"/>
      <w:r w:rsidRPr="004C2420">
        <w:rPr>
          <w:rFonts w:cs="Arial"/>
          <w:i/>
          <w:iCs/>
          <w:color w:val="44546A" w:themeColor="text2"/>
          <w:sz w:val="16"/>
          <w:szCs w:val="16"/>
          <w:lang w:val="en-US"/>
        </w:rPr>
        <w:t>the  A</w:t>
      </w:r>
      <w:proofErr w:type="gramEnd"/>
      <w:r w:rsidRPr="004C2420">
        <w:rPr>
          <w:rFonts w:cs="Arial"/>
          <w:i/>
          <w:iCs/>
          <w:color w:val="44546A" w:themeColor="text2"/>
          <w:sz w:val="16"/>
          <w:szCs w:val="16"/>
          <w:lang w:val="en-US"/>
        </w:rPr>
        <w:t xml:space="preserve">) </w:t>
      </w:r>
      <w:proofErr w:type="spellStart"/>
      <w:r w:rsidRPr="004C2420">
        <w:rPr>
          <w:rFonts w:cs="Arial"/>
          <w:i/>
          <w:iCs/>
          <w:color w:val="44546A" w:themeColor="text2"/>
          <w:sz w:val="16"/>
          <w:szCs w:val="16"/>
          <w:lang w:val="en-US"/>
        </w:rPr>
        <w:t>prevalences</w:t>
      </w:r>
      <w:proofErr w:type="spellEnd"/>
      <w:r w:rsidRPr="004C2420">
        <w:rPr>
          <w:rFonts w:cs="Arial"/>
          <w:i/>
          <w:iCs/>
          <w:color w:val="44546A" w:themeColor="text2"/>
          <w:sz w:val="16"/>
          <w:szCs w:val="16"/>
          <w:lang w:val="en-US"/>
        </w:rPr>
        <w:t xml:space="preserve"> and B) quantities of each of the viral DNAs in different organs. Statistical difference of the quantities was analyzed by One-way </w:t>
      </w:r>
      <w:proofErr w:type="spellStart"/>
      <w:r w:rsidRPr="004C2420">
        <w:rPr>
          <w:rFonts w:cs="Arial"/>
          <w:i/>
          <w:iCs/>
          <w:color w:val="44546A" w:themeColor="text2"/>
          <w:sz w:val="16"/>
          <w:szCs w:val="16"/>
          <w:lang w:val="en-US"/>
        </w:rPr>
        <w:t>Anova</w:t>
      </w:r>
      <w:proofErr w:type="spellEnd"/>
      <w:r>
        <w:rPr>
          <w:rFonts w:cs="Arial"/>
          <w:i/>
          <w:iCs/>
          <w:color w:val="44546A" w:themeColor="text2"/>
          <w:sz w:val="16"/>
          <w:szCs w:val="16"/>
          <w:lang w:val="en-US"/>
        </w:rPr>
        <w:t xml:space="preserve"> and </w:t>
      </w:r>
      <w:r w:rsidRPr="004C2420">
        <w:rPr>
          <w:rFonts w:cs="Arial"/>
          <w:i/>
          <w:iCs/>
          <w:color w:val="44546A" w:themeColor="text2"/>
          <w:sz w:val="16"/>
          <w:szCs w:val="16"/>
          <w:lang w:val="en-US"/>
        </w:rPr>
        <w:t>followed by REGW) for</w:t>
      </w:r>
      <w:r>
        <w:rPr>
          <w:rFonts w:cs="Arial"/>
          <w:i/>
          <w:iCs/>
          <w:color w:val="44546A" w:themeColor="text2"/>
          <w:sz w:val="16"/>
          <w:szCs w:val="16"/>
          <w:lang w:val="en-US"/>
        </w:rPr>
        <w:t xml:space="preserve"> stepwise</w:t>
      </w:r>
      <w:r w:rsidRPr="004C2420">
        <w:rPr>
          <w:rFonts w:cs="Arial"/>
          <w:i/>
          <w:iCs/>
          <w:color w:val="44546A" w:themeColor="text2"/>
          <w:sz w:val="16"/>
          <w:szCs w:val="16"/>
          <w:lang w:val="en-US"/>
        </w:rPr>
        <w:t xml:space="preserve"> pairwise comparisons. Marked with asterisks </w:t>
      </w:r>
      <w:r>
        <w:rPr>
          <w:rFonts w:cs="Arial"/>
          <w:i/>
          <w:iCs/>
          <w:color w:val="44546A" w:themeColor="text2"/>
          <w:sz w:val="16"/>
          <w:szCs w:val="16"/>
          <w:lang w:val="en-US"/>
        </w:rPr>
        <w:t xml:space="preserve">are the different groups that showed </w:t>
      </w:r>
      <w:r w:rsidRPr="004C2420">
        <w:rPr>
          <w:rFonts w:cs="Arial"/>
          <w:i/>
          <w:iCs/>
          <w:color w:val="44546A" w:themeColor="text2"/>
          <w:sz w:val="16"/>
          <w:szCs w:val="16"/>
          <w:lang w:val="en-US"/>
        </w:rPr>
        <w:t>statistical significance (p&lt;0.05)</w:t>
      </w:r>
      <w:r>
        <w:rPr>
          <w:rFonts w:cs="Arial"/>
          <w:i/>
          <w:iCs/>
          <w:color w:val="44546A" w:themeColor="text2"/>
          <w:sz w:val="16"/>
          <w:szCs w:val="16"/>
          <w:lang w:val="en-US"/>
        </w:rPr>
        <w:t>.</w:t>
      </w:r>
    </w:p>
    <w:p w14:paraId="19EA52F7" w14:textId="77777777" w:rsidR="00891682" w:rsidRDefault="00891682" w:rsidP="00891682">
      <w:pPr>
        <w:spacing w:line="240" w:lineRule="auto"/>
        <w:jc w:val="both"/>
        <w:rPr>
          <w:lang w:val="en-US"/>
        </w:rPr>
      </w:pPr>
      <w:r w:rsidRPr="004C2420">
        <w:rPr>
          <w:rFonts w:cs="Arial"/>
          <w:i/>
          <w:iCs/>
          <w:color w:val="44546A" w:themeColor="text2"/>
          <w:sz w:val="16"/>
          <w:szCs w:val="16"/>
          <w:lang w:val="en-US"/>
        </w:rPr>
        <w:lastRenderedPageBreak/>
        <w:t xml:space="preserve">   </w:t>
      </w:r>
      <w:r>
        <w:rPr>
          <w:noProof/>
          <w:lang w:eastAsia="fi-FI"/>
        </w:rPr>
        <w:drawing>
          <wp:inline distT="0" distB="0" distL="0" distR="0" wp14:anchorId="32BB5D5F" wp14:editId="58F9D875">
            <wp:extent cx="6094088" cy="6773875"/>
            <wp:effectExtent l="0" t="0" r="2540" b="825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571" cy="6776635"/>
                    </a:xfrm>
                    <a:prstGeom prst="rect">
                      <a:avLst/>
                    </a:prstGeom>
                  </pic:spPr>
                </pic:pic>
              </a:graphicData>
            </a:graphic>
          </wp:inline>
        </w:drawing>
      </w:r>
    </w:p>
    <w:p w14:paraId="4D7D9789" w14:textId="77777777" w:rsidR="00891682" w:rsidRDefault="00891682" w:rsidP="00891682">
      <w:pPr>
        <w:jc w:val="both"/>
        <w:rPr>
          <w:lang w:val="en-US"/>
        </w:rPr>
      </w:pPr>
    </w:p>
    <w:p w14:paraId="662B3962" w14:textId="77777777" w:rsidR="00891682" w:rsidRDefault="00891682" w:rsidP="00891682">
      <w:pPr>
        <w:jc w:val="both"/>
        <w:rPr>
          <w:lang w:val="en-US"/>
        </w:rPr>
      </w:pPr>
    </w:p>
    <w:p w14:paraId="234563E8" w14:textId="77777777" w:rsidR="00891682" w:rsidRDefault="00891682" w:rsidP="00891682">
      <w:pPr>
        <w:jc w:val="both"/>
        <w:rPr>
          <w:lang w:val="en-US"/>
        </w:rPr>
      </w:pPr>
    </w:p>
    <w:p w14:paraId="3816860F" w14:textId="77777777" w:rsidR="00891682" w:rsidRDefault="00891682" w:rsidP="00891682">
      <w:pPr>
        <w:jc w:val="both"/>
        <w:rPr>
          <w:lang w:val="en-US"/>
        </w:rPr>
      </w:pPr>
    </w:p>
    <w:p w14:paraId="5321D1ED" w14:textId="77777777" w:rsidR="00891682" w:rsidRDefault="00891682" w:rsidP="00891682">
      <w:pPr>
        <w:jc w:val="both"/>
        <w:rPr>
          <w:lang w:val="en-US"/>
        </w:rPr>
      </w:pPr>
    </w:p>
    <w:p w14:paraId="537F6131" w14:textId="77777777" w:rsidR="00891682" w:rsidRDefault="00891682" w:rsidP="00891682">
      <w:pPr>
        <w:jc w:val="both"/>
        <w:rPr>
          <w:lang w:val="en-US"/>
        </w:rPr>
      </w:pPr>
      <w:r>
        <w:rPr>
          <w:noProof/>
          <w:lang w:eastAsia="fi-FI"/>
        </w:rPr>
        <w:lastRenderedPageBreak/>
        <w:drawing>
          <wp:inline distT="0" distB="0" distL="0" distR="0" wp14:anchorId="03F1DD45" wp14:editId="70C24E98">
            <wp:extent cx="6086246" cy="6166125"/>
            <wp:effectExtent l="0" t="0" r="0" b="635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9661" cy="6169585"/>
                    </a:xfrm>
                    <a:prstGeom prst="rect">
                      <a:avLst/>
                    </a:prstGeom>
                  </pic:spPr>
                </pic:pic>
              </a:graphicData>
            </a:graphic>
          </wp:inline>
        </w:drawing>
      </w:r>
    </w:p>
    <w:p w14:paraId="58C06473" w14:textId="77777777" w:rsidR="00891682" w:rsidRDefault="00891682" w:rsidP="00891682">
      <w:pPr>
        <w:pStyle w:val="Kuvaotsikko"/>
        <w:jc w:val="both"/>
        <w:rPr>
          <w:rFonts w:cs="Arial"/>
          <w:sz w:val="16"/>
          <w:szCs w:val="16"/>
          <w:lang w:val="en-US"/>
        </w:rPr>
      </w:pPr>
      <w:r w:rsidRPr="00EA2B64">
        <w:rPr>
          <w:rFonts w:cs="Arial"/>
          <w:sz w:val="16"/>
          <w:szCs w:val="16"/>
          <w:lang w:val="en-US"/>
        </w:rPr>
        <w:t xml:space="preserve">Supplemental Figure </w:t>
      </w:r>
      <w:r>
        <w:rPr>
          <w:rFonts w:cs="Arial"/>
          <w:sz w:val="16"/>
          <w:szCs w:val="16"/>
          <w:lang w:val="en-US"/>
        </w:rPr>
        <w:t>5</w:t>
      </w:r>
      <w:r w:rsidRPr="00EA2B64">
        <w:rPr>
          <w:rFonts w:cs="Arial"/>
          <w:sz w:val="16"/>
          <w:szCs w:val="16"/>
          <w:lang w:val="en-US"/>
        </w:rPr>
        <w:t xml:space="preserve">. </w:t>
      </w:r>
      <w:r w:rsidRPr="00BC7549">
        <w:rPr>
          <w:rFonts w:cs="Arial"/>
          <w:sz w:val="16"/>
          <w:szCs w:val="16"/>
          <w:lang w:val="en-US"/>
        </w:rPr>
        <w:t>Correlation of v</w:t>
      </w:r>
      <w:r w:rsidRPr="00422F5A">
        <w:rPr>
          <w:rFonts w:cs="Arial"/>
          <w:sz w:val="16"/>
          <w:szCs w:val="16"/>
          <w:lang w:val="en-US"/>
        </w:rPr>
        <w:t>ir</w:t>
      </w:r>
      <w:r w:rsidRPr="00FC469E">
        <w:rPr>
          <w:rFonts w:cs="Arial"/>
          <w:sz w:val="16"/>
          <w:szCs w:val="16"/>
          <w:lang w:val="en-US"/>
        </w:rPr>
        <w:t>u</w:t>
      </w:r>
      <w:r>
        <w:rPr>
          <w:rFonts w:cs="Arial"/>
          <w:sz w:val="16"/>
          <w:szCs w:val="16"/>
          <w:lang w:val="en-US"/>
        </w:rPr>
        <w:t xml:space="preserve">s copies/million cells with mean coverage depth and breadth.  A) B19V, B) </w:t>
      </w:r>
      <w:proofErr w:type="spellStart"/>
      <w:r>
        <w:rPr>
          <w:rFonts w:cs="Arial"/>
          <w:sz w:val="16"/>
          <w:szCs w:val="16"/>
          <w:lang w:val="en-US"/>
        </w:rPr>
        <w:t>JCPyV</w:t>
      </w:r>
      <w:proofErr w:type="spellEnd"/>
      <w:r>
        <w:rPr>
          <w:rFonts w:cs="Arial"/>
          <w:sz w:val="16"/>
          <w:szCs w:val="16"/>
          <w:lang w:val="en-US"/>
        </w:rPr>
        <w:t xml:space="preserve">, C) </w:t>
      </w:r>
      <w:proofErr w:type="spellStart"/>
      <w:r>
        <w:rPr>
          <w:rFonts w:cs="Arial"/>
          <w:sz w:val="16"/>
          <w:szCs w:val="16"/>
          <w:lang w:val="en-US"/>
        </w:rPr>
        <w:t>MCPyV</w:t>
      </w:r>
      <w:proofErr w:type="spellEnd"/>
      <w:r>
        <w:rPr>
          <w:rFonts w:cs="Arial"/>
          <w:sz w:val="16"/>
          <w:szCs w:val="16"/>
          <w:lang w:val="en-US"/>
        </w:rPr>
        <w:t xml:space="preserve"> D) EBV, E) HHV-6b, F) HHV-7. Results were statistically significant (p&lt;0.001) with ANOVA. R</w:t>
      </w:r>
      <w:r>
        <w:rPr>
          <w:rFonts w:cs="Arial"/>
          <w:sz w:val="16"/>
          <w:szCs w:val="16"/>
          <w:vertAlign w:val="superscript"/>
          <w:lang w:val="en-US"/>
        </w:rPr>
        <w:t>2</w:t>
      </w:r>
      <w:r>
        <w:rPr>
          <w:rFonts w:cs="Arial"/>
          <w:sz w:val="16"/>
          <w:szCs w:val="16"/>
          <w:lang w:val="en-US"/>
        </w:rPr>
        <w:t xml:space="preserve"> represents coefficient of </w:t>
      </w:r>
      <w:proofErr w:type="spellStart"/>
      <w:r>
        <w:rPr>
          <w:rFonts w:cs="Arial"/>
          <w:sz w:val="16"/>
          <w:szCs w:val="16"/>
          <w:lang w:val="en-US"/>
        </w:rPr>
        <w:t>detemination</w:t>
      </w:r>
      <w:proofErr w:type="spellEnd"/>
      <w:r>
        <w:rPr>
          <w:rFonts w:cs="Arial"/>
          <w:sz w:val="16"/>
          <w:szCs w:val="16"/>
          <w:lang w:val="en-US"/>
        </w:rPr>
        <w:t>.</w:t>
      </w:r>
    </w:p>
    <w:p w14:paraId="3F6BA816" w14:textId="69DC8257" w:rsidR="00120854" w:rsidRDefault="00120854">
      <w:pPr>
        <w:rPr>
          <w:lang w:val="en-US"/>
        </w:rPr>
      </w:pPr>
    </w:p>
    <w:p w14:paraId="4B813413" w14:textId="36B78908" w:rsidR="00FE4A75" w:rsidRDefault="00FE4A75">
      <w:pPr>
        <w:rPr>
          <w:lang w:val="en-US"/>
        </w:rPr>
      </w:pPr>
    </w:p>
    <w:p w14:paraId="3A10C05D" w14:textId="2FB07C10" w:rsidR="00FE4A75" w:rsidRDefault="00FE4A75">
      <w:pPr>
        <w:rPr>
          <w:lang w:val="en-US"/>
        </w:rPr>
      </w:pPr>
    </w:p>
    <w:p w14:paraId="20944835" w14:textId="73A2DD49" w:rsidR="00FE4A75" w:rsidRDefault="00FE4A75">
      <w:pPr>
        <w:rPr>
          <w:lang w:val="en-US"/>
        </w:rPr>
      </w:pPr>
    </w:p>
    <w:p w14:paraId="4A103706" w14:textId="6B1BC49B" w:rsidR="00FE4A75" w:rsidRDefault="00FE4A75">
      <w:pPr>
        <w:rPr>
          <w:lang w:val="en-US"/>
        </w:rPr>
      </w:pPr>
    </w:p>
    <w:p w14:paraId="23526FF0" w14:textId="33AB976F" w:rsidR="00FE4A75" w:rsidRDefault="00FE4A75">
      <w:pPr>
        <w:rPr>
          <w:sz w:val="28"/>
          <w:szCs w:val="28"/>
          <w:lang w:val="en-US"/>
        </w:rPr>
      </w:pPr>
      <w:r w:rsidRPr="00FE4A75">
        <w:rPr>
          <w:sz w:val="28"/>
          <w:szCs w:val="28"/>
          <w:lang w:val="en-US"/>
        </w:rPr>
        <w:lastRenderedPageBreak/>
        <w:t>Supplement</w:t>
      </w:r>
      <w:r w:rsidR="00D313A6">
        <w:rPr>
          <w:sz w:val="28"/>
          <w:szCs w:val="28"/>
          <w:lang w:val="en-US"/>
        </w:rPr>
        <w:t>al</w:t>
      </w:r>
      <w:r w:rsidRPr="00FE4A75">
        <w:rPr>
          <w:sz w:val="28"/>
          <w:szCs w:val="28"/>
          <w:lang w:val="en-US"/>
        </w:rPr>
        <w:t xml:space="preserve"> reference list</w:t>
      </w:r>
    </w:p>
    <w:p w14:paraId="425045B2" w14:textId="2F84DE50" w:rsidR="00D313A6" w:rsidRPr="00802888" w:rsidRDefault="00FE4A75" w:rsidP="00D313A6">
      <w:pPr>
        <w:widowControl w:val="0"/>
        <w:autoSpaceDE w:val="0"/>
        <w:autoSpaceDN w:val="0"/>
        <w:adjustRightInd w:val="0"/>
        <w:rPr>
          <w:rFonts w:cs="Arial"/>
          <w:noProof/>
          <w:sz w:val="18"/>
          <w:szCs w:val="24"/>
          <w:lang w:val="en-US"/>
        </w:rPr>
      </w:pPr>
      <w:r w:rsidRPr="00FE4A75">
        <w:rPr>
          <w:sz w:val="18"/>
          <w:szCs w:val="18"/>
          <w:lang w:val="en-US"/>
        </w:rPr>
        <w:fldChar w:fldCharType="begin" w:fldLock="1"/>
      </w:r>
      <w:r w:rsidRPr="00FE4A75">
        <w:rPr>
          <w:sz w:val="18"/>
          <w:szCs w:val="18"/>
          <w:lang w:val="en-US"/>
        </w:rPr>
        <w:instrText xml:space="preserve">ADDIN Mendeley Bibliography CSL_BIBLIOGRAPHY </w:instrText>
      </w:r>
      <w:r w:rsidRPr="00FE4A75">
        <w:rPr>
          <w:sz w:val="18"/>
          <w:szCs w:val="18"/>
          <w:lang w:val="en-US"/>
        </w:rPr>
        <w:fldChar w:fldCharType="separate"/>
      </w:r>
      <w:r w:rsidR="00D313A6" w:rsidRPr="00802888">
        <w:rPr>
          <w:rFonts w:cs="Arial"/>
          <w:noProof/>
          <w:sz w:val="18"/>
          <w:szCs w:val="24"/>
          <w:lang w:val="en-US"/>
        </w:rPr>
        <w:t xml:space="preserve">1. Moustafa A, Xie C, Kirkness E, Biggs W, Wong E, Turpaz Y, et al. The blood DNA virome in 8,000 humans. Belshaw R, editor. PLoS Pathog. 2017;13:e1006292. </w:t>
      </w:r>
    </w:p>
    <w:p w14:paraId="1C8E9256"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2. Young JC, Chehoud C, Bittinger K, Bailey A, Diamond JM, Cantu E, et al. Viral metagenomics reveal blooms of anelloviruses in the respiratory tract of lung transplant recipients. Am J Transplant. 2015;15:200–9. </w:t>
      </w:r>
    </w:p>
    <w:p w14:paraId="2490AA76"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3. Abbas AA, Diamond JM, Chehoud C, Chang B, Kotzin JJ, Young JC, et al. The Perioperative Lung Transplant Virome: Torque Teno Viruses Are Elevated in Donor Lungs and Show Divergent Dynamics in Primary Graft Dysfunction. Am J Transplant. 2017;17:1313–24. </w:t>
      </w:r>
    </w:p>
    <w:p w14:paraId="5CE833B4"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4. Foulongne V, Sauvage V, Hebert C, Dereure O, Cheval J, Gouilh MA, et al. Human skin Microbiota: High diversity of DNA viruses identified on the human skin by high throughput sequencing. PLoS One. 2012;7:e38499. </w:t>
      </w:r>
    </w:p>
    <w:p w14:paraId="53145B21"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5. Wylie KM, Mihindukulasuriya KA, Zhou Y, Sodergren E, Storch GA, Weinstock GM. Metagenomic analysis of double-stranded DNA viruses in healthy adults. BMC Med. 2014;12:71. </w:t>
      </w:r>
    </w:p>
    <w:p w14:paraId="4EF8D98E"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6. Tirosh O, Conlan S, Deming C, Lee-Lin SQ, Huang X, Barnabas BB, et al. Expanded skin virome in DOCK8-deficient patients. Nat Med. 2018;24:1815–21. </w:t>
      </w:r>
    </w:p>
    <w:p w14:paraId="3BBEEAE3"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7. Hall JB, Cong Z, Imamura-Kawasawa Y, Kidd BA, Dudley JT, Thiboutot DM, et al. Isolation and Identification of the Follicular Microbiome: Implications for Acne Research. J Invest Dermatol. 2018;138:2033–40. </w:t>
      </w:r>
    </w:p>
    <w:p w14:paraId="2645D930"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8. Finkbeiner SR, Allred AF, Tarr PI, Klein EJ, Kirkwood CD, Wang D. Metagenomic analysis of human diarrhea: Viral detection and discovery. PLoS Pathog. 2008;4:e1000011. </w:t>
      </w:r>
    </w:p>
    <w:p w14:paraId="60A9CE4B"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9. Phan TG, Vo NP, Bonkoungou IJO, Kapoor A, Barro N, O’Ryan M, et al. Acute Diarrhea in West African Children: Diverse Enteric Viruses and a Novel Parvovirus Genus. J Virol. 2012;86:11024–30. </w:t>
      </w:r>
    </w:p>
    <w:p w14:paraId="6D5BF480"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10. Smits SL, Schapendonk CME, van Beek J, Vennema H, Schürch AC, Schipper D, et al. New viruses in idiopathic human diarrhea cases, the Netherlands. Emerg Infect Dis. 2014;20:1218–22. </w:t>
      </w:r>
    </w:p>
    <w:p w14:paraId="7BBFC9DC"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11. Holtz LR, Cao S, Zhao G, Bauer IK, Denno DM, Klein EJ, et al. Geographic variation in the eukaryotic virome of human diarrhea. Virology. 2014;468:556–64. </w:t>
      </w:r>
    </w:p>
    <w:p w14:paraId="07AFE467"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12. Yinda CK, Vanhulle E, Conceição-Neto N, Beller L, Deboutte W, Shi C, et al. Gut Virome Analysis of Cameroonians Reveals High Diversity of Enteric Viruses, Including Potential Interspecies Transmitted Viruses. mSphere. 2019;4:e00585-18. </w:t>
      </w:r>
    </w:p>
    <w:p w14:paraId="01D9F10E"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13. Santiago-Rodriguez TM, Ly M, Bonilla N, Pride DT. The human urine virome in association with urinary tract </w:t>
      </w:r>
      <w:r w:rsidRPr="00802888">
        <w:rPr>
          <w:rFonts w:cs="Arial"/>
          <w:noProof/>
          <w:sz w:val="18"/>
          <w:szCs w:val="24"/>
          <w:lang w:val="en-US"/>
        </w:rPr>
        <w:lastRenderedPageBreak/>
        <w:t xml:space="preserve">infections. Front Microbiol. 2015;6:14. </w:t>
      </w:r>
    </w:p>
    <w:p w14:paraId="21014AF4"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14. Rani A, Ranjan R, McGee HS, Metwally A, Hajjiri Z, Brennan DC, et al. A diverse virome in kidney transplant patients contains multiple viral subtypes with distinct polymorphisms. Sci Rep. 2016;6:33327. </w:t>
      </w:r>
    </w:p>
    <w:p w14:paraId="49A53434"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15. Ghose C, Ly M, Schwanemann LK, Shin JH, Atab K, Barr JJ, et al. The Virome of Cerebrospinal Fluid: Viruses Where We Once Thought There Were None. Front Microbiol. 2019;10:2061. </w:t>
      </w:r>
    </w:p>
    <w:p w14:paraId="61D09D42" w14:textId="77777777" w:rsidR="00D313A6" w:rsidRPr="00D313A6" w:rsidRDefault="00D313A6" w:rsidP="00D313A6">
      <w:pPr>
        <w:widowControl w:val="0"/>
        <w:autoSpaceDE w:val="0"/>
        <w:autoSpaceDN w:val="0"/>
        <w:adjustRightInd w:val="0"/>
        <w:rPr>
          <w:rFonts w:cs="Arial"/>
          <w:noProof/>
          <w:sz w:val="18"/>
          <w:szCs w:val="24"/>
        </w:rPr>
      </w:pPr>
      <w:r w:rsidRPr="00802888">
        <w:rPr>
          <w:rFonts w:cs="Arial"/>
          <w:noProof/>
          <w:sz w:val="18"/>
          <w:szCs w:val="24"/>
          <w:lang w:val="en-US"/>
        </w:rPr>
        <w:t xml:space="preserve">16. Toppinen M, Norja P, Aaltonen LM, Wessberg S, Hedman L, Söderlund-Venermo M, et al. A new quantitative PCR for human parvovirus B19 genotypes. J Virol Methods. </w:t>
      </w:r>
      <w:r w:rsidRPr="00D313A6">
        <w:rPr>
          <w:rFonts w:cs="Arial"/>
          <w:noProof/>
          <w:sz w:val="18"/>
          <w:szCs w:val="24"/>
        </w:rPr>
        <w:t xml:space="preserve">2015;218:40–5. </w:t>
      </w:r>
    </w:p>
    <w:p w14:paraId="1B2DDC2C" w14:textId="77777777" w:rsidR="00D313A6" w:rsidRPr="00D313A6" w:rsidRDefault="00D313A6" w:rsidP="00D313A6">
      <w:pPr>
        <w:widowControl w:val="0"/>
        <w:autoSpaceDE w:val="0"/>
        <w:autoSpaceDN w:val="0"/>
        <w:adjustRightInd w:val="0"/>
        <w:rPr>
          <w:rFonts w:cs="Arial"/>
          <w:noProof/>
          <w:sz w:val="18"/>
          <w:szCs w:val="24"/>
        </w:rPr>
      </w:pPr>
      <w:r w:rsidRPr="00D313A6">
        <w:rPr>
          <w:rFonts w:cs="Arial"/>
          <w:noProof/>
          <w:sz w:val="18"/>
          <w:szCs w:val="24"/>
        </w:rPr>
        <w:t xml:space="preserve">17. Pyöriä L, Jokinen M, Toppinen M, Salminen H, Vuorinen T, Hukkanen V, et al. </w:t>
      </w:r>
      <w:r w:rsidRPr="00802888">
        <w:rPr>
          <w:rFonts w:cs="Arial"/>
          <w:noProof/>
          <w:sz w:val="18"/>
          <w:szCs w:val="24"/>
          <w:lang w:val="en-US"/>
        </w:rPr>
        <w:t xml:space="preserve">HERQ-9 Is a New Multiplex PCR for Differentiation and Quantification of All Nine Human Herpesviruses. mSphere. </w:t>
      </w:r>
      <w:r w:rsidRPr="00D313A6">
        <w:rPr>
          <w:rFonts w:cs="Arial"/>
          <w:noProof/>
          <w:sz w:val="18"/>
          <w:szCs w:val="24"/>
        </w:rPr>
        <w:t xml:space="preserve">2020;5:e00265-20. </w:t>
      </w:r>
    </w:p>
    <w:p w14:paraId="49644CBD" w14:textId="77777777" w:rsidR="00D313A6" w:rsidRPr="00802888" w:rsidRDefault="00D313A6" w:rsidP="00D313A6">
      <w:pPr>
        <w:widowControl w:val="0"/>
        <w:autoSpaceDE w:val="0"/>
        <w:autoSpaceDN w:val="0"/>
        <w:adjustRightInd w:val="0"/>
        <w:rPr>
          <w:rFonts w:cs="Arial"/>
          <w:noProof/>
          <w:sz w:val="18"/>
          <w:szCs w:val="24"/>
          <w:lang w:val="en-US"/>
        </w:rPr>
      </w:pPr>
      <w:r w:rsidRPr="00D313A6">
        <w:rPr>
          <w:rFonts w:cs="Arial"/>
          <w:noProof/>
          <w:sz w:val="18"/>
          <w:szCs w:val="24"/>
        </w:rPr>
        <w:t xml:space="preserve">18. Toppinen M, Pratas D, Väisänen E, Söderlund-Venermo M, Hedman K, Perdomo MF, et al. </w:t>
      </w:r>
      <w:r w:rsidRPr="00802888">
        <w:rPr>
          <w:rFonts w:cs="Arial"/>
          <w:noProof/>
          <w:sz w:val="18"/>
          <w:szCs w:val="24"/>
          <w:lang w:val="en-US"/>
        </w:rPr>
        <w:t xml:space="preserve">The landscape of persistent human DNA viruses in femoral bone. Forensic Sci Int Genet. 2020;48:102353. </w:t>
      </w:r>
    </w:p>
    <w:p w14:paraId="27E0D6D0"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19. Hoffman NG, Cook L, Atienza EE, Limaye AP, Jerome KR. Marked variability of BK virus load measurement using quantitative real-time PCR among commonly used assays. J Clin Microbiol. 2008;46:2671–80. </w:t>
      </w:r>
    </w:p>
    <w:p w14:paraId="779DAF78"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20. Dumoulin A, Hirsch HH. Reevaluating and optimizing polyomavirus BK and JC real-time PCR assays to detect rare sequence polymorphisms. J Clin Microbiol. 2011;49:1382–8. </w:t>
      </w:r>
    </w:p>
    <w:p w14:paraId="77617A7D"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21. Goh S, Lindau C, Tiveljung-Lindell A, Allander T. Merkel cell polyomavirus in respiratory tract secretions. Emerg Infect Dis. 2009;15:489–91. </w:t>
      </w:r>
    </w:p>
    <w:p w14:paraId="71A4FCD3" w14:textId="77777777" w:rsidR="00D313A6" w:rsidRPr="00802888" w:rsidRDefault="00D313A6" w:rsidP="00D313A6">
      <w:pPr>
        <w:widowControl w:val="0"/>
        <w:autoSpaceDE w:val="0"/>
        <w:autoSpaceDN w:val="0"/>
        <w:adjustRightInd w:val="0"/>
        <w:rPr>
          <w:rFonts w:cs="Arial"/>
          <w:noProof/>
          <w:sz w:val="18"/>
          <w:szCs w:val="24"/>
          <w:lang w:val="en-US"/>
        </w:rPr>
      </w:pPr>
      <w:r w:rsidRPr="00802888">
        <w:rPr>
          <w:rFonts w:cs="Arial"/>
          <w:noProof/>
          <w:sz w:val="18"/>
          <w:szCs w:val="24"/>
          <w:lang w:val="en-US"/>
        </w:rPr>
        <w:t xml:space="preserve">22. Antonsson A, Bialasiewicz S, Rockett RJ, Jacob K, Bennett IC, Sloots TP. Exploring the prevalence of ten polyomaviruses and two herpes viruses in breast cancer. PLoS One. 2012;7:39842. </w:t>
      </w:r>
    </w:p>
    <w:p w14:paraId="61842EC0" w14:textId="77777777" w:rsidR="00D313A6" w:rsidRPr="00D313A6" w:rsidRDefault="00D313A6" w:rsidP="00D313A6">
      <w:pPr>
        <w:widowControl w:val="0"/>
        <w:autoSpaceDE w:val="0"/>
        <w:autoSpaceDN w:val="0"/>
        <w:adjustRightInd w:val="0"/>
        <w:rPr>
          <w:rFonts w:cs="Arial"/>
          <w:noProof/>
          <w:sz w:val="18"/>
          <w:szCs w:val="24"/>
        </w:rPr>
      </w:pPr>
      <w:r w:rsidRPr="00802888">
        <w:rPr>
          <w:rFonts w:cs="Arial"/>
          <w:noProof/>
          <w:sz w:val="18"/>
          <w:szCs w:val="24"/>
          <w:lang w:val="en-US"/>
        </w:rPr>
        <w:t xml:space="preserve">23. Siebrasse EA, Reyes A, Lim ES, Zhao G, Mkakosya RS, Manary MJ, et al. Identification of MW Polyomavirus, a Novel Polyomavirus in Human Stool. </w:t>
      </w:r>
      <w:r w:rsidRPr="00D313A6">
        <w:rPr>
          <w:rFonts w:cs="Arial"/>
          <w:noProof/>
          <w:sz w:val="18"/>
          <w:szCs w:val="24"/>
        </w:rPr>
        <w:t xml:space="preserve">J Virol. 2012;86:10321–6. </w:t>
      </w:r>
    </w:p>
    <w:p w14:paraId="27025E95" w14:textId="77777777" w:rsidR="00D313A6" w:rsidRPr="00D313A6" w:rsidRDefault="00D313A6" w:rsidP="00D313A6">
      <w:pPr>
        <w:widowControl w:val="0"/>
        <w:autoSpaceDE w:val="0"/>
        <w:autoSpaceDN w:val="0"/>
        <w:adjustRightInd w:val="0"/>
        <w:rPr>
          <w:rFonts w:cs="Arial"/>
          <w:noProof/>
          <w:sz w:val="18"/>
        </w:rPr>
      </w:pPr>
      <w:r w:rsidRPr="00D313A6">
        <w:rPr>
          <w:rFonts w:cs="Arial"/>
          <w:noProof/>
          <w:sz w:val="18"/>
          <w:szCs w:val="24"/>
        </w:rPr>
        <w:t xml:space="preserve">24. Sadeghi M, Wang Y, Ramqvist T, Aaltonen LM, Pyöriä L, Toppinen M, et al. </w:t>
      </w:r>
      <w:r w:rsidRPr="00802888">
        <w:rPr>
          <w:rFonts w:cs="Arial"/>
          <w:noProof/>
          <w:sz w:val="18"/>
          <w:szCs w:val="24"/>
          <w:lang w:val="en-US"/>
        </w:rPr>
        <w:t xml:space="preserve">Multiplex detection in tonsillar tissue of all known human polyomaviruses. </w:t>
      </w:r>
      <w:r w:rsidRPr="00D313A6">
        <w:rPr>
          <w:rFonts w:cs="Arial"/>
          <w:noProof/>
          <w:sz w:val="18"/>
          <w:szCs w:val="24"/>
        </w:rPr>
        <w:t xml:space="preserve">BMC Infect Dis. 2017;17:1–8. </w:t>
      </w:r>
    </w:p>
    <w:p w14:paraId="4CA26F08" w14:textId="1AAE7924" w:rsidR="00FE4A75" w:rsidRPr="00FE4A75" w:rsidRDefault="00FE4A75">
      <w:pPr>
        <w:rPr>
          <w:sz w:val="28"/>
          <w:szCs w:val="28"/>
          <w:lang w:val="en-US"/>
        </w:rPr>
      </w:pPr>
      <w:r w:rsidRPr="00FE4A75">
        <w:rPr>
          <w:sz w:val="18"/>
          <w:szCs w:val="18"/>
          <w:lang w:val="en-US"/>
        </w:rPr>
        <w:fldChar w:fldCharType="end"/>
      </w:r>
    </w:p>
    <w:sectPr w:rsidR="00FE4A75" w:rsidRPr="00FE4A7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FC3"/>
    <w:multiLevelType w:val="multilevel"/>
    <w:tmpl w:val="214C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3622D"/>
    <w:multiLevelType w:val="multilevel"/>
    <w:tmpl w:val="4A1C6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2B1E8C"/>
    <w:multiLevelType w:val="multilevel"/>
    <w:tmpl w:val="24040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551E23"/>
    <w:multiLevelType w:val="multilevel"/>
    <w:tmpl w:val="9CB4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701797"/>
    <w:multiLevelType w:val="multilevel"/>
    <w:tmpl w:val="3D4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DC7E00"/>
    <w:multiLevelType w:val="multilevel"/>
    <w:tmpl w:val="2732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wMzS3MDMxsACyzJR0lIJTi4sz8/NACoxqAd54mogsAAAA"/>
  </w:docVars>
  <w:rsids>
    <w:rsidRoot w:val="00891682"/>
    <w:rsid w:val="00120854"/>
    <w:rsid w:val="00802888"/>
    <w:rsid w:val="00834900"/>
    <w:rsid w:val="00891682"/>
    <w:rsid w:val="00D313A6"/>
    <w:rsid w:val="00FE4A7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13EC"/>
  <w15:chartTrackingRefBased/>
  <w15:docId w15:val="{4E3CC89E-962C-4498-B4A9-E16A93CB6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91682"/>
    <w:pPr>
      <w:spacing w:line="480" w:lineRule="auto"/>
    </w:pPr>
    <w:rPr>
      <w:rFonts w:ascii="Arial" w:hAnsi="Arial"/>
      <w:color w:val="000000" w:themeColor="text1"/>
    </w:rPr>
  </w:style>
  <w:style w:type="paragraph" w:styleId="Otsikko1">
    <w:name w:val="heading 1"/>
    <w:basedOn w:val="Normaali"/>
    <w:next w:val="Normaali"/>
    <w:link w:val="Otsikko1Char"/>
    <w:uiPriority w:val="9"/>
    <w:qFormat/>
    <w:rsid w:val="00891682"/>
    <w:pPr>
      <w:keepNext/>
      <w:keepLines/>
      <w:spacing w:before="240" w:after="0"/>
      <w:outlineLvl w:val="0"/>
    </w:pPr>
    <w:rPr>
      <w:rFonts w:eastAsiaTheme="majorEastAsia" w:cstheme="majorBidi"/>
      <w:sz w:val="28"/>
      <w:szCs w:val="32"/>
    </w:rPr>
  </w:style>
  <w:style w:type="paragraph" w:styleId="Otsikko2">
    <w:name w:val="heading 2"/>
    <w:basedOn w:val="Normaali"/>
    <w:next w:val="Normaali"/>
    <w:link w:val="Otsikko2Char"/>
    <w:uiPriority w:val="9"/>
    <w:unhideWhenUsed/>
    <w:qFormat/>
    <w:rsid w:val="00891682"/>
    <w:pPr>
      <w:keepNext/>
      <w:keepLines/>
      <w:spacing w:before="160" w:after="120"/>
      <w:outlineLvl w:val="1"/>
    </w:pPr>
    <w:rPr>
      <w:rFonts w:eastAsiaTheme="majorEastAsia" w:cstheme="majorBidi"/>
      <w:sz w:val="24"/>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91682"/>
    <w:rPr>
      <w:rFonts w:ascii="Arial" w:eastAsiaTheme="majorEastAsia" w:hAnsi="Arial" w:cstheme="majorBidi"/>
      <w:color w:val="000000" w:themeColor="text1"/>
      <w:sz w:val="28"/>
      <w:szCs w:val="32"/>
    </w:rPr>
  </w:style>
  <w:style w:type="character" w:customStyle="1" w:styleId="Otsikko2Char">
    <w:name w:val="Otsikko 2 Char"/>
    <w:basedOn w:val="Kappaleenoletusfontti"/>
    <w:link w:val="Otsikko2"/>
    <w:uiPriority w:val="9"/>
    <w:rsid w:val="00891682"/>
    <w:rPr>
      <w:rFonts w:ascii="Arial" w:eastAsiaTheme="majorEastAsia" w:hAnsi="Arial" w:cstheme="majorBidi"/>
      <w:color w:val="000000" w:themeColor="text1"/>
      <w:sz w:val="24"/>
      <w:szCs w:val="26"/>
    </w:rPr>
  </w:style>
  <w:style w:type="paragraph" w:styleId="Yltunniste">
    <w:name w:val="header"/>
    <w:basedOn w:val="Normaali"/>
    <w:link w:val="YltunnisteChar"/>
    <w:uiPriority w:val="99"/>
    <w:unhideWhenUsed/>
    <w:rsid w:val="00891682"/>
    <w:pPr>
      <w:tabs>
        <w:tab w:val="center" w:pos="4986"/>
        <w:tab w:val="right" w:pos="9972"/>
      </w:tabs>
      <w:spacing w:after="0" w:line="240" w:lineRule="auto"/>
    </w:pPr>
  </w:style>
  <w:style w:type="character" w:customStyle="1" w:styleId="YltunnisteChar">
    <w:name w:val="Ylätunniste Char"/>
    <w:basedOn w:val="Kappaleenoletusfontti"/>
    <w:link w:val="Yltunniste"/>
    <w:uiPriority w:val="99"/>
    <w:rsid w:val="00891682"/>
    <w:rPr>
      <w:rFonts w:ascii="Arial" w:hAnsi="Arial"/>
      <w:color w:val="000000" w:themeColor="text1"/>
    </w:rPr>
  </w:style>
  <w:style w:type="paragraph" w:styleId="Alatunniste">
    <w:name w:val="footer"/>
    <w:basedOn w:val="Normaali"/>
    <w:link w:val="AlatunnisteChar"/>
    <w:uiPriority w:val="99"/>
    <w:unhideWhenUsed/>
    <w:rsid w:val="00891682"/>
    <w:pPr>
      <w:tabs>
        <w:tab w:val="center" w:pos="4986"/>
        <w:tab w:val="right" w:pos="9972"/>
      </w:tabs>
      <w:spacing w:after="0" w:line="240" w:lineRule="auto"/>
    </w:pPr>
  </w:style>
  <w:style w:type="character" w:customStyle="1" w:styleId="AlatunnisteChar">
    <w:name w:val="Alatunniste Char"/>
    <w:basedOn w:val="Kappaleenoletusfontti"/>
    <w:link w:val="Alatunniste"/>
    <w:uiPriority w:val="99"/>
    <w:rsid w:val="00891682"/>
    <w:rPr>
      <w:rFonts w:ascii="Arial" w:hAnsi="Arial"/>
      <w:color w:val="000000" w:themeColor="text1"/>
    </w:rPr>
  </w:style>
  <w:style w:type="paragraph" w:styleId="Sisllysluettelonotsikko">
    <w:name w:val="TOC Heading"/>
    <w:basedOn w:val="Otsikko1"/>
    <w:next w:val="Normaali"/>
    <w:uiPriority w:val="39"/>
    <w:unhideWhenUsed/>
    <w:qFormat/>
    <w:rsid w:val="00891682"/>
    <w:pPr>
      <w:outlineLvl w:val="9"/>
    </w:pPr>
    <w:rPr>
      <w:rFonts w:asciiTheme="majorHAnsi" w:hAnsiTheme="majorHAnsi"/>
      <w:color w:val="2F5496" w:themeColor="accent1" w:themeShade="BF"/>
      <w:sz w:val="32"/>
      <w:lang w:val="en-US"/>
    </w:rPr>
  </w:style>
  <w:style w:type="paragraph" w:styleId="Sisluet1">
    <w:name w:val="toc 1"/>
    <w:basedOn w:val="Normaali"/>
    <w:next w:val="Normaali"/>
    <w:autoRedefine/>
    <w:uiPriority w:val="39"/>
    <w:unhideWhenUsed/>
    <w:rsid w:val="00891682"/>
    <w:pPr>
      <w:spacing w:after="100"/>
    </w:pPr>
  </w:style>
  <w:style w:type="character" w:styleId="Hyperlinkki">
    <w:name w:val="Hyperlink"/>
    <w:basedOn w:val="Kappaleenoletusfontti"/>
    <w:uiPriority w:val="99"/>
    <w:unhideWhenUsed/>
    <w:rsid w:val="00891682"/>
    <w:rPr>
      <w:color w:val="0563C1" w:themeColor="hyperlink"/>
      <w:u w:val="single"/>
    </w:rPr>
  </w:style>
  <w:style w:type="character" w:styleId="Rivinumero">
    <w:name w:val="line number"/>
    <w:basedOn w:val="Kappaleenoletusfontti"/>
    <w:uiPriority w:val="99"/>
    <w:semiHidden/>
    <w:unhideWhenUsed/>
    <w:rsid w:val="00891682"/>
  </w:style>
  <w:style w:type="paragraph" w:styleId="Kuvaotsikko">
    <w:name w:val="caption"/>
    <w:basedOn w:val="Normaali"/>
    <w:next w:val="Normaali"/>
    <w:uiPriority w:val="35"/>
    <w:unhideWhenUsed/>
    <w:qFormat/>
    <w:rsid w:val="00891682"/>
    <w:pPr>
      <w:spacing w:after="200" w:line="240" w:lineRule="auto"/>
    </w:pPr>
    <w:rPr>
      <w:i/>
      <w:iCs/>
      <w:color w:val="44546A" w:themeColor="text2"/>
      <w:sz w:val="18"/>
      <w:szCs w:val="18"/>
    </w:rPr>
  </w:style>
  <w:style w:type="character" w:styleId="Kommentinviite">
    <w:name w:val="annotation reference"/>
    <w:basedOn w:val="Kappaleenoletusfontti"/>
    <w:uiPriority w:val="99"/>
    <w:semiHidden/>
    <w:unhideWhenUsed/>
    <w:rsid w:val="00891682"/>
    <w:rPr>
      <w:sz w:val="16"/>
      <w:szCs w:val="16"/>
    </w:rPr>
  </w:style>
  <w:style w:type="paragraph" w:styleId="Kommentinteksti">
    <w:name w:val="annotation text"/>
    <w:basedOn w:val="Normaali"/>
    <w:link w:val="KommentintekstiChar"/>
    <w:uiPriority w:val="99"/>
    <w:unhideWhenUsed/>
    <w:rsid w:val="00891682"/>
    <w:pPr>
      <w:spacing w:line="240" w:lineRule="auto"/>
    </w:pPr>
    <w:rPr>
      <w:sz w:val="20"/>
      <w:szCs w:val="20"/>
    </w:rPr>
  </w:style>
  <w:style w:type="character" w:customStyle="1" w:styleId="KommentintekstiChar">
    <w:name w:val="Kommentin teksti Char"/>
    <w:basedOn w:val="Kappaleenoletusfontti"/>
    <w:link w:val="Kommentinteksti"/>
    <w:uiPriority w:val="99"/>
    <w:rsid w:val="00891682"/>
    <w:rPr>
      <w:rFonts w:ascii="Arial" w:hAnsi="Arial"/>
      <w:color w:val="000000" w:themeColor="text1"/>
      <w:sz w:val="20"/>
      <w:szCs w:val="20"/>
    </w:rPr>
  </w:style>
  <w:style w:type="paragraph" w:styleId="Kommentinotsikko">
    <w:name w:val="annotation subject"/>
    <w:basedOn w:val="Kommentinteksti"/>
    <w:next w:val="Kommentinteksti"/>
    <w:link w:val="KommentinotsikkoChar"/>
    <w:uiPriority w:val="99"/>
    <w:semiHidden/>
    <w:unhideWhenUsed/>
    <w:rsid w:val="00891682"/>
    <w:rPr>
      <w:b/>
      <w:bCs/>
    </w:rPr>
  </w:style>
  <w:style w:type="character" w:customStyle="1" w:styleId="KommentinotsikkoChar">
    <w:name w:val="Kommentin otsikko Char"/>
    <w:basedOn w:val="KommentintekstiChar"/>
    <w:link w:val="Kommentinotsikko"/>
    <w:uiPriority w:val="99"/>
    <w:semiHidden/>
    <w:rsid w:val="00891682"/>
    <w:rPr>
      <w:rFonts w:ascii="Arial" w:hAnsi="Arial"/>
      <w:b/>
      <w:bCs/>
      <w:color w:val="000000" w:themeColor="text1"/>
      <w:sz w:val="20"/>
      <w:szCs w:val="20"/>
    </w:rPr>
  </w:style>
  <w:style w:type="paragraph" w:styleId="Seliteteksti">
    <w:name w:val="Balloon Text"/>
    <w:basedOn w:val="Normaali"/>
    <w:link w:val="SelitetekstiChar"/>
    <w:uiPriority w:val="99"/>
    <w:semiHidden/>
    <w:unhideWhenUsed/>
    <w:rsid w:val="0089168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91682"/>
    <w:rPr>
      <w:rFonts w:ascii="Segoe UI" w:hAnsi="Segoe UI" w:cs="Segoe UI"/>
      <w:color w:val="000000" w:themeColor="text1"/>
      <w:sz w:val="18"/>
      <w:szCs w:val="18"/>
    </w:rPr>
  </w:style>
  <w:style w:type="table" w:styleId="TaulukkoRuudukko">
    <w:name w:val="Table Grid"/>
    <w:basedOn w:val="Normaalitaulukko"/>
    <w:uiPriority w:val="39"/>
    <w:rsid w:val="0089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name">
    <w:name w:val="user-name"/>
    <w:basedOn w:val="Kappaleenoletusfontti"/>
    <w:rsid w:val="00891682"/>
  </w:style>
  <w:style w:type="character" w:customStyle="1" w:styleId="post-date">
    <w:name w:val="post-date"/>
    <w:basedOn w:val="Kappaleenoletusfontti"/>
    <w:rsid w:val="00891682"/>
  </w:style>
  <w:style w:type="character" w:customStyle="1" w:styleId="ui-agodate">
    <w:name w:val="ui-agodate"/>
    <w:basedOn w:val="Kappaleenoletusfontti"/>
    <w:rsid w:val="00891682"/>
  </w:style>
  <w:style w:type="paragraph" w:styleId="NormaaliWWW">
    <w:name w:val="Normal (Web)"/>
    <w:basedOn w:val="Normaali"/>
    <w:uiPriority w:val="99"/>
    <w:semiHidden/>
    <w:unhideWhenUsed/>
    <w:rsid w:val="00891682"/>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character" w:styleId="Korostus">
    <w:name w:val="Emphasis"/>
    <w:basedOn w:val="Kappaleenoletusfontti"/>
    <w:uiPriority w:val="20"/>
    <w:qFormat/>
    <w:rsid w:val="00891682"/>
    <w:rPr>
      <w:i/>
      <w:iCs/>
    </w:rPr>
  </w:style>
  <w:style w:type="paragraph" w:customStyle="1" w:styleId="navigation-list-item">
    <w:name w:val="navigation-list-item"/>
    <w:basedOn w:val="Normaali"/>
    <w:rsid w:val="00891682"/>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paragraph" w:styleId="z-lomakkeenylreuna">
    <w:name w:val="HTML Top of Form"/>
    <w:basedOn w:val="Normaali"/>
    <w:next w:val="Normaali"/>
    <w:link w:val="z-lomakkeenylreunaChar"/>
    <w:hidden/>
    <w:uiPriority w:val="99"/>
    <w:semiHidden/>
    <w:unhideWhenUsed/>
    <w:rsid w:val="00891682"/>
    <w:pPr>
      <w:pBdr>
        <w:bottom w:val="single" w:sz="6" w:space="1" w:color="auto"/>
      </w:pBdr>
      <w:spacing w:after="0" w:line="240" w:lineRule="auto"/>
      <w:jc w:val="center"/>
    </w:pPr>
    <w:rPr>
      <w:rFonts w:eastAsia="Times New Roman" w:cs="Arial"/>
      <w:vanish/>
      <w:color w:val="auto"/>
      <w:sz w:val="16"/>
      <w:szCs w:val="16"/>
      <w:lang w:eastAsia="fi-FI"/>
    </w:rPr>
  </w:style>
  <w:style w:type="character" w:customStyle="1" w:styleId="z-lomakkeenylreunaChar">
    <w:name w:val="z-lomakkeen yläreuna Char"/>
    <w:basedOn w:val="Kappaleenoletusfontti"/>
    <w:link w:val="z-lomakkeenylreuna"/>
    <w:uiPriority w:val="99"/>
    <w:semiHidden/>
    <w:rsid w:val="00891682"/>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891682"/>
    <w:pPr>
      <w:pBdr>
        <w:top w:val="single" w:sz="6" w:space="1" w:color="auto"/>
      </w:pBdr>
      <w:spacing w:after="0" w:line="240" w:lineRule="auto"/>
      <w:jc w:val="center"/>
    </w:pPr>
    <w:rPr>
      <w:rFonts w:eastAsia="Times New Roman" w:cs="Arial"/>
      <w:vanish/>
      <w:color w:val="auto"/>
      <w:sz w:val="16"/>
      <w:szCs w:val="16"/>
      <w:lang w:eastAsia="fi-FI"/>
    </w:rPr>
  </w:style>
  <w:style w:type="character" w:customStyle="1" w:styleId="z-lomakkeenalareunaChar">
    <w:name w:val="z-lomakkeen alareuna Char"/>
    <w:basedOn w:val="Kappaleenoletusfontti"/>
    <w:link w:val="z-lomakkeenalareuna"/>
    <w:uiPriority w:val="99"/>
    <w:semiHidden/>
    <w:rsid w:val="00891682"/>
    <w:rPr>
      <w:rFonts w:ascii="Arial" w:eastAsia="Times New Roman" w:hAnsi="Arial" w:cs="Arial"/>
      <w:vanish/>
      <w:sz w:val="16"/>
      <w:szCs w:val="16"/>
      <w:lang w:eastAsia="fi-FI"/>
    </w:rPr>
  </w:style>
  <w:style w:type="paragraph" w:customStyle="1" w:styleId="filter-option">
    <w:name w:val="filter-option"/>
    <w:basedOn w:val="Normaali"/>
    <w:rsid w:val="00891682"/>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paragraph" w:customStyle="1" w:styleId="threaded">
    <w:name w:val="threaded"/>
    <w:basedOn w:val="Normaali"/>
    <w:rsid w:val="00891682"/>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character" w:customStyle="1" w:styleId="votes">
    <w:name w:val="votes"/>
    <w:basedOn w:val="Kappaleenoletusfontti"/>
    <w:rsid w:val="00891682"/>
  </w:style>
  <w:style w:type="character" w:customStyle="1" w:styleId="vote">
    <w:name w:val="vote"/>
    <w:basedOn w:val="Kappaleenoletusfontti"/>
    <w:rsid w:val="00891682"/>
  </w:style>
  <w:style w:type="paragraph" w:styleId="Muutos">
    <w:name w:val="Revision"/>
    <w:hidden/>
    <w:uiPriority w:val="99"/>
    <w:semiHidden/>
    <w:rsid w:val="00891682"/>
    <w:pPr>
      <w:spacing w:after="0" w:line="240" w:lineRule="auto"/>
    </w:pPr>
    <w:rPr>
      <w:rFonts w:ascii="Arial" w:hAnsi="Arial"/>
      <w:color w:val="000000" w:themeColor="text1"/>
    </w:rPr>
  </w:style>
  <w:style w:type="character" w:customStyle="1" w:styleId="markvii6od15i">
    <w:name w:val="markvii6od15i"/>
    <w:basedOn w:val="Kappaleenoletusfontti"/>
    <w:rsid w:val="00891682"/>
  </w:style>
  <w:style w:type="character" w:customStyle="1" w:styleId="UnresolvedMention1">
    <w:name w:val="Unresolved Mention1"/>
    <w:basedOn w:val="Kappaleenoletusfontti"/>
    <w:uiPriority w:val="99"/>
    <w:semiHidden/>
    <w:unhideWhenUsed/>
    <w:rsid w:val="00891682"/>
    <w:rPr>
      <w:color w:val="605E5C"/>
      <w:shd w:val="clear" w:color="auto" w:fill="E1DFDD"/>
    </w:rPr>
  </w:style>
  <w:style w:type="character" w:styleId="Paikkamerkkiteksti">
    <w:name w:val="Placeholder Text"/>
    <w:basedOn w:val="Kappaleenoletusfontti"/>
    <w:uiPriority w:val="99"/>
    <w:semiHidden/>
    <w:rsid w:val="00891682"/>
    <w:rPr>
      <w:color w:val="808080"/>
    </w:rPr>
  </w:style>
  <w:style w:type="character" w:customStyle="1" w:styleId="UnresolvedMention2">
    <w:name w:val="Unresolved Mention2"/>
    <w:basedOn w:val="Kappaleenoletusfontti"/>
    <w:uiPriority w:val="99"/>
    <w:semiHidden/>
    <w:unhideWhenUsed/>
    <w:rsid w:val="00891682"/>
    <w:rPr>
      <w:color w:val="605E5C"/>
      <w:shd w:val="clear" w:color="auto" w:fill="E1DFDD"/>
    </w:rPr>
  </w:style>
  <w:style w:type="character" w:styleId="Voimakas">
    <w:name w:val="Strong"/>
    <w:basedOn w:val="Kappaleenoletusfontti"/>
    <w:uiPriority w:val="22"/>
    <w:qFormat/>
    <w:rsid w:val="008916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5CBA-7311-405C-B523-B8BB5567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10919</Words>
  <Characters>88449</Characters>
  <Application>Microsoft Office Word</Application>
  <DocSecurity>0</DocSecurity>
  <Lines>737</Lines>
  <Paragraphs>198</Paragraphs>
  <ScaleCrop>false</ScaleCrop>
  <Company/>
  <LinksUpToDate>false</LinksUpToDate>
  <CharactersWithSpaces>99170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Pyöriä, Lari J</dc:creator>
  <cp:keywords/>
  <dc:description/>
  <cp:lastModifiedBy>Pyöriä, Lari J</cp:lastModifiedBy>
  <cp:revision>3</cp:revision>
  <cp:lastPrinted>2022-03-01T17:13:00Z</cp:lastPrinted>
  <dcterms:created xsi:type="dcterms:W3CDTF">2022-03-18T07:24:00Z</dcterms:created>
  <dcterms:modified xsi:type="dcterms:W3CDTF">2022-03-18T07:50:00Z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http://www.zotero.org/styles/american-medical-association-no-et-al</vt:lpwstr>
  </property>
  <property fmtid="{D5CDD505-2E9C-101B-9397-08002B2CF9AE}" pid="5" name="Mendeley Recent Style Name 1_1">
    <vt:lpwstr>American Medical Association 11th edition (no "et al.")</vt:lpwstr>
  </property>
  <property fmtid="{D5CDD505-2E9C-101B-9397-08002B2CF9AE}" pid="6" name="Mendeley Recent Style Id 2_1">
    <vt:lpwstr>http://www.zotero.org/styles/blood</vt:lpwstr>
  </property>
  <property fmtid="{D5CDD505-2E9C-101B-9397-08002B2CF9AE}" pid="7" name="Mendeley Recent Style Name 2_1">
    <vt:lpwstr>Blood</vt:lpwstr>
  </property>
  <property fmtid="{D5CDD505-2E9C-101B-9397-08002B2CF9AE}" pid="8" name="Mendeley Recent Style Id 3_1">
    <vt:lpwstr>http://www.zotero.org/styles/cell-host-and-microbe</vt:lpwstr>
  </property>
  <property fmtid="{D5CDD505-2E9C-101B-9397-08002B2CF9AE}" pid="9" name="Mendeley Recent Style Name 3_1">
    <vt:lpwstr>Cell Host &amp; Microbe</vt:lpwstr>
  </property>
  <property fmtid="{D5CDD505-2E9C-101B-9397-08002B2CF9AE}" pid="10" name="Mendeley Recent Style Id 4_1">
    <vt:lpwstr>http://www.zotero.org/styles/circulation</vt:lpwstr>
  </property>
  <property fmtid="{D5CDD505-2E9C-101B-9397-08002B2CF9AE}" pid="11" name="Mendeley Recent Style Name 4_1">
    <vt:lpwstr>Circulation</vt:lpwstr>
  </property>
  <property fmtid="{D5CDD505-2E9C-101B-9397-08002B2CF9AE}" pid="12" name="Mendeley Recent Style Id 5_1">
    <vt:lpwstr>http://www.zotero.org/styles/microbiome</vt:lpwstr>
  </property>
  <property fmtid="{D5CDD505-2E9C-101B-9397-08002B2CF9AE}" pid="13" name="Mendeley Recent Style Name 5_1">
    <vt:lpwstr>Microbiome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http://csl.mendeley.com/styles/513891221/springer-vancouver-brackets-nopublisher</vt:lpwstr>
  </property>
  <property fmtid="{D5CDD505-2E9C-101B-9397-08002B2CF9AE}" pid="19" name="Mendeley Recent Style Name 8_1">
    <vt:lpwstr>Springer - Vancouver (brackets) - nopublisher</vt:lpwstr>
  </property>
  <property fmtid="{D5CDD505-2E9C-101B-9397-08002B2CF9AE}" pid="20" name="Mendeley Recent Style Id 9_1">
    <vt:lpwstr>http://www.zotero.org/styles/the-new-england-journal-of-medicine</vt:lpwstr>
  </property>
  <property fmtid="{D5CDD505-2E9C-101B-9397-08002B2CF9AE}" pid="21" name="Mendeley Recent Style Name 9_1">
    <vt:lpwstr>The New England Journal of Medicine</vt:lpwstr>
  </property>
  <property fmtid="{D5CDD505-2E9C-101B-9397-08002B2CF9AE}" pid="22" name="Mendeley Document_1">
    <vt:lpwstr>True</vt:lpwstr>
  </property>
  <property fmtid="{D5CDD505-2E9C-101B-9397-08002B2CF9AE}" pid="23" name="Mendeley Unique User Id_1">
    <vt:lpwstr>72452e7b-bef2-3e3b-b5ce-2c4e59e1593d</vt:lpwstr>
  </property>
  <property fmtid="{D5CDD505-2E9C-101B-9397-08002B2CF9AE}" pid="24" name="Mendeley Citation Style_1">
    <vt:lpwstr>http://csl.mendeley.com/styles/513891221/springer-vancouver-brackets-nopublisher</vt:lpwstr>
  </property>
</Properties>
</file>