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  <w:t>Table2</w:t>
      </w:r>
      <w:r>
        <w:rPr>
          <w:rFonts w:hint="eastAsia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 xml:space="preserve">Risk factors for lymph node metastasis identified by univariate and multivariate logistic regression analysis in training cohort  </w:t>
      </w:r>
      <w:r>
        <w:rPr>
          <w:rFonts w:hint="eastAsia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 xml:space="preserve">  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840"/>
        <w:gridCol w:w="30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30" w:type="dxa"/>
            <w:vMerge w:val="restart"/>
            <w:tcBorders>
              <w:top w:val="single" w:color="auto" w:sz="12" w:space="0"/>
              <w:left w:val="nil"/>
              <w:right w:val="nil"/>
            </w:tcBorders>
            <w:noWrap w:val="0"/>
            <w:vAlign w:val="top"/>
          </w:tcPr>
          <w:p>
            <w:pPr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32"/>
                <w:szCs w:val="32"/>
                <w:vertAlign w:val="baseline"/>
                <w:lang w:val="en-US" w:eastAsia="zh-CN"/>
              </w:rPr>
              <w:t>variables</w:t>
            </w:r>
          </w:p>
        </w:tc>
        <w:tc>
          <w:tcPr>
            <w:tcW w:w="284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Univariate analysis</w:t>
            </w:r>
          </w:p>
        </w:tc>
        <w:tc>
          <w:tcPr>
            <w:tcW w:w="3059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Multivariate analysis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continue"/>
            <w:tcBorders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28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OR(95%CI)      P value</w:t>
            </w:r>
          </w:p>
        </w:tc>
        <w:tc>
          <w:tcPr>
            <w:tcW w:w="305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OR(95% CI)      P 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 xml:space="preserve">Age of diagnosis(years) 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 xml:space="preserve"> </w:t>
            </w:r>
          </w:p>
        </w:tc>
        <w:tc>
          <w:tcPr>
            <w:tcW w:w="2840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 xml:space="preserve">                      &lt;0.001</w:t>
            </w:r>
          </w:p>
        </w:tc>
        <w:tc>
          <w:tcPr>
            <w:tcW w:w="3059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 xml:space="preserve">                        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&lt;40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Reference</w:t>
            </w: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Reference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40-49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0.83 (0.75-0.93)         &lt;0.001</w:t>
            </w: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0.19 (0.12-0.28)           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 xml:space="preserve">50-59 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0.71 (0.64-0.79)         &lt;0.001</w:t>
            </w: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0.15 (0.09-0.22)           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60-69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0.55 (0.49-0.61)         &lt;0.001</w:t>
            </w: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0.12 (0.08-0.19)           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≥70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0.46 (0.42-0.52)         &lt;0.001</w:t>
            </w: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0.12 (0.08-0.19)           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>Sex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 xml:space="preserve">                      0.341</w:t>
            </w: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 xml:space="preserve">                        0.469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Male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-                       -</w:t>
            </w: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-                        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Female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-                       -</w:t>
            </w: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-                        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>Race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 xml:space="preserve">                      &lt;0.001</w:t>
            </w: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 xml:space="preserve">                        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White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Reference              &lt;0.001</w:t>
            </w: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Reference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 xml:space="preserve">Black 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1.29 (1.21-1.38)         &lt;0.001</w:t>
            </w: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1.17 (1.09-1.26)           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356235</wp:posOffset>
                      </wp:positionH>
                      <wp:positionV relativeFrom="paragraph">
                        <wp:posOffset>52070</wp:posOffset>
                      </wp:positionV>
                      <wp:extent cx="7620" cy="93980"/>
                      <wp:effectExtent l="48260" t="635" r="50800" b="12065"/>
                      <wp:wrapNone/>
                      <wp:docPr id="13" name="直接箭头连接符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620" cy="9398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4A7EBB"/>
                                </a:solidFill>
                                <a:prstDash val="solid"/>
                                <a:round/>
                                <a:headEnd type="none" w="med" len="med"/>
                                <a:tailEnd type="arrow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28.05pt;margin-top:4.1pt;height:7.4pt;width:0.6pt;z-index:251659264;mso-width-relative:page;mso-height-relative:page;" filled="f" stroked="t" coordsize="21600,21600" o:gfxdata="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Cw7waHXAAAABgEAAA8AAAAAAAAAAQAg&#10;AAAAIgAAAGRycy9kb3ducmV2LnhtbFBLAQIUABQAAAAIAIdO4kDquPHXDwIAAPoDAAAOAAAAAAAA&#10;AAEAIAAAACYBAABkcnMvZTJvRG9jLnhtbFBLBQYAAAAABgAGAFkBAACnBQAAAAA=&#10;">
                      <v:fill on="f" focussize="0,0"/>
                      <v:stroke color="#4A7EBB" joinstyle="round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Others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1.16 (1.04-1.28)          0.005</w:t>
            </w: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1.12 (1.00-1.25)              0.041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 xml:space="preserve">Primary site 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 xml:space="preserve">                      &lt;0.001</w:t>
            </w: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 xml:space="preserve">                        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 xml:space="preserve">Inner quadrant 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Reference</w:t>
            </w: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Reference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Outer quadrant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1.88 (1.75-2.03)         &lt;0.001</w:t>
            </w: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1.87 (1.73-2.02)           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Central portion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1.63 (1.38-1.91)         &lt;0.001</w:t>
            </w: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1.79 (1.51-2.12)           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 xml:space="preserve">Overlapping lesion 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1.4 (1.29-1.53)          &lt;0.001</w:t>
            </w: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1.43 (1.31-1.57)           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 xml:space="preserve">Axillary tail 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4.02 (3.05-5.3)          &lt;0.001</w:t>
            </w: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4.17 (3.11-5.61)           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 xml:space="preserve">Tumor size  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 xml:space="preserve">                      &lt;0.001</w:t>
            </w: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 xml:space="preserve">                        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vertAlign w:val="baseline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 xml:space="preserve">T1 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vertAlign w:val="baseline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Reference</w:t>
            </w: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vertAlign w:val="baseline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Reference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vertAlign w:val="baseline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T2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2.92 (2.76-3.09)         &lt;0.001</w:t>
            </w: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2.76 (2.6-2.93)            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 xml:space="preserve">Grade  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             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 xml:space="preserve"> &lt;0.001</w:t>
            </w: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                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Reference</w:t>
            </w: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vertAlign w:val="baseline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Reference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2.32 (1.79-3.05)         &lt;0.001</w:t>
            </w: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2.10 (1.61-2.78)            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3.54 (2.76-4.63)         &lt;0.001</w:t>
            </w: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2.49 (1.92-3.26)           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 xml:space="preserve">Histologic type 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             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 xml:space="preserve"> &lt;0.001</w:t>
            </w: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 xml:space="preserve">                        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IDC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Reference</w:t>
            </w: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Reference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 xml:space="preserve">ILC 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2.25 (2.02-2.51)         &lt;0.001</w:t>
            </w: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0.27 (0.17-0.41)           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>
            <w:pP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Others</w:t>
            </w:r>
          </w:p>
        </w:tc>
        <w:tc>
          <w:tcPr>
            <w:tcW w:w="2840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0.21 (0.17-0.24)         &lt;0.001</w:t>
            </w:r>
          </w:p>
        </w:tc>
        <w:tc>
          <w:tcPr>
            <w:tcW w:w="3059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 xml:space="preserve">0.05 (0.04-0.08)          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&lt;0.001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</w:pPr>
      <w:bookmarkStart w:id="0" w:name="_GoBack"/>
      <w:r>
        <w:rPr>
          <w:rFonts w:hint="eastAsia" w:ascii="Times New Roman" w:hAnsi="Times New Roman" w:cs="Times New Roman"/>
          <w:b w:val="0"/>
          <w:bCs w:val="0"/>
          <w:color w:val="000000"/>
          <w:sz w:val="18"/>
          <w:szCs w:val="18"/>
          <w:lang w:val="en-US"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153035</wp:posOffset>
                </wp:positionH>
                <wp:positionV relativeFrom="paragraph">
                  <wp:posOffset>64135</wp:posOffset>
                </wp:positionV>
                <wp:extent cx="7620" cy="93980"/>
                <wp:effectExtent l="48260" t="635" r="50800" b="12065"/>
                <wp:wrapNone/>
                <wp:docPr id="14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9398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4A7EBB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2.05pt;margin-top:5.05pt;height:7.4pt;width:0.6pt;z-index:251660288;mso-width-relative:page;mso-height-relative:page;" filled="f" stroked="t" coordsize="21600,21600" o:gfxdata="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mNHe6dYAAAAHAQAADwAAAAAAAAABACAA&#10;AAAiAAAAZHJzL2Rvd25yZXYueG1sUEsBAhQAFAAAAAgAh07iQIAxtQMPAgAA+gMAAA4AAAAAAAAA&#10;AQAgAAAAJQEAAGRycy9lMm9Eb2MueG1sUEsFBgAAAAAGAAYAWQEAAKYFAAAAAA==&#10;">
                <v:fill on="f" focussize="0,0"/>
                <v:stroke color="#4A7EBB" joinstyle="round" endarrow="open"/>
                <v:imagedata o:title=""/>
                <o:lock v:ext="edit" aspectratio="f"/>
              </v:shape>
            </w:pict>
          </mc:Fallback>
        </mc:AlternateContent>
      </w:r>
      <w:bookmarkEnd w:id="0"/>
      <w:r>
        <w:rPr>
          <w:rFonts w:hint="eastAsia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>,others includes American Indian, Alaskan native and Asian, Pacific Islander. IDC, infiltrating duct carcinoma; ILC, infiltrating lobular carcinoma. OR, odds ratio; CI, confidence interval.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C685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2022-03-18T08:38:59Z</dcterms:created>
  <dc:creator>asus</dc:creator>
  <cp:lastModifiedBy>毛玲</cp:lastModifiedBy>
  <dcterms:modified xsi:type="dcterms:W3CDTF">2022-03-18T08:39:10Z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47531664EF0E44CD84E07931EE8D8208</vt:lpwstr>
  </property>
</Properties>
</file>