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F7FDE" w14:textId="77777777" w:rsidR="00823769" w:rsidRDefault="0067498D" w:rsidP="00823769">
      <w:pPr>
        <w:spacing w:line="240" w:lineRule="auto"/>
        <w:ind w:firstLineChars="200" w:firstLine="480"/>
        <w:rPr>
          <w:b/>
        </w:rPr>
      </w:pPr>
      <w:r>
        <w:rPr>
          <w:noProof/>
        </w:rPr>
        <w:drawing>
          <wp:inline distT="0" distB="0" distL="114300" distR="114300" wp14:anchorId="2577664E" wp14:editId="2BA0CBB9">
            <wp:extent cx="3797300" cy="2006600"/>
            <wp:effectExtent l="0" t="0" r="0" b="0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82738FE" w14:textId="0689EAC0" w:rsidR="001E69CA" w:rsidRPr="00823769" w:rsidRDefault="000C3EC8" w:rsidP="00823769">
      <w:pPr>
        <w:spacing w:line="240" w:lineRule="auto"/>
        <w:rPr>
          <w:b/>
        </w:rPr>
      </w:pPr>
      <w:r w:rsidRPr="0001436A">
        <w:rPr>
          <w:b/>
        </w:rPr>
        <w:t xml:space="preserve">Supplementary Figure </w:t>
      </w:r>
      <w:r w:rsidRPr="0001436A">
        <w:rPr>
          <w:b/>
        </w:rPr>
        <w:fldChar w:fldCharType="begin"/>
      </w:r>
      <w:r w:rsidRPr="0001436A">
        <w:rPr>
          <w:b/>
        </w:rPr>
        <w:instrText xml:space="preserve"> SEQ Figure \* ARABIC </w:instrText>
      </w:r>
      <w:r w:rsidRPr="0001436A">
        <w:rPr>
          <w:b/>
        </w:rPr>
        <w:fldChar w:fldCharType="separate"/>
      </w:r>
      <w:r w:rsidR="00FC7B66">
        <w:rPr>
          <w:b/>
          <w:noProof/>
        </w:rPr>
        <w:t>1</w:t>
      </w:r>
      <w:r w:rsidRPr="0001436A">
        <w:rPr>
          <w:b/>
        </w:rPr>
        <w:fldChar w:fldCharType="end"/>
      </w:r>
      <w:r w:rsidRPr="0001436A">
        <w:rPr>
          <w:b/>
        </w:rPr>
        <w:t>.</w:t>
      </w:r>
      <w:r w:rsidRPr="000C3EC8">
        <w:t xml:space="preserve"> </w:t>
      </w:r>
      <w:r w:rsidR="0067498D" w:rsidRPr="000C3EC8">
        <w:rPr>
          <w:lang w:val="en-US" w:eastAsia="zh-CN"/>
        </w:rPr>
        <w:t>The proportion of DLBCL component in FL/DLBCL patients</w:t>
      </w:r>
    </w:p>
    <w:p w14:paraId="6ABB475D" w14:textId="47395543" w:rsidR="00151B7E" w:rsidRDefault="00151B7E" w:rsidP="00FC7B66">
      <w:pPr>
        <w:spacing w:line="240" w:lineRule="auto"/>
        <w:ind w:firstLineChars="200" w:firstLine="480"/>
        <w:rPr>
          <w:lang w:val="en-US" w:eastAsia="zh-CN"/>
        </w:rPr>
      </w:pPr>
      <w:r>
        <w:rPr>
          <w:noProof/>
        </w:rPr>
        <w:drawing>
          <wp:inline distT="0" distB="0" distL="0" distR="0" wp14:anchorId="628FB35E" wp14:editId="464BDBA0">
            <wp:extent cx="4197350" cy="505036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644" cy="511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BFEE" w14:textId="52B430C7" w:rsidR="00151B7E" w:rsidRPr="00823769" w:rsidRDefault="00151B7E" w:rsidP="00823769">
      <w:pPr>
        <w:spacing w:line="240" w:lineRule="auto"/>
        <w:rPr>
          <w:rFonts w:hint="eastAsia"/>
          <w:szCs w:val="22"/>
          <w:shd w:val="clear" w:color="auto" w:fill="FFFFFF" w:themeFill="background1"/>
          <w:lang w:val="en-US" w:eastAsia="en-US"/>
        </w:rPr>
      </w:pPr>
      <w:r w:rsidRPr="0001436A">
        <w:rPr>
          <w:b/>
        </w:rPr>
        <w:t xml:space="preserve">Supplementary Figure </w:t>
      </w:r>
      <w:r>
        <w:rPr>
          <w:b/>
        </w:rPr>
        <w:t>2</w:t>
      </w:r>
      <w:r>
        <w:rPr>
          <w:shd w:val="clear" w:color="auto" w:fill="FFFFFF" w:themeFill="background1"/>
        </w:rPr>
        <w:t xml:space="preserve">. Progression free survival (PFS) (A) and overall survival (OS) (B) of patients with germinal </w:t>
      </w:r>
      <w:proofErr w:type="spellStart"/>
      <w:r>
        <w:rPr>
          <w:shd w:val="clear" w:color="auto" w:fill="FFFFFF" w:themeFill="background1"/>
        </w:rPr>
        <w:t>center</w:t>
      </w:r>
      <w:proofErr w:type="spellEnd"/>
      <w:r>
        <w:rPr>
          <w:shd w:val="clear" w:color="auto" w:fill="FFFFFF" w:themeFill="background1"/>
        </w:rPr>
        <w:t xml:space="preserve"> B-cell-like (GCB) follicle lymphoma / diffuse large B-cell lymphoma (FL/DLBCL) and non-GCB FL/DLBCL; PFS (C) and OS (D) of patients with FL1-3a / DLBCL and FL3b/DLBCL; PFS (E) and OS (F) according to the proportion of DLBCL component in FL/DLBCL patients.</w:t>
      </w:r>
    </w:p>
    <w:sectPr w:rsidR="00151B7E" w:rsidRPr="00823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68268" w14:textId="77777777" w:rsidR="008F200D" w:rsidRDefault="008F200D" w:rsidP="00BE7AEC">
      <w:pPr>
        <w:spacing w:line="240" w:lineRule="auto"/>
      </w:pPr>
      <w:r>
        <w:separator/>
      </w:r>
    </w:p>
  </w:endnote>
  <w:endnote w:type="continuationSeparator" w:id="0">
    <w:p w14:paraId="3F39EE63" w14:textId="77777777" w:rsidR="008F200D" w:rsidRDefault="008F200D" w:rsidP="00BE7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81065" w14:textId="77777777" w:rsidR="008F200D" w:rsidRDefault="008F200D" w:rsidP="00BE7AEC">
      <w:pPr>
        <w:spacing w:line="240" w:lineRule="auto"/>
      </w:pPr>
      <w:r>
        <w:separator/>
      </w:r>
    </w:p>
  </w:footnote>
  <w:footnote w:type="continuationSeparator" w:id="0">
    <w:p w14:paraId="53417579" w14:textId="77777777" w:rsidR="008F200D" w:rsidRDefault="008F200D" w:rsidP="00BE7A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CA"/>
    <w:rsid w:val="000007CE"/>
    <w:rsid w:val="000C3EC8"/>
    <w:rsid w:val="00151B7E"/>
    <w:rsid w:val="001E69CA"/>
    <w:rsid w:val="00470772"/>
    <w:rsid w:val="0067498D"/>
    <w:rsid w:val="007670D1"/>
    <w:rsid w:val="00786929"/>
    <w:rsid w:val="00823769"/>
    <w:rsid w:val="008F200D"/>
    <w:rsid w:val="00BE7AEC"/>
    <w:rsid w:val="00D428DC"/>
    <w:rsid w:val="00F45B19"/>
    <w:rsid w:val="00F83941"/>
    <w:rsid w:val="00FC7B66"/>
    <w:rsid w:val="104D2418"/>
    <w:rsid w:val="111C22BB"/>
    <w:rsid w:val="12BC6231"/>
    <w:rsid w:val="174F5889"/>
    <w:rsid w:val="196318B0"/>
    <w:rsid w:val="1D2F7745"/>
    <w:rsid w:val="20D03577"/>
    <w:rsid w:val="268605C6"/>
    <w:rsid w:val="365C2DDA"/>
    <w:rsid w:val="38DF2C0D"/>
    <w:rsid w:val="3D357CF8"/>
    <w:rsid w:val="412F6A30"/>
    <w:rsid w:val="43872F8F"/>
    <w:rsid w:val="4A07579D"/>
    <w:rsid w:val="4E916FF8"/>
    <w:rsid w:val="53FB46EC"/>
    <w:rsid w:val="5C374B53"/>
    <w:rsid w:val="62600BF9"/>
    <w:rsid w:val="63F74C11"/>
    <w:rsid w:val="65233C54"/>
    <w:rsid w:val="66E91849"/>
    <w:rsid w:val="6D973C12"/>
    <w:rsid w:val="76F92695"/>
    <w:rsid w:val="780D2364"/>
    <w:rsid w:val="7B470FE9"/>
    <w:rsid w:val="7CC4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298A819"/>
  <w15:docId w15:val="{C9A4ABED-C473-4F4C-B4E6-C8DDE1CC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480" w:lineRule="auto"/>
    </w:pPr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E7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E7AEC"/>
    <w:rPr>
      <w:sz w:val="18"/>
      <w:szCs w:val="18"/>
      <w:lang w:val="en-GB" w:eastAsia="en-GB"/>
    </w:rPr>
  </w:style>
  <w:style w:type="paragraph" w:styleId="a6">
    <w:name w:val="footer"/>
    <w:basedOn w:val="a"/>
    <w:link w:val="a7"/>
    <w:rsid w:val="00BE7AE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E7AEC"/>
    <w:rPr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istrator\Desktop\&#22270;&#34920;&#21046;&#20316;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E6C-48E5-8765-A9289BA2F124}"/>
              </c:ext>
            </c:extLst>
          </c:dPt>
          <c:val>
            <c:numRef>
              <c:f>[图表制作.xls]Sheet1!$F$1:$F$36</c:f>
              <c:numCache>
                <c:formatCode>General</c:formatCode>
                <c:ptCount val="36"/>
                <c:pt idx="0">
                  <c:v>99</c:v>
                </c:pt>
                <c:pt idx="1">
                  <c:v>95</c:v>
                </c:pt>
                <c:pt idx="2">
                  <c:v>90</c:v>
                </c:pt>
                <c:pt idx="3">
                  <c:v>90</c:v>
                </c:pt>
                <c:pt idx="4">
                  <c:v>85</c:v>
                </c:pt>
                <c:pt idx="5">
                  <c:v>85</c:v>
                </c:pt>
                <c:pt idx="6">
                  <c:v>80</c:v>
                </c:pt>
                <c:pt idx="7">
                  <c:v>70</c:v>
                </c:pt>
                <c:pt idx="8">
                  <c:v>70</c:v>
                </c:pt>
                <c:pt idx="9">
                  <c:v>70</c:v>
                </c:pt>
                <c:pt idx="10">
                  <c:v>65</c:v>
                </c:pt>
                <c:pt idx="11">
                  <c:v>60</c:v>
                </c:pt>
                <c:pt idx="12">
                  <c:v>60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60</c:v>
                </c:pt>
                <c:pt idx="17">
                  <c:v>50</c:v>
                </c:pt>
                <c:pt idx="18">
                  <c:v>50</c:v>
                </c:pt>
                <c:pt idx="19">
                  <c:v>40</c:v>
                </c:pt>
                <c:pt idx="20">
                  <c:v>40</c:v>
                </c:pt>
                <c:pt idx="21">
                  <c:v>30</c:v>
                </c:pt>
                <c:pt idx="22">
                  <c:v>30</c:v>
                </c:pt>
                <c:pt idx="23">
                  <c:v>30</c:v>
                </c:pt>
                <c:pt idx="24">
                  <c:v>30</c:v>
                </c:pt>
                <c:pt idx="25">
                  <c:v>30</c:v>
                </c:pt>
                <c:pt idx="26">
                  <c:v>30</c:v>
                </c:pt>
                <c:pt idx="27">
                  <c:v>25</c:v>
                </c:pt>
                <c:pt idx="28">
                  <c:v>25</c:v>
                </c:pt>
                <c:pt idx="29">
                  <c:v>20</c:v>
                </c:pt>
                <c:pt idx="30">
                  <c:v>20</c:v>
                </c:pt>
                <c:pt idx="31">
                  <c:v>20</c:v>
                </c:pt>
                <c:pt idx="32">
                  <c:v>20</c:v>
                </c:pt>
                <c:pt idx="33">
                  <c:v>20</c:v>
                </c:pt>
                <c:pt idx="34">
                  <c:v>20</c:v>
                </c:pt>
                <c:pt idx="3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6C-48E5-8765-A9289BA2F1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overlap val="100"/>
        <c:axId val="346033033"/>
        <c:axId val="932889866"/>
      </c:barChart>
      <c:catAx>
        <c:axId val="346033033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50" b="0" i="0" u="none" strike="noStrike" kern="1200" baseline="0">
                    <a:ln w="28575">
                      <a:noFill/>
                    </a:ln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200">
                    <a:ln w="28575">
                      <a:noFill/>
                    </a:ln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FL/DLBCL Patients </a:t>
                </a:r>
              </a:p>
            </c:rich>
          </c:tx>
          <c:layout>
            <c:manualLayout>
              <c:xMode val="edge"/>
              <c:yMode val="edge"/>
              <c:x val="0.327210821437387"/>
              <c:y val="0.851257199454376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0" vertOverflow="ellipsis" vert="horz" wrap="square" anchor="ctr" anchorCtr="1"/>
            <a:lstStyle/>
            <a:p>
              <a:pPr defTabSz="914400">
                <a:defRPr lang="zh-CN" sz="1050" b="0" i="0" u="none" strike="noStrike" kern="1200" baseline="0">
                  <a:ln w="28575">
                    <a:noFill/>
                  </a:ln>
                  <a:solidFill>
                    <a:schemeClr val="tx1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defRPr>
              </a:pPr>
              <a:endParaRPr lang="zh-CN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>
            <a:solidFill>
              <a:schemeClr val="dk1">
                <a:shade val="95000"/>
                <a:satMod val="10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ln w="28575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932889866"/>
        <c:crosses val="autoZero"/>
        <c:auto val="1"/>
        <c:lblAlgn val="ctr"/>
        <c:lblOffset val="100"/>
        <c:noMultiLvlLbl val="0"/>
      </c:catAx>
      <c:valAx>
        <c:axId val="93288986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200" b="0" i="0" u="none" strike="noStrike" kern="1200" baseline="0">
                    <a:ln w="28575">
                      <a:noFill/>
                    </a:ln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200">
                    <a:ln w="28575">
                      <a:noFill/>
                    </a:ln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% of DLBCL component</a:t>
                </a:r>
                <a:endParaRPr lang="en-US" sz="1200">
                  <a:ln w="28575">
                    <a:noFill/>
                  </a:ln>
                  <a:solidFill>
                    <a:schemeClr val="tx1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overlay val="0"/>
          <c:spPr>
            <a:solidFill>
              <a:schemeClr val="lt1"/>
            </a:solidFill>
            <a:ln w="12700">
              <a:noFill/>
              <a:miter lim="800000"/>
            </a:ln>
            <a:effectLst/>
            <a:sp3d>
              <a:extrusionClr>
                <a:srgbClr val="FFFFFF"/>
              </a:extrusionClr>
              <a:contourClr>
                <a:srgbClr val="FFFFFF"/>
              </a:contourClr>
            </a:sp3d>
          </c:spPr>
          <c:txPr>
            <a:bodyPr rot="-5400000" spcFirstLastPara="0" vertOverflow="ellipsis" vert="horz" wrap="square" anchor="ctr" anchorCtr="1"/>
            <a:lstStyle/>
            <a:p>
              <a:pPr defTabSz="914400">
                <a:defRPr lang="zh-CN" sz="1200" b="0" i="0" u="none" strike="noStrike" kern="1200" baseline="0">
                  <a:ln w="28575">
                    <a:noFill/>
                  </a:ln>
                  <a:solidFill>
                    <a:schemeClr val="tx1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>
            <a:solidFill>
              <a:schemeClr val="dk1">
                <a:shade val="95000"/>
                <a:satMod val="105000"/>
              </a:schemeClr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ln w="28575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603303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>
      <a:noFill/>
      <a:round/>
    </a:ln>
    <a:effectLst/>
  </c:spPr>
  <c:txPr>
    <a:bodyPr/>
    <a:lstStyle/>
    <a:p>
      <a:pPr>
        <a:defRPr lang="zh-CN">
          <a:ln w="28575">
            <a:noFill/>
          </a:ln>
          <a:solidFill>
            <a:schemeClr val="tx1"/>
          </a:solidFill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lai guilan</cp:lastModifiedBy>
  <cp:revision>6</cp:revision>
  <cp:lastPrinted>2021-12-10T17:23:00Z</cp:lastPrinted>
  <dcterms:created xsi:type="dcterms:W3CDTF">2021-12-10T17:21:00Z</dcterms:created>
  <dcterms:modified xsi:type="dcterms:W3CDTF">2022-02-12T13:02:00Z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