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E1E9" w14:textId="1F26EF1B" w:rsidR="00BA5FF6" w:rsidRP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Pr="00BA5FF6">
        <w:rPr>
          <w:rFonts w:ascii="Times New Roman" w:hAnsi="Times New Roman" w:cs="Times New Roman"/>
          <w:b/>
          <w:szCs w:val="21"/>
        </w:rPr>
        <w:t xml:space="preserve"> </w:t>
      </w:r>
      <w:r w:rsidRPr="00BA5FF6">
        <w:rPr>
          <w:rFonts w:ascii="Times New Roman" w:hAnsi="Times New Roman" w:cs="Times New Roman"/>
          <w:bCs/>
          <w:szCs w:val="21"/>
        </w:rPr>
        <w:t>Correlation between CDKN3 expression level and the clinicopathologic characteristics of 25 cases of HCC patients.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0"/>
        <w:gridCol w:w="1563"/>
        <w:gridCol w:w="1811"/>
        <w:gridCol w:w="1577"/>
        <w:gridCol w:w="1578"/>
      </w:tblGrid>
      <w:tr w:rsidR="00BA5FF6" w:rsidRPr="0049352D" w14:paraId="7849D638" w14:textId="77777777" w:rsidTr="00B46EFE">
        <w:tc>
          <w:tcPr>
            <w:tcW w:w="1581" w:type="dxa"/>
            <w:tcBorders>
              <w:top w:val="single" w:sz="8" w:space="0" w:color="auto"/>
              <w:bottom w:val="nil"/>
            </w:tcBorders>
          </w:tcPr>
          <w:p w14:paraId="1FF8B33D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bottom w:val="nil"/>
            </w:tcBorders>
          </w:tcPr>
          <w:p w14:paraId="2300EDEC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B44A80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CDKN3</w:t>
            </w: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expression level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</w:tcBorders>
          </w:tcPr>
          <w:p w14:paraId="209B138D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Pearson's chi-square test (p-value⁎)</w:t>
            </w:r>
          </w:p>
        </w:tc>
      </w:tr>
      <w:tr w:rsidR="00BA5FF6" w:rsidRPr="0049352D" w14:paraId="2E3B6347" w14:textId="77777777" w:rsidTr="00B46EFE">
        <w:tc>
          <w:tcPr>
            <w:tcW w:w="1581" w:type="dxa"/>
            <w:tcBorders>
              <w:top w:val="nil"/>
              <w:bottom w:val="single" w:sz="8" w:space="0" w:color="auto"/>
            </w:tcBorders>
          </w:tcPr>
          <w:p w14:paraId="43AC25EB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3E3780B6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7251A5DF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Low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41556176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High</w:t>
            </w:r>
          </w:p>
        </w:tc>
        <w:tc>
          <w:tcPr>
            <w:tcW w:w="1578" w:type="dxa"/>
            <w:vMerge/>
            <w:tcBorders>
              <w:bottom w:val="single" w:sz="8" w:space="0" w:color="auto"/>
            </w:tcBorders>
          </w:tcPr>
          <w:p w14:paraId="0388B2AE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BA5FF6" w:rsidRPr="0049352D" w14:paraId="1AE39875" w14:textId="77777777" w:rsidTr="00B46EFE"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375C58C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Gender</w:t>
            </w:r>
          </w:p>
          <w:p w14:paraId="6CC5ECA1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013DABF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  <w:p w14:paraId="14BB876A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9469F8F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Differentiation</w:t>
            </w:r>
          </w:p>
          <w:p w14:paraId="2564255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DF9036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size</w:t>
            </w:r>
          </w:p>
          <w:p w14:paraId="2503370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76276B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number</w:t>
            </w:r>
          </w:p>
          <w:p w14:paraId="676FF66E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D4DD884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TNM stage</w:t>
            </w:r>
          </w:p>
          <w:p w14:paraId="3E7811C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F4EC04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Vascular invasion</w:t>
            </w:r>
          </w:p>
          <w:p w14:paraId="2B3269F6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AFP</w:t>
            </w:r>
          </w:p>
        </w:tc>
        <w:tc>
          <w:tcPr>
            <w:tcW w:w="1456" w:type="dxa"/>
            <w:tcBorders>
              <w:top w:val="single" w:sz="8" w:space="0" w:color="auto"/>
            </w:tcBorders>
          </w:tcPr>
          <w:p w14:paraId="4817CEDE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  <w:p w14:paraId="546805F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  <w:p w14:paraId="35B8F2F3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&lt;60</w:t>
            </w:r>
          </w:p>
          <w:p w14:paraId="134D2C8C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60</w:t>
            </w:r>
          </w:p>
          <w:p w14:paraId="12B2A94A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igh</w:t>
            </w:r>
          </w:p>
          <w:p w14:paraId="6B1538B9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oderate/low</w:t>
            </w:r>
          </w:p>
          <w:p w14:paraId="282DFDEE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5cm</w:t>
            </w:r>
          </w:p>
          <w:p w14:paraId="07735C8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5cm</w:t>
            </w:r>
          </w:p>
          <w:p w14:paraId="6FB1119C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ingle</w:t>
            </w:r>
          </w:p>
          <w:p w14:paraId="76FD8FD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ultiple</w:t>
            </w:r>
          </w:p>
          <w:p w14:paraId="788358C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I+II</w:t>
            </w:r>
          </w:p>
          <w:p w14:paraId="61F0F2DA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III+IV</w:t>
            </w:r>
          </w:p>
          <w:p w14:paraId="73A1701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</w:p>
          <w:p w14:paraId="1355BC2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es</w:t>
            </w:r>
          </w:p>
          <w:p w14:paraId="5B1F2A68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  <w:p w14:paraId="55AAD19D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15385B3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2E10050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379DB24A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37CD851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6276C241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010712BB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07663E9E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787CED1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6BA091D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0A06C3F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40978CE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11055509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149BE8F4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3C44925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2DAEC1D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244F0B5B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0773690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719098D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53436603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5BAD641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25E4DE5B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58331E6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3C222AFD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05D7F00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481FCDED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072BDC5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38B07D8C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65CD4770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0F3A7CE4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51D5EB34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6AD027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064410CF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578" w:type="dxa"/>
            <w:tcBorders>
              <w:top w:val="single" w:sz="8" w:space="0" w:color="auto"/>
            </w:tcBorders>
          </w:tcPr>
          <w:p w14:paraId="7C45818E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0.189</w:t>
            </w:r>
          </w:p>
          <w:p w14:paraId="118812CF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C464A2B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0.346</w:t>
            </w:r>
          </w:p>
          <w:p w14:paraId="1F982B9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BCCFCC6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0.189</w:t>
            </w:r>
          </w:p>
          <w:p w14:paraId="720A0541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57879D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0.678</w:t>
            </w:r>
          </w:p>
          <w:p w14:paraId="79E6DDE1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8DB0A75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0.702</w:t>
            </w:r>
          </w:p>
          <w:p w14:paraId="762CFEF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73D7EF4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0.840</w:t>
            </w:r>
          </w:p>
          <w:p w14:paraId="4D3C25FD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78A4277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0.144</w:t>
            </w:r>
          </w:p>
          <w:p w14:paraId="2E2483C2" w14:textId="77777777" w:rsidR="00BA5FF6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9DF699D" w14:textId="77777777" w:rsidR="00BA5FF6" w:rsidRPr="0049352D" w:rsidRDefault="00BA5FF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0.025</w:t>
            </w:r>
          </w:p>
        </w:tc>
      </w:tr>
    </w:tbl>
    <w:p w14:paraId="285C93FA" w14:textId="77777777" w:rsidR="00BA5FF6" w:rsidRPr="0049352D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9352D">
        <w:rPr>
          <w:rFonts w:ascii="Times New Roman" w:hAnsi="Times New Roman" w:cs="Times New Roman"/>
          <w:bCs/>
          <w:szCs w:val="21"/>
        </w:rPr>
        <w:t>⁎ Results were considered statistically significant at p &lt; 0.05.</w:t>
      </w:r>
    </w:p>
    <w:p w14:paraId="02A59EA3" w14:textId="77777777" w:rsidR="00BA5FF6" w:rsidRPr="0049352D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26C38B43" w14:textId="77777777" w:rsid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6C25E16" w14:textId="77777777" w:rsid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59A04D2E" w14:textId="77777777" w:rsid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75BDB9B8" w14:textId="77777777" w:rsid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0A8ACA26" w14:textId="77777777" w:rsidR="00BA5FF6" w:rsidRDefault="00BA5FF6" w:rsidP="00BA5FF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E8F43F6" w14:textId="0979C27D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F364B" w14:textId="77777777" w:rsidR="00E45850" w:rsidRDefault="00E45850" w:rsidP="00BA5FF6">
      <w:r>
        <w:separator/>
      </w:r>
    </w:p>
  </w:endnote>
  <w:endnote w:type="continuationSeparator" w:id="0">
    <w:p w14:paraId="0F51A07A" w14:textId="77777777" w:rsidR="00E45850" w:rsidRDefault="00E45850" w:rsidP="00BA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C07B6" w14:textId="77777777" w:rsidR="00E45850" w:rsidRDefault="00E45850" w:rsidP="00BA5FF6">
      <w:r>
        <w:separator/>
      </w:r>
    </w:p>
  </w:footnote>
  <w:footnote w:type="continuationSeparator" w:id="0">
    <w:p w14:paraId="580BA1B2" w14:textId="77777777" w:rsidR="00E45850" w:rsidRDefault="00E45850" w:rsidP="00BA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4"/>
    <w:rsid w:val="002E3D54"/>
    <w:rsid w:val="00BA5FF6"/>
    <w:rsid w:val="00E01701"/>
    <w:rsid w:val="00E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3B1B0"/>
  <w15:chartTrackingRefBased/>
  <w15:docId w15:val="{DA6D0985-59A7-4EE8-9860-CE11C608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F6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F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BA5FF6"/>
  </w:style>
  <w:style w:type="paragraph" w:styleId="a5">
    <w:name w:val="footer"/>
    <w:basedOn w:val="a"/>
    <w:link w:val="a6"/>
    <w:uiPriority w:val="99"/>
    <w:unhideWhenUsed/>
    <w:rsid w:val="00BA5FF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BA5FF6"/>
  </w:style>
  <w:style w:type="table" w:styleId="a7">
    <w:name w:val="Table Grid"/>
    <w:basedOn w:val="a1"/>
    <w:uiPriority w:val="39"/>
    <w:rsid w:val="00BA5FF6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2020-12-22T01:41:00Z</dcterms:created>
  <dcterms:modified xsi:type="dcterms:W3CDTF">2020-12-22T01:41:00Z</dcterms:modified>
</cp:coreProperties>
</file>