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6B0B9" w14:textId="77777777" w:rsidR="00B02FAA" w:rsidRPr="0007610A" w:rsidRDefault="00B02FAA" w:rsidP="00B02FAA">
      <w:pPr>
        <w:autoSpaceDE w:val="0"/>
        <w:autoSpaceDN w:val="0"/>
        <w:adjustRightInd w:val="0"/>
        <w:spacing w:line="360" w:lineRule="auto"/>
        <w:jc w:val="both"/>
        <w:rPr>
          <w:rFonts w:cstheme="minorHAnsi"/>
          <w:b/>
          <w:bCs/>
          <w:szCs w:val="22"/>
        </w:rPr>
      </w:pPr>
      <w:r w:rsidRPr="0007610A">
        <w:rPr>
          <w:rFonts w:cstheme="minorHAnsi"/>
          <w:b/>
          <w:bCs/>
          <w:szCs w:val="22"/>
        </w:rPr>
        <w:t>Methods (Online only)</w:t>
      </w:r>
    </w:p>
    <w:p w14:paraId="35F687B1" w14:textId="77777777" w:rsidR="00B02FAA" w:rsidRPr="0007610A" w:rsidRDefault="00B02FAA" w:rsidP="00B02FAA">
      <w:pPr>
        <w:autoSpaceDE w:val="0"/>
        <w:autoSpaceDN w:val="0"/>
        <w:adjustRightInd w:val="0"/>
        <w:spacing w:line="360" w:lineRule="auto"/>
        <w:jc w:val="both"/>
        <w:rPr>
          <w:rFonts w:cstheme="minorHAnsi"/>
          <w:b/>
          <w:bCs/>
          <w:szCs w:val="22"/>
        </w:rPr>
      </w:pPr>
      <w:r w:rsidRPr="0007610A">
        <w:rPr>
          <w:rFonts w:cstheme="minorHAnsi"/>
          <w:b/>
          <w:bCs/>
          <w:szCs w:val="22"/>
        </w:rPr>
        <w:t>Patient characteristics and healthy volunteers</w:t>
      </w:r>
    </w:p>
    <w:p w14:paraId="4DC06D03" w14:textId="77777777" w:rsidR="00B02FAA" w:rsidRPr="0007610A" w:rsidRDefault="00B02FAA" w:rsidP="00B02FAA">
      <w:pPr>
        <w:autoSpaceDE w:val="0"/>
        <w:autoSpaceDN w:val="0"/>
        <w:adjustRightInd w:val="0"/>
        <w:spacing w:line="360" w:lineRule="auto"/>
        <w:jc w:val="both"/>
        <w:rPr>
          <w:rFonts w:cstheme="minorHAnsi"/>
          <w:szCs w:val="22"/>
        </w:rPr>
      </w:pPr>
      <w:r w:rsidRPr="0007610A">
        <w:rPr>
          <w:rFonts w:cstheme="minorHAnsi"/>
          <w:szCs w:val="22"/>
        </w:rPr>
        <w:t>SARS-CoV-2 antibodies are reported on 381 patients with blood cancers who ha</w:t>
      </w:r>
      <w:r>
        <w:rPr>
          <w:rFonts w:cstheme="minorHAnsi"/>
          <w:szCs w:val="22"/>
        </w:rPr>
        <w:t>ve</w:t>
      </w:r>
      <w:r w:rsidRPr="0007610A">
        <w:rPr>
          <w:rFonts w:cstheme="minorHAnsi"/>
          <w:szCs w:val="22"/>
        </w:rPr>
        <w:t xml:space="preserve"> received prophylactic SARS-CoV-2 vaccinations. SARS-CoV-2 antibodies measured during routine care of patients attending the Department of Haematology, Imperial College Healthcare NHS Trust London since March 2021 were collated in the MARCH study (Monitoring Adaptive Responses to COVID19 vaccines in Haematology) and correlated with demographic and vaccination data form electronic health records. The MARCH study was approved by the Health Research Authority, Research Ethics Committee (reference: 21/NI/0176, IRAS project ID 299969).</w:t>
      </w:r>
      <w:r w:rsidRPr="0007610A">
        <w:rPr>
          <w:rFonts w:cstheme="minorHAnsi"/>
          <w:color w:val="2E2B2B"/>
          <w:szCs w:val="22"/>
        </w:rPr>
        <w:t xml:space="preserve"> </w:t>
      </w:r>
      <w:r w:rsidRPr="0007610A">
        <w:rPr>
          <w:rFonts w:cstheme="minorHAnsi"/>
          <w:szCs w:val="22"/>
        </w:rPr>
        <w:t>Serological responses were measured at routine clinical visits, and not at mandated timepoint pre-determined by a study protocol (su</w:t>
      </w:r>
      <w:r>
        <w:rPr>
          <w:rFonts w:cstheme="minorHAnsi"/>
          <w:szCs w:val="22"/>
        </w:rPr>
        <w:t>pplemental figure 1)</w:t>
      </w:r>
      <w:r w:rsidRPr="0007610A">
        <w:rPr>
          <w:rFonts w:cstheme="minorHAnsi"/>
          <w:szCs w:val="22"/>
        </w:rPr>
        <w:t xml:space="preserve">.  </w:t>
      </w:r>
      <w:r w:rsidRPr="0007610A">
        <w:rPr>
          <w:rFonts w:cstheme="minorHAnsi"/>
          <w:color w:val="2E2B2B"/>
          <w:szCs w:val="22"/>
        </w:rPr>
        <w:t xml:space="preserve">To determine the vaccine response in SARS-CoV-2-naive individuals, those </w:t>
      </w:r>
      <w:r w:rsidRPr="0007610A">
        <w:rPr>
          <w:rFonts w:cstheme="minorHAnsi"/>
          <w:szCs w:val="22"/>
        </w:rPr>
        <w:t xml:space="preserve">with a history of prior known </w:t>
      </w:r>
      <w:r w:rsidRPr="0007610A">
        <w:rPr>
          <w:rFonts w:cstheme="minorHAnsi"/>
          <w:color w:val="2E2B2B"/>
          <w:szCs w:val="22"/>
        </w:rPr>
        <w:t xml:space="preserve">SARS-CoV-2 </w:t>
      </w:r>
      <w:r w:rsidRPr="0007610A">
        <w:rPr>
          <w:rFonts w:cstheme="minorHAnsi"/>
          <w:szCs w:val="22"/>
        </w:rPr>
        <w:t>infection (PCR-proven), or the presence of anti-nucleocapsid protein antibody at the time of testing were excluded from this analysis. Twenty-eight h</w:t>
      </w:r>
      <w:r w:rsidRPr="0007610A">
        <w:rPr>
          <w:rFonts w:cstheme="minorHAnsi"/>
          <w:color w:val="2E2B2B"/>
          <w:szCs w:val="22"/>
        </w:rPr>
        <w:t xml:space="preserve">ealthy controls aged between 25-66 years with no prior history of SARS-CoV-2 infection, who received </w:t>
      </w:r>
      <w:r w:rsidRPr="0007610A">
        <w:rPr>
          <w:rFonts w:cstheme="minorHAnsi"/>
          <w:szCs w:val="22"/>
        </w:rPr>
        <w:t>Pfizer-BioNTech-BNT162b2 (n=25) or AstraZeneca-ChAdOx1-S/nCoV-19</w:t>
      </w:r>
      <w:r w:rsidRPr="0007610A">
        <w:rPr>
          <w:rFonts w:cstheme="minorHAnsi"/>
          <w:color w:val="2E2B2B"/>
          <w:szCs w:val="22"/>
        </w:rPr>
        <w:t xml:space="preserve"> (n=3) were recruited in the prospective COVAX study </w:t>
      </w:r>
      <w:r w:rsidRPr="0007610A">
        <w:rPr>
          <w:rFonts w:cstheme="minorHAnsi"/>
          <w:szCs w:val="22"/>
        </w:rPr>
        <w:t>and have previously been reported</w:t>
      </w:r>
      <w:sdt>
        <w:sdtPr>
          <w:rPr>
            <w:rFonts w:cstheme="minorHAnsi"/>
            <w:color w:val="000000"/>
            <w:szCs w:val="22"/>
            <w:vertAlign w:val="superscript"/>
          </w:rPr>
          <w:tag w:val="MENDELEY_CITATION_v3_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"/>
          <w:id w:val="-878709414"/>
          <w:placeholder>
            <w:docPart w:val="30F0548E6411E841B7354D7088F17B78"/>
          </w:placeholder>
        </w:sdtPr>
        <w:sdtContent>
          <w:r w:rsidRPr="0007610A">
            <w:rPr>
              <w:rFonts w:cstheme="minorHAnsi"/>
              <w:color w:val="000000"/>
              <w:szCs w:val="22"/>
              <w:vertAlign w:val="superscript"/>
            </w:rPr>
            <w:t>14</w:t>
          </w:r>
        </w:sdtContent>
      </w:sdt>
      <w:r w:rsidRPr="0007610A">
        <w:rPr>
          <w:rFonts w:cstheme="minorHAnsi"/>
          <w:szCs w:val="22"/>
        </w:rPr>
        <w:t>. Healthy controls underwent testing at 21 (n=13) and 49 (n=15) days post first dose and 21 (n=24) and 90 (n=23) days post vaccine 2,</w:t>
      </w:r>
    </w:p>
    <w:p w14:paraId="6A22F284" w14:textId="77777777" w:rsidR="00B02FAA" w:rsidRPr="0007610A" w:rsidRDefault="00B02FAA" w:rsidP="00B02FAA">
      <w:pPr>
        <w:pStyle w:val="NormalWeb"/>
        <w:shd w:val="clear" w:color="auto" w:fill="FFFFFF"/>
        <w:spacing w:before="0" w:beforeAutospacing="0" w:after="0" w:afterAutospacing="0" w:line="360" w:lineRule="auto"/>
        <w:jc w:val="both"/>
        <w:textAlignment w:val="baseline"/>
        <w:rPr>
          <w:rFonts w:asciiTheme="minorHAnsi" w:hAnsiTheme="minorHAnsi" w:cstheme="minorHAnsi"/>
          <w:b/>
          <w:bCs/>
          <w:color w:val="2E2B2B"/>
          <w:sz w:val="22"/>
          <w:szCs w:val="22"/>
        </w:rPr>
      </w:pPr>
    </w:p>
    <w:p w14:paraId="59BE9768" w14:textId="77777777" w:rsidR="00B02FAA" w:rsidRPr="0007610A" w:rsidRDefault="00B02FAA" w:rsidP="00B02FAA">
      <w:pPr>
        <w:pStyle w:val="NormalWeb"/>
        <w:shd w:val="clear" w:color="auto" w:fill="FFFFFF"/>
        <w:spacing w:before="0" w:beforeAutospacing="0" w:after="0" w:afterAutospacing="0" w:line="360" w:lineRule="auto"/>
        <w:jc w:val="both"/>
        <w:textAlignment w:val="baseline"/>
        <w:rPr>
          <w:rFonts w:asciiTheme="minorHAnsi" w:hAnsiTheme="minorHAnsi" w:cstheme="minorHAnsi"/>
          <w:b/>
          <w:bCs/>
          <w:color w:val="2E2B2B"/>
          <w:sz w:val="22"/>
          <w:szCs w:val="22"/>
        </w:rPr>
      </w:pPr>
      <w:r w:rsidRPr="0007610A">
        <w:rPr>
          <w:rFonts w:asciiTheme="minorHAnsi" w:hAnsiTheme="minorHAnsi" w:cstheme="minorHAnsi"/>
          <w:b/>
          <w:bCs/>
          <w:color w:val="2E2B2B"/>
          <w:sz w:val="22"/>
          <w:szCs w:val="22"/>
        </w:rPr>
        <w:t>SARS-CoV-2 IgG assay</w:t>
      </w:r>
    </w:p>
    <w:p w14:paraId="7FC3485E" w14:textId="77777777" w:rsidR="00B02FAA" w:rsidRPr="0007610A" w:rsidRDefault="00B02FAA" w:rsidP="00B02FAA">
      <w:pPr>
        <w:autoSpaceDE w:val="0"/>
        <w:autoSpaceDN w:val="0"/>
        <w:adjustRightInd w:val="0"/>
        <w:spacing w:line="360" w:lineRule="auto"/>
        <w:jc w:val="both"/>
        <w:rPr>
          <w:rFonts w:cstheme="minorHAnsi"/>
          <w:color w:val="2E2B2B"/>
          <w:szCs w:val="22"/>
        </w:rPr>
      </w:pPr>
      <w:r w:rsidRPr="0007610A">
        <w:rPr>
          <w:rFonts w:cstheme="minorHAnsi"/>
          <w:color w:val="2E2B2B"/>
          <w:szCs w:val="22"/>
        </w:rPr>
        <w:t xml:space="preserve">Sera from patients were tested for the presence of nucleocapsid protein (NP) antibodies and quantitative spike (S) IgG antibodies using the chemiluminescent microparticle immunoassay Abbott SARS-CoV-2 IgG II quant assay on the Abbott Architect </w:t>
      </w:r>
      <w:proofErr w:type="spellStart"/>
      <w:r w:rsidRPr="0007610A">
        <w:rPr>
          <w:rFonts w:cstheme="minorHAnsi"/>
          <w:color w:val="2E2B2B"/>
          <w:szCs w:val="22"/>
        </w:rPr>
        <w:t>i</w:t>
      </w:r>
      <w:proofErr w:type="spellEnd"/>
      <w:r w:rsidRPr="0007610A">
        <w:rPr>
          <w:rFonts w:cstheme="minorHAnsi"/>
          <w:color w:val="2E2B2B"/>
          <w:szCs w:val="22"/>
        </w:rPr>
        <w:t xml:space="preserve"> System according to manufacturers’ instructions (Abbott 6S60).   The assay is designed to detect IgG antibodies, including neutralising antibodies, to the receptor binding domain (RBD) of the S1 subunit of the spike protein.   Results are reported in Binding Antibody Units/mL (BAU/mL) calculated by multiplying the Abbott AU/mL by a conversion factor of 0.142, as described in the manufacturer’s instructions, on a scale of undetectable (&lt; 7.2) to &gt; 5680 BAU/</w:t>
      </w:r>
      <w:proofErr w:type="spellStart"/>
      <w:r w:rsidRPr="0007610A">
        <w:rPr>
          <w:rFonts w:cstheme="minorHAnsi"/>
          <w:color w:val="2E2B2B"/>
          <w:szCs w:val="22"/>
        </w:rPr>
        <w:t>mL.</w:t>
      </w:r>
      <w:proofErr w:type="spellEnd"/>
      <w:r w:rsidRPr="0007610A">
        <w:rPr>
          <w:rFonts w:cstheme="minorHAnsi"/>
          <w:color w:val="2E2B2B"/>
          <w:szCs w:val="22"/>
        </w:rPr>
        <w:t xml:space="preserve">  Anti-S in the lowest 10% of the </w:t>
      </w:r>
      <w:r>
        <w:rPr>
          <w:rFonts w:cstheme="minorHAnsi"/>
          <w:color w:val="2E2B2B"/>
          <w:szCs w:val="22"/>
        </w:rPr>
        <w:t xml:space="preserve">antibody </w:t>
      </w:r>
      <w:r w:rsidRPr="0007610A">
        <w:rPr>
          <w:rFonts w:cstheme="minorHAnsi"/>
          <w:color w:val="2E2B2B"/>
          <w:szCs w:val="22"/>
        </w:rPr>
        <w:t>detect</w:t>
      </w:r>
      <w:r>
        <w:rPr>
          <w:rFonts w:cstheme="minorHAnsi"/>
          <w:color w:val="2E2B2B"/>
          <w:szCs w:val="22"/>
        </w:rPr>
        <w:t xml:space="preserve">ion </w:t>
      </w:r>
      <w:r w:rsidRPr="0007610A">
        <w:rPr>
          <w:rFonts w:cstheme="minorHAnsi"/>
          <w:color w:val="2E2B2B"/>
          <w:szCs w:val="22"/>
        </w:rPr>
        <w:t>range were anti-S IgG &lt; 568 BAU/</w:t>
      </w:r>
      <w:proofErr w:type="spellStart"/>
      <w:r w:rsidRPr="0007610A">
        <w:rPr>
          <w:rFonts w:cstheme="minorHAnsi"/>
          <w:color w:val="2E2B2B"/>
          <w:szCs w:val="22"/>
        </w:rPr>
        <w:t>mL.</w:t>
      </w:r>
      <w:proofErr w:type="spellEnd"/>
      <w:r w:rsidRPr="0007610A">
        <w:rPr>
          <w:rFonts w:cstheme="minorHAnsi"/>
          <w:color w:val="2E2B2B"/>
          <w:szCs w:val="22"/>
        </w:rPr>
        <w:t xml:space="preserve"> </w:t>
      </w:r>
    </w:p>
    <w:p w14:paraId="01BC4B51" w14:textId="77777777" w:rsidR="00B02FAA" w:rsidRPr="0007610A" w:rsidRDefault="00B02FAA" w:rsidP="00B02FAA">
      <w:pPr>
        <w:autoSpaceDE w:val="0"/>
        <w:autoSpaceDN w:val="0"/>
        <w:adjustRightInd w:val="0"/>
        <w:spacing w:line="360" w:lineRule="auto"/>
        <w:jc w:val="both"/>
        <w:rPr>
          <w:rFonts w:cstheme="minorHAnsi"/>
          <w:color w:val="2E2B2B"/>
          <w:szCs w:val="22"/>
        </w:rPr>
      </w:pPr>
    </w:p>
    <w:p w14:paraId="2FA21DFF" w14:textId="77777777" w:rsidR="00B02FAA" w:rsidRPr="0007610A" w:rsidRDefault="00B02FAA" w:rsidP="00B02FAA">
      <w:pPr>
        <w:autoSpaceDE w:val="0"/>
        <w:autoSpaceDN w:val="0"/>
        <w:adjustRightInd w:val="0"/>
        <w:spacing w:line="360" w:lineRule="auto"/>
        <w:jc w:val="both"/>
        <w:rPr>
          <w:rFonts w:cstheme="minorHAnsi"/>
          <w:b/>
          <w:bCs/>
          <w:color w:val="2E2B2B"/>
          <w:szCs w:val="22"/>
        </w:rPr>
      </w:pPr>
      <w:r w:rsidRPr="0007610A">
        <w:rPr>
          <w:rFonts w:cstheme="minorHAnsi"/>
          <w:b/>
          <w:bCs/>
          <w:color w:val="2E2B2B"/>
          <w:szCs w:val="22"/>
        </w:rPr>
        <w:t>Statistical analysis</w:t>
      </w:r>
    </w:p>
    <w:p w14:paraId="7965829F" w14:textId="77777777" w:rsidR="00B02FAA" w:rsidRPr="0007610A" w:rsidRDefault="00B02FAA" w:rsidP="00B02FAA">
      <w:pPr>
        <w:autoSpaceDE w:val="0"/>
        <w:autoSpaceDN w:val="0"/>
        <w:adjustRightInd w:val="0"/>
        <w:spacing w:line="360" w:lineRule="auto"/>
        <w:jc w:val="both"/>
        <w:rPr>
          <w:rFonts w:cstheme="minorHAnsi"/>
          <w:color w:val="2E2B2B"/>
          <w:szCs w:val="22"/>
        </w:rPr>
      </w:pPr>
      <w:r w:rsidRPr="0007610A">
        <w:rPr>
          <w:rFonts w:cstheme="minorHAnsi"/>
          <w:color w:val="2E2B2B"/>
          <w:szCs w:val="22"/>
        </w:rPr>
        <w:t>Categorical variables are compared using Chi squared test. Continuous variables are compared using Mann-Whitney U test when comparing two variables with non-standard distribution (anti-S antibody titres) or one-way ANOVA for more than 1 group of variables are compared (</w:t>
      </w:r>
      <w:proofErr w:type="gramStart"/>
      <w:r w:rsidRPr="0007610A">
        <w:rPr>
          <w:rFonts w:cstheme="minorHAnsi"/>
          <w:color w:val="2E2B2B"/>
          <w:szCs w:val="22"/>
        </w:rPr>
        <w:t>e.g.</w:t>
      </w:r>
      <w:proofErr w:type="gramEnd"/>
      <w:r w:rsidRPr="0007610A">
        <w:rPr>
          <w:rFonts w:cstheme="minorHAnsi"/>
          <w:color w:val="2E2B2B"/>
          <w:szCs w:val="22"/>
        </w:rPr>
        <w:t xml:space="preserve"> Patient age).</w:t>
      </w:r>
    </w:p>
    <w:p w14:paraId="46510D71" w14:textId="77777777" w:rsidR="00552740" w:rsidRDefault="00552740"/>
    <w:sectPr w:rsidR="00552740" w:rsidSect="00B77D3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FAA"/>
    <w:rsid w:val="00030FEF"/>
    <w:rsid w:val="00031413"/>
    <w:rsid w:val="000602D0"/>
    <w:rsid w:val="00097C28"/>
    <w:rsid w:val="000E0415"/>
    <w:rsid w:val="00100FF8"/>
    <w:rsid w:val="00115B82"/>
    <w:rsid w:val="00126780"/>
    <w:rsid w:val="001724CB"/>
    <w:rsid w:val="001F13A1"/>
    <w:rsid w:val="00210E76"/>
    <w:rsid w:val="00222A36"/>
    <w:rsid w:val="00225403"/>
    <w:rsid w:val="00237B6D"/>
    <w:rsid w:val="00242FA7"/>
    <w:rsid w:val="002B1C20"/>
    <w:rsid w:val="002B721F"/>
    <w:rsid w:val="002D7B1B"/>
    <w:rsid w:val="002F5A25"/>
    <w:rsid w:val="0030230B"/>
    <w:rsid w:val="003825F7"/>
    <w:rsid w:val="003C325D"/>
    <w:rsid w:val="003E0CD9"/>
    <w:rsid w:val="00414B67"/>
    <w:rsid w:val="00416300"/>
    <w:rsid w:val="00482675"/>
    <w:rsid w:val="0052580F"/>
    <w:rsid w:val="00552740"/>
    <w:rsid w:val="00582BC0"/>
    <w:rsid w:val="00590B50"/>
    <w:rsid w:val="005B5089"/>
    <w:rsid w:val="005C7A4E"/>
    <w:rsid w:val="005F3E11"/>
    <w:rsid w:val="006206D5"/>
    <w:rsid w:val="00642DB5"/>
    <w:rsid w:val="00681C8E"/>
    <w:rsid w:val="007704A0"/>
    <w:rsid w:val="00782DAC"/>
    <w:rsid w:val="007E0A33"/>
    <w:rsid w:val="00836D46"/>
    <w:rsid w:val="00851620"/>
    <w:rsid w:val="00861CD5"/>
    <w:rsid w:val="0086518C"/>
    <w:rsid w:val="00902B84"/>
    <w:rsid w:val="00912A5F"/>
    <w:rsid w:val="00965D00"/>
    <w:rsid w:val="009758E6"/>
    <w:rsid w:val="00AA4E0D"/>
    <w:rsid w:val="00AF77A7"/>
    <w:rsid w:val="00B02FAA"/>
    <w:rsid w:val="00B43469"/>
    <w:rsid w:val="00B55889"/>
    <w:rsid w:val="00B77D36"/>
    <w:rsid w:val="00B83EE8"/>
    <w:rsid w:val="00B94470"/>
    <w:rsid w:val="00BD47D8"/>
    <w:rsid w:val="00BE2D19"/>
    <w:rsid w:val="00C100BE"/>
    <w:rsid w:val="00C16CDC"/>
    <w:rsid w:val="00CB268A"/>
    <w:rsid w:val="00CD5B79"/>
    <w:rsid w:val="00CF278D"/>
    <w:rsid w:val="00D114CA"/>
    <w:rsid w:val="00D46C2F"/>
    <w:rsid w:val="00D738E5"/>
    <w:rsid w:val="00DC06DB"/>
    <w:rsid w:val="00E234B9"/>
    <w:rsid w:val="00E33365"/>
    <w:rsid w:val="00E7156C"/>
    <w:rsid w:val="00F47D72"/>
    <w:rsid w:val="00F96EE1"/>
    <w:rsid w:val="00FD1067"/>
    <w:rsid w:val="00FD1A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077EB2"/>
  <w15:chartTrackingRefBased/>
  <w15:docId w15:val="{0D786499-9A51-EA46-95C8-E6B06FB8D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FAA"/>
    <w:rPr>
      <w:rFonts w:eastAsia="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2FAA"/>
    <w:pPr>
      <w:spacing w:before="100" w:beforeAutospacing="1" w:after="100" w:afterAutospacing="1"/>
    </w:pPr>
    <w:rPr>
      <w:rFonts w:ascii="Times New Roman" w:hAnsi="Times New Roman" w:cs="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0F0548E6411E841B7354D7088F17B78"/>
        <w:category>
          <w:name w:val="General"/>
          <w:gallery w:val="placeholder"/>
        </w:category>
        <w:types>
          <w:type w:val="bbPlcHdr"/>
        </w:types>
        <w:behaviors>
          <w:behavior w:val="content"/>
        </w:behaviors>
        <w:guid w:val="{8B43DC31-249D-8D4E-9DB8-6D69C827EEC2}"/>
      </w:docPartPr>
      <w:docPartBody>
        <w:p w:rsidR="00000000" w:rsidRDefault="006B5980" w:rsidP="006B5980">
          <w:pPr>
            <w:pStyle w:val="30F0548E6411E841B7354D7088F17B78"/>
          </w:pPr>
          <w:r w:rsidRPr="00E2241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980"/>
    <w:rsid w:val="001367D9"/>
    <w:rsid w:val="006B59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5980"/>
    <w:rPr>
      <w:color w:val="808080"/>
    </w:rPr>
  </w:style>
  <w:style w:type="paragraph" w:customStyle="1" w:styleId="30F0548E6411E841B7354D7088F17B78">
    <w:name w:val="30F0548E6411E841B7354D7088F17B78"/>
    <w:rsid w:val="006B59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391</Words>
  <Characters>2233</Characters>
  <Application>Microsoft Office Word</Application>
  <DocSecurity>0</DocSecurity>
  <Lines>18</Lines>
  <Paragraphs>5</Paragraphs>
  <ScaleCrop>false</ScaleCrop>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Innes, Andrew J</dc:creator>
  <cp:keywords/>
  <dc:description/>
  <cp:lastModifiedBy>Innes, Andrew J</cp:lastModifiedBy>
  <cp:revision>1</cp:revision>
  <dcterms:created xsi:type="dcterms:W3CDTF">2022-03-17T20:01:00Z</dcterms:created>
  <dcterms:modified xsi:type="dcterms:W3CDTF">2022-03-17T20:02:00Z</dcterms:modified>
</cp:coreProperties>
</file>