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宋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/>
          <w:sz w:val="24"/>
          <w:szCs w:val="24"/>
        </w:rPr>
        <w:t>Table S</w:t>
      </w:r>
      <w:r>
        <w:rPr>
          <w:rFonts w:hint="eastAsia"/>
          <w:sz w:val="24"/>
          <w:szCs w:val="24"/>
          <w:lang w:val="en-US" w:eastAsia="zh-CN"/>
        </w:rPr>
        <w:t>5</w:t>
      </w:r>
      <w:bookmarkStart w:id="0" w:name="_GoBack"/>
      <w:bookmarkEnd w:id="0"/>
      <w:r>
        <w:rPr>
          <w:rFonts w:hint="eastAsia" w:ascii="Times New Roman" w:hAnsi="Times New Roman" w:eastAsia="宋体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KEGG pathway analysis of DEmRNAs after SMAD4 inhibition</w:t>
      </w:r>
    </w:p>
    <w:tbl>
      <w:tblPr>
        <w:tblStyle w:val="2"/>
        <w:tblW w:w="8896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9"/>
        <w:gridCol w:w="3393"/>
        <w:gridCol w:w="709"/>
        <w:gridCol w:w="1418"/>
        <w:gridCol w:w="1064"/>
        <w:gridCol w:w="13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Term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ID</w:t>
            </w:r>
          </w:p>
        </w:tc>
        <w:tc>
          <w:tcPr>
            <w:tcW w:w="33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KEGG Terms 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Count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Percentage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-v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alue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1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Fold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Enrichment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ssc05200</w:t>
            </w:r>
          </w:p>
        </w:tc>
        <w:tc>
          <w:tcPr>
            <w:tcW w:w="33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Pathways in cancer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3.761348898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3.50E-03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1.768298843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ssc04068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FoxO signaling pathway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1.426718547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4.66E-02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1.936555435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ssc04145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Phagosome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1.556420233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4.09E-02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1.964871249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ssc05202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Transcriptional misregulation in cancer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1.68612192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2.83E-02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2.002574371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ssc04114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Oocyte meiosis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1.297016861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4.21E-02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2.148139057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ssc04512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ECM-receptor interaction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1.167315175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2.13E-02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2.60163508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ssc04623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Cytosolic DNA-sensing pathway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0.907911803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4.42E-02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2.686934591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ssc04115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p53 signaling pathway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1.167315175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1.10E-02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2.926839465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ssc03050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Proteasome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0.778210117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4.11E-02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3.121962096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ssc04350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TGF-beta signaling pathway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1.426718547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1.46E-03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3.344959388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ssc04612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Antigen processing and presentation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1.297016861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1.77E-03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3.5476842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ssc04110</w:t>
            </w:r>
          </w:p>
        </w:tc>
        <w:tc>
          <w:tcPr>
            <w:tcW w:w="3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Cell cycle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2.853437095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1.13E-08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4.47933692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ssc03030</w:t>
            </w:r>
          </w:p>
        </w:tc>
        <w:tc>
          <w:tcPr>
            <w:tcW w:w="33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DNA replication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0.907911803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3.23E-03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4.682943144</w:t>
            </w:r>
          </w:p>
        </w:tc>
      </w:tr>
    </w:tbl>
    <w:p>
      <w:pPr>
        <w:jc w:val="left"/>
        <w:rPr>
          <w:rFonts w:hint="default"/>
          <w:lang w:val="en-US" w:eastAsia="zh-CN"/>
        </w:rPr>
      </w:pPr>
      <w:r>
        <w:rPr>
          <w:rFonts w:hint="eastAsia"/>
          <w:i w:val="0"/>
          <w:iCs w:val="0"/>
          <w:vertAlign w:val="superscript"/>
          <w:lang w:val="en-US" w:eastAsia="zh-CN"/>
        </w:rPr>
        <w:t>1</w:t>
      </w:r>
      <w:r>
        <w:rPr>
          <w:rFonts w:hint="eastAsia"/>
          <w:i/>
          <w:iCs/>
          <w:lang w:val="en-US" w:eastAsia="zh-CN"/>
        </w:rPr>
        <w:t>P</w:t>
      </w:r>
      <w:r>
        <w:rPr>
          <w:rFonts w:hint="eastAsia"/>
          <w:lang w:val="en-US" w:eastAsia="zh-CN"/>
        </w:rPr>
        <w:t>-value &lt; 0.05 was considered as a cut-off criteria to identify significantly enriched pathways.</w:t>
      </w:r>
      <w:r>
        <w:rPr>
          <w:rFonts w:hint="default"/>
          <w:lang w:val="en-US" w:eastAsia="zh-CN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611E5"/>
    <w:rsid w:val="02681281"/>
    <w:rsid w:val="0E0F5118"/>
    <w:rsid w:val="1627606A"/>
    <w:rsid w:val="220F412D"/>
    <w:rsid w:val="30620A6F"/>
    <w:rsid w:val="3B095ABA"/>
    <w:rsid w:val="432A68D3"/>
    <w:rsid w:val="434F7722"/>
    <w:rsid w:val="4CD57F5C"/>
    <w:rsid w:val="76A611E5"/>
    <w:rsid w:val="7D173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2021-01-08T07:49:00Z</dcterms:created>
  <dc:creator>Xing Du</dc:creator>
  <cp:lastModifiedBy>Xing Du</cp:lastModifiedBy>
  <dcterms:modified xsi:type="dcterms:W3CDTF">2021-01-09T12:44:17Z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