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BF3C55" w14:textId="3BDB4BC6" w:rsidR="00F74174" w:rsidRDefault="00F74174" w:rsidP="00F74174">
      <w:pPr>
        <w:spacing w:line="48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sz w:val="28"/>
          <w:szCs w:val="28"/>
        </w:rPr>
        <w:t>Supplemental Information</w:t>
      </w:r>
    </w:p>
    <w:p w14:paraId="6CF46B36" w14:textId="77777777" w:rsidR="00053EF3" w:rsidRPr="00053EF3" w:rsidRDefault="00053EF3" w:rsidP="00053EF3">
      <w:pPr>
        <w:spacing w:line="48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053EF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Projected Increase in Fast-Growing and Slow-Dissipating El </w:t>
      </w:r>
      <w:r w:rsidRPr="00053EF3">
        <w:rPr>
          <w:rFonts w:ascii="Times New Roman" w:hAnsi="Times New Roman" w:cs="Times New Roman"/>
          <w:b/>
          <w:i/>
          <w:iCs/>
          <w:sz w:val="28"/>
          <w:szCs w:val="28"/>
        </w:rPr>
        <w:t>Niño</w:t>
      </w:r>
      <w:r w:rsidRPr="00053EF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Events in the 21st Century</w:t>
      </w:r>
    </w:p>
    <w:p w14:paraId="336C2140" w14:textId="4B603467" w:rsidR="00F74174" w:rsidRPr="009B4BBC" w:rsidRDefault="00F74174" w:rsidP="00F74174">
      <w:pPr>
        <w:spacing w:line="480" w:lineRule="auto"/>
        <w:jc w:val="center"/>
        <w:rPr>
          <w:rFonts w:ascii="Times New Roman" w:hAnsi="Times New Roman" w:cs="Times New Roman"/>
        </w:rPr>
      </w:pPr>
      <w:r w:rsidRPr="009B4BBC">
        <w:rPr>
          <w:rFonts w:ascii="Times New Roman" w:hAnsi="Times New Roman" w:cs="Times New Roman"/>
        </w:rPr>
        <w:t>Hosmay Lopez</w:t>
      </w:r>
      <w:r w:rsidRPr="009B4BBC">
        <w:rPr>
          <w:rFonts w:ascii="Times New Roman" w:hAnsi="Times New Roman" w:cs="Times New Roman"/>
          <w:vertAlign w:val="superscript"/>
        </w:rPr>
        <w:t>1</w:t>
      </w:r>
      <w:r w:rsidRPr="009B4BBC">
        <w:rPr>
          <w:rFonts w:ascii="Times New Roman" w:hAnsi="Times New Roman" w:cs="Times New Roman"/>
        </w:rPr>
        <w:t>, Sang-Ki Lee</w:t>
      </w:r>
      <w:r w:rsidRPr="009B4BBC">
        <w:rPr>
          <w:rFonts w:ascii="Times New Roman" w:hAnsi="Times New Roman" w:cs="Times New Roman"/>
          <w:vertAlign w:val="superscript"/>
        </w:rPr>
        <w:t>1</w:t>
      </w:r>
      <w:r w:rsidRPr="009B4BBC">
        <w:rPr>
          <w:rFonts w:ascii="Times New Roman" w:hAnsi="Times New Roman" w:cs="Times New Roman"/>
        </w:rPr>
        <w:t xml:space="preserve">, </w:t>
      </w:r>
      <w:proofErr w:type="spellStart"/>
      <w:r w:rsidRPr="009B4BBC">
        <w:rPr>
          <w:rFonts w:ascii="Times New Roman" w:hAnsi="Times New Roman" w:cs="Times New Roman"/>
        </w:rPr>
        <w:t>Dongmin</w:t>
      </w:r>
      <w:proofErr w:type="spellEnd"/>
      <w:r w:rsidRPr="009B4BBC">
        <w:rPr>
          <w:rFonts w:ascii="Times New Roman" w:hAnsi="Times New Roman" w:cs="Times New Roman"/>
        </w:rPr>
        <w:t xml:space="preserve"> Kim</w:t>
      </w:r>
      <w:r w:rsidRPr="009B4BBC">
        <w:rPr>
          <w:rFonts w:ascii="Times New Roman" w:hAnsi="Times New Roman" w:cs="Times New Roman"/>
          <w:vertAlign w:val="superscript"/>
        </w:rPr>
        <w:t>2,1</w:t>
      </w:r>
      <w:r w:rsidRPr="009B4BBC">
        <w:rPr>
          <w:rFonts w:ascii="Times New Roman" w:hAnsi="Times New Roman" w:cs="Times New Roman"/>
        </w:rPr>
        <w:t xml:space="preserve">, Andrew </w:t>
      </w:r>
      <w:r w:rsidR="00CE26C1">
        <w:rPr>
          <w:rFonts w:ascii="Times New Roman" w:hAnsi="Times New Roman" w:cs="Times New Roman"/>
        </w:rPr>
        <w:t xml:space="preserve">T. </w:t>
      </w:r>
      <w:r w:rsidRPr="009B4BBC">
        <w:rPr>
          <w:rFonts w:ascii="Times New Roman" w:hAnsi="Times New Roman" w:cs="Times New Roman"/>
        </w:rPr>
        <w:t>Wittenberg</w:t>
      </w:r>
      <w:r w:rsidRPr="009B4BBC">
        <w:rPr>
          <w:rFonts w:ascii="Times New Roman" w:hAnsi="Times New Roman" w:cs="Times New Roman"/>
          <w:vertAlign w:val="superscript"/>
        </w:rPr>
        <w:t>3</w:t>
      </w:r>
      <w:r w:rsidRPr="009B4BBC">
        <w:rPr>
          <w:rFonts w:ascii="Times New Roman" w:hAnsi="Times New Roman" w:cs="Times New Roman"/>
        </w:rPr>
        <w:t>, and Sang-</w:t>
      </w:r>
      <w:proofErr w:type="spellStart"/>
      <w:r w:rsidRPr="009B4BBC">
        <w:rPr>
          <w:rFonts w:ascii="Times New Roman" w:hAnsi="Times New Roman" w:cs="Times New Roman"/>
        </w:rPr>
        <w:t>Wook</w:t>
      </w:r>
      <w:proofErr w:type="spellEnd"/>
      <w:r w:rsidRPr="009B4BBC">
        <w:rPr>
          <w:rFonts w:ascii="Times New Roman" w:hAnsi="Times New Roman" w:cs="Times New Roman"/>
        </w:rPr>
        <w:t xml:space="preserve"> Yeh</w:t>
      </w:r>
      <w:r w:rsidRPr="009B4BBC">
        <w:rPr>
          <w:rFonts w:ascii="Times New Roman" w:hAnsi="Times New Roman" w:cs="Times New Roman"/>
          <w:vertAlign w:val="superscript"/>
        </w:rPr>
        <w:t>4</w:t>
      </w:r>
    </w:p>
    <w:p w14:paraId="5644586F" w14:textId="77777777" w:rsidR="00F74174" w:rsidRPr="009B4BBC" w:rsidRDefault="00F74174" w:rsidP="00F74174">
      <w:pPr>
        <w:spacing w:line="480" w:lineRule="auto"/>
        <w:jc w:val="center"/>
        <w:rPr>
          <w:rFonts w:ascii="Times New Roman" w:hAnsi="Times New Roman" w:cs="Times New Roman"/>
          <w:color w:val="000000"/>
          <w:vertAlign w:val="superscript"/>
        </w:rPr>
      </w:pPr>
      <w:r w:rsidRPr="009B4BBC">
        <w:rPr>
          <w:rFonts w:ascii="Times New Roman" w:hAnsi="Times New Roman" w:cs="Times New Roman"/>
          <w:color w:val="000000"/>
          <w:vertAlign w:val="superscript"/>
        </w:rPr>
        <w:t>1</w:t>
      </w:r>
      <w:r w:rsidRPr="009B4BBC">
        <w:rPr>
          <w:rFonts w:ascii="Times New Roman" w:hAnsi="Times New Roman" w:cs="Times New Roman"/>
          <w:color w:val="000000"/>
        </w:rPr>
        <w:t>Atlantic Oceanographic and Meteorological Laboratory, NOAA, Miami, FL</w:t>
      </w:r>
    </w:p>
    <w:p w14:paraId="17017F68" w14:textId="77777777" w:rsidR="00F74174" w:rsidRPr="009B4BBC" w:rsidRDefault="00F74174" w:rsidP="00F74174">
      <w:pPr>
        <w:spacing w:line="480" w:lineRule="auto"/>
        <w:jc w:val="center"/>
        <w:rPr>
          <w:rFonts w:ascii="Times New Roman" w:hAnsi="Times New Roman" w:cs="Times New Roman"/>
          <w:color w:val="000000"/>
        </w:rPr>
      </w:pPr>
      <w:r w:rsidRPr="009B4BBC">
        <w:rPr>
          <w:rFonts w:ascii="Times New Roman" w:hAnsi="Times New Roman" w:cs="Times New Roman"/>
          <w:color w:val="000000"/>
          <w:vertAlign w:val="superscript"/>
        </w:rPr>
        <w:t>2</w:t>
      </w:r>
      <w:r w:rsidRPr="009B4BBC">
        <w:rPr>
          <w:rFonts w:ascii="Times New Roman" w:hAnsi="Times New Roman" w:cs="Times New Roman"/>
          <w:color w:val="000000"/>
        </w:rPr>
        <w:t>Cooperative Institute for Marine and Atmospheric Studies, University of Miami, Miami, FL</w:t>
      </w:r>
    </w:p>
    <w:p w14:paraId="2F816D88" w14:textId="77777777" w:rsidR="00F74174" w:rsidRPr="009B4BBC" w:rsidRDefault="00F74174" w:rsidP="00F74174">
      <w:pPr>
        <w:spacing w:line="480" w:lineRule="auto"/>
        <w:jc w:val="center"/>
        <w:rPr>
          <w:rFonts w:ascii="Times New Roman" w:hAnsi="Times New Roman" w:cs="Times New Roman"/>
          <w:color w:val="000000"/>
        </w:rPr>
      </w:pPr>
      <w:r w:rsidRPr="009B4BBC">
        <w:rPr>
          <w:rFonts w:ascii="Times New Roman" w:hAnsi="Times New Roman" w:cs="Times New Roman"/>
          <w:color w:val="000000"/>
          <w:vertAlign w:val="superscript"/>
        </w:rPr>
        <w:t>3</w:t>
      </w:r>
      <w:r w:rsidRPr="009B4BBC">
        <w:rPr>
          <w:rFonts w:ascii="Times New Roman" w:hAnsi="Times New Roman" w:cs="Times New Roman"/>
          <w:color w:val="000000"/>
        </w:rPr>
        <w:t>Geophysical Fluid Dynamics Laboratory, NOAA, Princeton, NJ</w:t>
      </w:r>
    </w:p>
    <w:p w14:paraId="1353CF74" w14:textId="66F6BEB3" w:rsidR="00F74174" w:rsidRDefault="00F74174" w:rsidP="00F74174">
      <w:pPr>
        <w:pStyle w:val="NormalWeb"/>
        <w:spacing w:before="0" w:beforeAutospacing="0" w:after="0" w:afterAutospacing="0" w:line="480" w:lineRule="auto"/>
        <w:jc w:val="center"/>
      </w:pPr>
      <w:r w:rsidRPr="009B4BBC">
        <w:rPr>
          <w:vertAlign w:val="superscript"/>
        </w:rPr>
        <w:t>4</w:t>
      </w:r>
      <w:r w:rsidRPr="009B4BBC">
        <w:t xml:space="preserve">Department of Marine Science and Convergent Technology, </w:t>
      </w:r>
      <w:proofErr w:type="spellStart"/>
      <w:r w:rsidRPr="009B4BBC">
        <w:t>Hanyang</w:t>
      </w:r>
      <w:proofErr w:type="spellEnd"/>
      <w:r w:rsidRPr="009B4BBC">
        <w:t xml:space="preserve"> University, </w:t>
      </w:r>
      <w:proofErr w:type="spellStart"/>
      <w:r w:rsidRPr="009B4BBC">
        <w:t>Ansan</w:t>
      </w:r>
      <w:proofErr w:type="spellEnd"/>
      <w:r w:rsidRPr="009B4BBC">
        <w:t>, Korea</w:t>
      </w:r>
    </w:p>
    <w:p w14:paraId="22FEB5B7" w14:textId="208DFB68" w:rsidR="00F74174" w:rsidRDefault="00F74174" w:rsidP="00F74174">
      <w:pPr>
        <w:pStyle w:val="NormalWeb"/>
        <w:spacing w:before="0" w:beforeAutospacing="0" w:after="0" w:afterAutospacing="0" w:line="480" w:lineRule="auto"/>
        <w:jc w:val="center"/>
      </w:pPr>
    </w:p>
    <w:p w14:paraId="5D739E81" w14:textId="18BFEF42" w:rsidR="00EB6966" w:rsidRDefault="00F74174" w:rsidP="008479AF">
      <w:pPr>
        <w:pStyle w:val="NormalWeb"/>
        <w:spacing w:before="0" w:beforeAutospacing="0" w:after="0" w:afterAutospacing="0" w:line="480" w:lineRule="auto"/>
      </w:pPr>
      <w:r>
        <w:t xml:space="preserve">Figures S1, S2, S3, </w:t>
      </w:r>
      <w:r w:rsidR="00981FF4">
        <w:t>S</w:t>
      </w:r>
      <w:r w:rsidR="00AD5996">
        <w:t xml:space="preserve">4, </w:t>
      </w:r>
      <w:r w:rsidR="00981FF4">
        <w:t>S</w:t>
      </w:r>
      <w:r w:rsidR="00AD5996">
        <w:t xml:space="preserve">5, </w:t>
      </w:r>
      <w:r w:rsidR="00FC045E">
        <w:t xml:space="preserve">S6, S7, </w:t>
      </w:r>
      <w:r>
        <w:t>and S</w:t>
      </w:r>
      <w:r w:rsidR="00D7185F">
        <w:t>8</w:t>
      </w:r>
    </w:p>
    <w:p w14:paraId="341D2330" w14:textId="12B50A44" w:rsidR="00F74174" w:rsidRDefault="00F74174" w:rsidP="00EB6966">
      <w:pPr>
        <w:keepNext/>
      </w:pPr>
    </w:p>
    <w:p w14:paraId="46578F3F" w14:textId="281F34BC" w:rsidR="00D21134" w:rsidRDefault="00D21134" w:rsidP="00EB6966">
      <w:pPr>
        <w:keepNext/>
      </w:pPr>
    </w:p>
    <w:p w14:paraId="5036E9C3" w14:textId="65B2B308" w:rsidR="00D21134" w:rsidRDefault="00D21134" w:rsidP="00EB6966">
      <w:pPr>
        <w:keepNext/>
      </w:pPr>
    </w:p>
    <w:p w14:paraId="138B27E7" w14:textId="77777777" w:rsidR="00D21134" w:rsidRDefault="00D21134" w:rsidP="00EB6966">
      <w:pPr>
        <w:keepNext/>
      </w:pPr>
    </w:p>
    <w:p w14:paraId="482D6FA2" w14:textId="32974FF8" w:rsidR="00F74174" w:rsidRDefault="00F74174" w:rsidP="00EB6966">
      <w:pPr>
        <w:keepNext/>
      </w:pPr>
    </w:p>
    <w:p w14:paraId="29CF3565" w14:textId="0D401FDD" w:rsidR="00204510" w:rsidRDefault="00204510"/>
    <w:p w14:paraId="3576DC9A" w14:textId="77777777" w:rsidR="00E303B1" w:rsidRDefault="00204510" w:rsidP="00E303B1">
      <w:pPr>
        <w:keepNext/>
      </w:pPr>
      <w:r>
        <w:rPr>
          <w:noProof/>
        </w:rPr>
        <w:lastRenderedPageBreak/>
        <w:drawing>
          <wp:inline distT="0" distB="0" distL="0" distR="0" wp14:anchorId="1FF29D91" wp14:editId="60F193F9">
            <wp:extent cx="5943600" cy="37350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5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30F4A" w14:textId="75BEEDD9" w:rsidR="00204510" w:rsidRPr="00B71916" w:rsidRDefault="00E303B1" w:rsidP="00B71916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B7191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</w:t>
      </w:r>
      <w:r w:rsidR="00D21134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1</w:t>
      </w:r>
      <w:r w:rsidRPr="00B7191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 Temporal evolution of a 50-year running average</w:t>
      </w:r>
      <w:r w:rsidR="00C412E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d</w:t>
      </w:r>
      <w:r w:rsidRPr="00B7191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number of El Niño events from observations (blue dots) and CESM-LE simulation (box and whisker). </w:t>
      </w:r>
      <w:r w:rsidR="00C412E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The box (whisker) denotes the interquartile (</w:t>
      </w:r>
      <w:r w:rsidR="00F832A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5</w:t>
      </w:r>
      <w:r w:rsidR="00F832AE" w:rsidRPr="00F832A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 w:rsidR="00F832A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-</w:t>
      </w:r>
      <w:r w:rsidR="00C412E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95</w:t>
      </w:r>
      <w:r w:rsidR="00C412E5" w:rsidRPr="00C412E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 w:rsidR="00C412E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percentile) range computed from randomly selecting 15 out </w:t>
      </w:r>
      <w:r w:rsidR="00CE7BF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of </w:t>
      </w:r>
      <w:r w:rsidR="00C412E5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the 30 ensemble members 1000 times and r</w:t>
      </w:r>
      <w:r w:rsidR="00CE7BF3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epeating the event count. The gray interval denotes the natural variability range, computed from a 1100-year pre-industrial simulation of CESM by randomly selecting 50-year periods for the event count. </w:t>
      </w:r>
      <w:r w:rsidR="00EB584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The 21C projections are from the RCP8.5 scenario.</w:t>
      </w:r>
    </w:p>
    <w:p w14:paraId="39DCBD27" w14:textId="64514C8B" w:rsidR="00EB6966" w:rsidRDefault="00EB6966"/>
    <w:p w14:paraId="581F9B0D" w14:textId="1D009FC4" w:rsidR="00A443B8" w:rsidRDefault="00A443B8" w:rsidP="00A443B8">
      <w:pPr>
        <w:keepNext/>
        <w:jc w:val="center"/>
      </w:pPr>
    </w:p>
    <w:p w14:paraId="14AF4C0A" w14:textId="062C7F97" w:rsidR="00204510" w:rsidRDefault="00D21134">
      <w:r>
        <w:rPr>
          <w:noProof/>
        </w:rPr>
        <w:drawing>
          <wp:inline distT="0" distB="0" distL="0" distR="0" wp14:anchorId="45D158CF" wp14:editId="68755242">
            <wp:extent cx="5943600" cy="55073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0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0929B" w14:textId="0057FC0E" w:rsidR="00D21134" w:rsidRPr="00EB6966" w:rsidRDefault="00D21134" w:rsidP="00D21134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</w:t>
      </w:r>
      <w:r w:rsidR="00DA14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2</w:t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Two-year repeated monthly climatology of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(top row) s</w:t>
      </w:r>
      <w:r w:rsidRPr="00D940F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ea surface temperature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[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B0"/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C] for a) observed</w:t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, b)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CESM 20</w:t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Century, and c) CESM-20</w:t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 minus observed. Similarly, d), e), and f) show the precipitation climatology </w:t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[mm/day]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 All variables were</w:t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meridionally averaged from 5</w:t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B0"/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S-5</w:t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B0"/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N along the Pacific Ocean for the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1979-2000 (</w:t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1951-2000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</w:t>
      </w:r>
      <w:r w:rsidRPr="00EB6966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period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for observed (CESM) respectively. Stipples in c) and f) indicate where the differences are statistical</w:t>
      </w:r>
      <w:r w:rsidR="00CE26C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ly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significant above a 95</w:t>
      </w:r>
      <w:r w:rsidRPr="0008292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percentile threshold using a student-T test. </w:t>
      </w:r>
    </w:p>
    <w:p w14:paraId="74277215" w14:textId="77777777" w:rsidR="00D21134" w:rsidRDefault="00D21134"/>
    <w:p w14:paraId="64ABBD04" w14:textId="77777777" w:rsidR="00D1615B" w:rsidRDefault="00204510" w:rsidP="00D1615B">
      <w:pPr>
        <w:keepNext/>
      </w:pPr>
      <w:r>
        <w:rPr>
          <w:noProof/>
        </w:rPr>
        <w:lastRenderedPageBreak/>
        <w:drawing>
          <wp:inline distT="0" distB="0" distL="0" distR="0" wp14:anchorId="499D19A5" wp14:editId="4969BDEC">
            <wp:extent cx="5943600" cy="4084320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2133C" w14:textId="3CDB2B81" w:rsidR="00204510" w:rsidRPr="00D1615B" w:rsidRDefault="00D1615B" w:rsidP="00D1615B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</w:t>
      </w:r>
      <w:r w:rsidR="00DA14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3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72611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omposite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difference between the 21</w:t>
      </w:r>
      <w:r w:rsidRPr="00FD797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minus the 20</w:t>
      </w:r>
      <w:r w:rsidRPr="00FD797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 </w:t>
      </w:r>
      <w:r w:rsidR="004C6D9F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changes in temperature and velocity contributions to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the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thermocline (left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-column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), zonal advective (middle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-column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), and Ekman (right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-column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)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feedback components during El Niño events. </w:t>
      </w:r>
      <w:r w:rsidR="00726111" w:rsidRPr="00D940F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The x-axis represents longitude across the Pacific Ocean and y-axis represents time</w:t>
      </w:r>
      <w:r w:rsidR="0072611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from January of the onset year (Year 0) to December of the </w:t>
      </w:r>
      <w:r w:rsidR="00CE26C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decay </w:t>
      </w:r>
      <w:r w:rsidR="0072611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year (Year 1). The composite is meridionally averaged from 5</w:t>
      </w:r>
      <w:r w:rsidR="0072611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B0"/>
      </w:r>
      <w:r w:rsidR="0072611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 to 5</w:t>
      </w:r>
      <w:r w:rsidR="0072611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B0"/>
      </w:r>
      <w:r w:rsidR="0072611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N.</w:t>
      </w:r>
    </w:p>
    <w:p w14:paraId="5C988AFA" w14:textId="27739E1A" w:rsidR="00204510" w:rsidRDefault="00204510"/>
    <w:p w14:paraId="5B374A4D" w14:textId="77777777" w:rsidR="00F108F4" w:rsidRDefault="00204510" w:rsidP="00F108F4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4DC8ADA7" wp14:editId="4CFA699C">
            <wp:extent cx="4902200" cy="60717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5670" cy="6088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50ECF" w14:textId="087CD05A" w:rsidR="00204510" w:rsidRDefault="00F108F4" w:rsidP="00F108F4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F108F4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</w:t>
      </w:r>
      <w:r w:rsidR="00DA14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4</w:t>
      </w:r>
      <w:r w:rsidRPr="00F108F4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Same as Fig. </w:t>
      </w:r>
      <w:r w:rsidR="0072611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</w:t>
      </w:r>
      <w:r w:rsidR="00DA14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, but for the 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composite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difference between the 21</w:t>
      </w:r>
      <w:r w:rsidRPr="00FD797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st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minus the 20</w:t>
      </w:r>
      <w:r w:rsidRPr="00FD797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 of a) 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thermocline,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b)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zonal advective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, 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and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c) </w:t>
      </w:r>
      <w:r w:rsidRPr="00D1615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Ekman 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feedbacks. Similarly, d), e) and f) show</w:t>
      </w:r>
      <w:r w:rsid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the contribution of projected changes in anomalies to each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feedback </w:t>
      </w:r>
      <w:r w:rsid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while </w:t>
      </w:r>
      <w:r w:rsidR="005C2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keeping the</w:t>
      </w:r>
      <w:r w:rsid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mean state to that of the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20</w:t>
      </w:r>
      <w:r w:rsidRPr="00F108F4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 mean state (i.e., overbar terms in eq. 1 are from the 20</w:t>
      </w:r>
      <w:r w:rsidRPr="00F108F4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 period</w:t>
      </w:r>
      <w:r w:rsid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while primes are for each respective Century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). Similarly, g), h), and </w:t>
      </w:r>
      <w:proofErr w:type="spellStart"/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) correspond to the </w:t>
      </w:r>
      <w:r w:rsid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contribution of projected mean state changes to each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feedback </w:t>
      </w:r>
      <w:r w:rsid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if computed from just 20</w:t>
      </w:r>
      <w:r w:rsidR="00D579D8" w:rsidRP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 w:rsid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 anomalies (</w:t>
      </w:r>
      <w:r w:rsidR="005C2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e.g.</w:t>
      </w:r>
      <w:r w:rsid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, prime terms in eq. 1 are from 20</w:t>
      </w:r>
      <w:r w:rsidR="00D579D8" w:rsidRP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 w:rsidR="00D57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 while the overbar terms are for their respective century). </w:t>
      </w:r>
    </w:p>
    <w:p w14:paraId="4218D709" w14:textId="4DFE4890" w:rsidR="006900AB" w:rsidRDefault="006900AB" w:rsidP="006900AB"/>
    <w:p w14:paraId="4B01EB81" w14:textId="77777777" w:rsidR="005A07B4" w:rsidRDefault="006900AB" w:rsidP="005A07B4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9ABDD8D" wp14:editId="02DF45E3">
            <wp:extent cx="4903076" cy="457201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2327" cy="4580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32A36A" w14:textId="7F7BA730" w:rsidR="006900AB" w:rsidRPr="005A07B4" w:rsidRDefault="005A07B4" w:rsidP="005A07B4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5A07B4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</w:t>
      </w:r>
      <w:r w:rsidR="00DA14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5</w:t>
      </w:r>
      <w:r w:rsidRPr="005A07B4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 w:rsidR="005C2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Same as Fig. S</w:t>
      </w:r>
      <w:r w:rsidR="00DA14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3</w:t>
      </w:r>
      <w:r w:rsidR="005C2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but for 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(top) </w:t>
      </w:r>
      <w:r w:rsidR="005C2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c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omposite of monthly thermocline depth anomaly [m] for</w:t>
      </w:r>
      <w:r w:rsidR="00CF229A" w:rsidRPr="00D940F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El Niño events for a) the 20</w:t>
      </w:r>
      <w:r w:rsidR="00CF229A" w:rsidRPr="00D940F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 w:rsidR="00CF229A" w:rsidRPr="00D940F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Century, b) 21</w:t>
      </w:r>
      <w:r w:rsidR="00CF229A" w:rsidRPr="00D940F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st</w:t>
      </w:r>
      <w:r w:rsidR="00CF229A" w:rsidRPr="00D940F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Century, and c) the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21</w:t>
      </w:r>
      <w:r w:rsidR="00CF229A" w:rsidRPr="00BF602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st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minus 20</w:t>
      </w:r>
      <w:r w:rsidR="00CF229A" w:rsidRPr="00BF6029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 difference</w:t>
      </w:r>
      <w:r w:rsidR="00CF229A" w:rsidRPr="00D940F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Similarly, d), e), and f) show the composite monthly zonal wind stress anomalies [10</w:t>
      </w:r>
      <w:r w:rsidR="00CF229A" w:rsidRP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-2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Nm</w:t>
      </w:r>
      <w:r w:rsidR="00CF229A" w:rsidRP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-2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]. </w:t>
      </w:r>
      <w:r w:rsidR="00CF229A" w:rsidRPr="00D940F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The x-axis represents longitude across the Pacific Ocean and y-axis represents time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from January of the onset year (Year 0) to December of the </w:t>
      </w:r>
      <w:r w:rsidR="00CE26C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decay 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year (Year 1). The composite is meridionally averaged from 5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B0"/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 to 5</w:t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sym w:font="Symbol" w:char="F0B0"/>
      </w:r>
      <w:r w:rsidR="00CF229A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N. Hatching on panels c) and f) indicate statistical significance at the 95% confidence level using a Student's t-test.</w:t>
      </w:r>
    </w:p>
    <w:p w14:paraId="7C01DDB0" w14:textId="4377C8C6" w:rsidR="006900AB" w:rsidRDefault="006900AB" w:rsidP="006900AB">
      <w:pPr>
        <w:jc w:val="center"/>
      </w:pPr>
    </w:p>
    <w:p w14:paraId="655E2081" w14:textId="6711E720" w:rsidR="006900AB" w:rsidRDefault="006900AB" w:rsidP="006900AB">
      <w:pPr>
        <w:jc w:val="center"/>
      </w:pPr>
    </w:p>
    <w:p w14:paraId="6B0B345E" w14:textId="77777777" w:rsidR="001330F2" w:rsidRDefault="006900AB" w:rsidP="001330F2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44732A2D" wp14:editId="134499DF">
            <wp:extent cx="4687725" cy="3060043"/>
            <wp:effectExtent l="0" t="0" r="0" b="127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00827" cy="306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CB6E7" w14:textId="6DEB8C16" w:rsidR="006900AB" w:rsidRDefault="001330F2" w:rsidP="001330F2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</w:t>
      </w:r>
      <w:r w:rsidR="00DA14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6</w:t>
      </w:r>
      <w:r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. </w:t>
      </w:r>
      <w:r w:rsidR="005C2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Two-year repeated monthly climatology of </w:t>
      </w:r>
      <w:r w:rsidR="00FE0874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the differences </w:t>
      </w:r>
      <w:r w:rsid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in</w:t>
      </w:r>
      <w:r w:rsidR="00FE0874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the 21</w:t>
      </w:r>
      <w:r w:rsidR="00FE0874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st</w:t>
      </w:r>
      <w:r w:rsidR="00FE0874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minus the 20</w:t>
      </w:r>
      <w:r w:rsidR="00FE0874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 w:rsidR="00FE0874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</w:t>
      </w:r>
      <w:r w:rsid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mean states of</w:t>
      </w:r>
      <w:r w:rsidR="00FE0874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</w:t>
      </w:r>
      <w:r w:rsidR="00B07607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a) </w:t>
      </w:r>
      <w:r w:rsidR="00FE0874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thermocline depth </w:t>
      </w:r>
      <w:r w:rsidR="00B07607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[m] </w:t>
      </w:r>
      <w:r w:rsidR="00FE0874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and b) amplitude of the thermocline </w:t>
      </w:r>
      <w:r w:rsidR="00B07607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(i.e., sharpness) </w:t>
      </w:r>
      <w:r w:rsidR="00FE0874" w:rsidRP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as measured by </w:t>
      </w:r>
      <m:oMath>
        <m:f>
          <m:fPr>
            <m:ctrlPr>
              <w:rPr>
                <w:rFonts w:ascii="Cambria Math" w:eastAsia="Times New Roman" w:hAnsi="Cambria Math" w:cs="Times New Roman"/>
                <w:color w:val="000000" w:themeColor="text1"/>
                <w:sz w:val="24"/>
                <w:szCs w:val="24"/>
                <w:shd w:val="clear" w:color="auto" w:fill="FFFFFF"/>
              </w:rPr>
            </m:ctrlPr>
          </m:fPr>
          <m:num>
            <m:r>
              <w:rPr>
                <w:rFonts w:ascii="Cambria Math" w:eastAsia="Times New Roman" w:hAnsi="Cambria Math" w:cs="Times New Roman"/>
                <w:color w:val="000000" w:themeColor="text1"/>
                <w:sz w:val="24"/>
                <w:szCs w:val="24"/>
                <w:shd w:val="clear" w:color="auto" w:fill="FFFFFF"/>
              </w:rPr>
              <m:t>∂T</m:t>
            </m:r>
          </m:num>
          <m:den>
            <m:r>
              <w:rPr>
                <w:rFonts w:ascii="Cambria Math" w:eastAsia="Times New Roman" w:hAnsi="Cambria Math" w:cs="Times New Roman"/>
                <w:color w:val="000000" w:themeColor="text1"/>
                <w:sz w:val="24"/>
                <w:szCs w:val="24"/>
                <w:shd w:val="clear" w:color="auto" w:fill="FFFFFF"/>
              </w:rPr>
              <m:t>∂z</m:t>
            </m:r>
          </m:den>
        </m:f>
      </m:oMath>
      <w:r w:rsidR="00B07607" w:rsidRPr="00B07607">
        <w:rPr>
          <w:rFonts w:ascii="Times New Roman" w:eastAsiaTheme="minorEastAsia" w:hAnsi="Times New Roman" w:cs="Times New Roman"/>
          <w:i w:val="0"/>
          <w:color w:val="000000" w:themeColor="text1"/>
          <w:sz w:val="24"/>
          <w:szCs w:val="24"/>
          <w:shd w:val="clear" w:color="auto" w:fill="FFFFFF"/>
        </w:rPr>
        <w:t xml:space="preserve"> at </w:t>
      </w:r>
      <w:r w:rsidR="00B07607">
        <w:rPr>
          <w:rFonts w:ascii="Times New Roman" w:eastAsiaTheme="minorEastAsia" w:hAnsi="Times New Roman" w:cs="Times New Roman"/>
          <w:i w:val="0"/>
          <w:color w:val="000000" w:themeColor="text1"/>
          <w:sz w:val="24"/>
          <w:szCs w:val="24"/>
          <w:shd w:val="clear" w:color="auto" w:fill="FFFFFF"/>
        </w:rPr>
        <w:t xml:space="preserve">the </w:t>
      </w:r>
      <w:r w:rsidR="00B07607" w:rsidRPr="00B07607">
        <w:rPr>
          <w:rFonts w:ascii="Times New Roman" w:eastAsiaTheme="minorEastAsia" w:hAnsi="Times New Roman" w:cs="Times New Roman"/>
          <w:i w:val="0"/>
          <w:color w:val="000000" w:themeColor="text1"/>
          <w:sz w:val="24"/>
          <w:szCs w:val="24"/>
          <w:shd w:val="clear" w:color="auto" w:fill="FFFFFF"/>
        </w:rPr>
        <w:t>thermocline depth</w:t>
      </w:r>
      <w:r w:rsidR="00E30B8D">
        <w:rPr>
          <w:rFonts w:ascii="Times New Roman" w:eastAsiaTheme="minorEastAsia" w:hAnsi="Times New Roman" w:cs="Times New Roman"/>
          <w:i w:val="0"/>
          <w:color w:val="000000" w:themeColor="text1"/>
          <w:sz w:val="24"/>
          <w:szCs w:val="24"/>
          <w:shd w:val="clear" w:color="auto" w:fill="FFFFFF"/>
        </w:rPr>
        <w:t xml:space="preserve"> [10</w:t>
      </w:r>
      <w:r w:rsidR="00E30B8D">
        <w:rPr>
          <w:rFonts w:ascii="Times New Roman" w:eastAsiaTheme="minorEastAsia" w:hAnsi="Times New Roman" w:cs="Times New Roman"/>
          <w:i w:val="0"/>
          <w:color w:val="000000" w:themeColor="text1"/>
          <w:sz w:val="24"/>
          <w:szCs w:val="24"/>
          <w:shd w:val="clear" w:color="auto" w:fill="FFFFFF"/>
          <w:vertAlign w:val="superscript"/>
        </w:rPr>
        <w:t>-2</w:t>
      </w:r>
      <w:r w:rsidR="00E30B8D">
        <w:rPr>
          <w:rFonts w:ascii="Times New Roman" w:eastAsiaTheme="minorEastAsia" w:hAnsi="Times New Roman" w:cs="Times New Roman"/>
          <w:i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E30B8D">
        <w:rPr>
          <w:rFonts w:ascii="Times New Roman" w:eastAsiaTheme="minorEastAsia" w:hAnsi="Times New Roman" w:cs="Times New Roman"/>
          <w:i w:val="0"/>
          <w:color w:val="000000" w:themeColor="text1"/>
          <w:sz w:val="24"/>
          <w:szCs w:val="24"/>
          <w:shd w:val="clear" w:color="auto" w:fill="FFFFFF"/>
        </w:rPr>
        <w:sym w:font="Symbol" w:char="F0B0"/>
      </w:r>
      <w:r w:rsidR="00E30B8D">
        <w:rPr>
          <w:rFonts w:ascii="Times New Roman" w:eastAsiaTheme="minorEastAsia" w:hAnsi="Times New Roman" w:cs="Times New Roman"/>
          <w:i w:val="0"/>
          <w:color w:val="000000" w:themeColor="text1"/>
          <w:sz w:val="24"/>
          <w:szCs w:val="24"/>
          <w:shd w:val="clear" w:color="auto" w:fill="FFFFFF"/>
        </w:rPr>
        <w:t>C/m]</w:t>
      </w:r>
      <w:r w:rsidR="00B07607" w:rsidRPr="00B07607">
        <w:rPr>
          <w:rFonts w:ascii="Times New Roman" w:eastAsiaTheme="minorEastAsia" w:hAnsi="Times New Roman" w:cs="Times New Roman"/>
          <w:i w:val="0"/>
          <w:color w:val="000000" w:themeColor="text1"/>
          <w:sz w:val="24"/>
          <w:szCs w:val="24"/>
          <w:shd w:val="clear" w:color="auto" w:fill="FFFFFF"/>
        </w:rPr>
        <w:t>.</w:t>
      </w:r>
      <w:r w:rsidR="00B07607">
        <w:rPr>
          <w:rFonts w:ascii="Times New Roman" w:eastAsiaTheme="minorEastAsia" w:hAnsi="Times New Roman" w:cs="Times New Roman"/>
          <w:i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Hatching indicate</w:t>
      </w:r>
      <w:r w:rsidR="00CE26C1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</w:t>
      </w:r>
      <w:r w:rsidR="00B07607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statistical significance at the 95% confidence level using a Student's t-test</w:t>
      </w:r>
      <w:r w:rsidR="005C29D8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</w:t>
      </w:r>
    </w:p>
    <w:p w14:paraId="043CC86B" w14:textId="2AE17415" w:rsidR="0094476C" w:rsidRDefault="0094476C" w:rsidP="0094476C"/>
    <w:p w14:paraId="24F304B6" w14:textId="77777777" w:rsidR="00B777BD" w:rsidRDefault="00B777BD" w:rsidP="00B777BD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4AD743DF" wp14:editId="24194897">
            <wp:extent cx="5000171" cy="6113457"/>
            <wp:effectExtent l="0" t="0" r="381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6233" cy="6120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F20D9" w14:textId="4F50E845" w:rsidR="0094476C" w:rsidRPr="00515C0B" w:rsidRDefault="00B777BD" w:rsidP="00B777BD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</w:t>
      </w:r>
      <w:r w:rsidR="00DA14AC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7</w:t>
      </w:r>
      <w:r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 a) June-July-August (JJA</w:t>
      </w:r>
      <w:r w:rsidR="00376EAE" w:rsidRPr="005158D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of the growth year</w:t>
      </w:r>
      <w:r w:rsidRPr="005158DD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) 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global composite anomalies of 200hPa </w:t>
      </w:r>
      <w:proofErr w:type="spellStart"/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streamfunction</w:t>
      </w:r>
      <w:proofErr w:type="spellEnd"/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(contour, interval 10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6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-1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 and 200hPa velocity potential (color, 10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6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-1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) during late 20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th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Century El Niño events. Also showing the regional impacts on 2-meter reference temperature (K) precipitation (mm/day) for North America, South America, and Australia. Similarly, b) show the differences between 21C minus 20C composites. Negative </w:t>
      </w:r>
      <w:proofErr w:type="spellStart"/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streamfunction</w:t>
      </w:r>
      <w:proofErr w:type="spellEnd"/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(velocity potential) indicates counter-clockwise (divergent) flow. Contour interval is 4x10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5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-1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(10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5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s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  <w:vertAlign w:val="superscript"/>
        </w:rPr>
        <w:t>-1</w:t>
      </w:r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) for the </w:t>
      </w:r>
      <w:proofErr w:type="spellStart"/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streamfunction</w:t>
      </w:r>
      <w:proofErr w:type="spellEnd"/>
      <w:r w:rsidR="000344F1" w:rsidRPr="00515C0B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(velocity potential).</w:t>
      </w:r>
    </w:p>
    <w:p w14:paraId="02E6485F" w14:textId="57732433" w:rsidR="00376EAE" w:rsidRDefault="00376EAE" w:rsidP="00376EAE"/>
    <w:p w14:paraId="72A96AEB" w14:textId="77777777" w:rsidR="00376EAE" w:rsidRDefault="00376EAE" w:rsidP="00376EAE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2063DF9E" wp14:editId="62D792A6">
            <wp:extent cx="4938014" cy="6037459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9601" cy="6051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0A180" w14:textId="7ABD6822" w:rsidR="00376EAE" w:rsidRPr="00376EAE" w:rsidRDefault="00376EAE" w:rsidP="00376EAE">
      <w:pPr>
        <w:pStyle w:val="Caption"/>
        <w:jc w:val="both"/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</w:pPr>
      <w:r w:rsidRPr="00376EA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Figure S</w:t>
      </w:r>
      <w:r w:rsidR="00DA14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8</w:t>
      </w:r>
      <w:r w:rsidRPr="00376EA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. Same as S</w:t>
      </w:r>
      <w:r w:rsidR="00DA14AC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>7</w:t>
      </w:r>
      <w:r w:rsidRPr="00376EA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but for January-February-March (JFM</w:t>
      </w:r>
      <w:r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 of the demise year</w:t>
      </w:r>
      <w:r w:rsidRPr="00376EAE">
        <w:rPr>
          <w:rFonts w:ascii="Times New Roman" w:hAnsi="Times New Roman" w:cs="Times New Roman"/>
          <w:i w:val="0"/>
          <w:iCs w:val="0"/>
          <w:color w:val="000000" w:themeColor="text1"/>
          <w:sz w:val="24"/>
          <w:szCs w:val="24"/>
        </w:rPr>
        <w:t xml:space="preserve">). </w:t>
      </w:r>
    </w:p>
    <w:sectPr w:rsidR="00376EAE" w:rsidRPr="00376E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4510"/>
    <w:rsid w:val="000344F1"/>
    <w:rsid w:val="00053EF3"/>
    <w:rsid w:val="0008292E"/>
    <w:rsid w:val="001330F2"/>
    <w:rsid w:val="00204510"/>
    <w:rsid w:val="00376EAE"/>
    <w:rsid w:val="004A08C4"/>
    <w:rsid w:val="004C6D9F"/>
    <w:rsid w:val="005158DD"/>
    <w:rsid w:val="00515C0B"/>
    <w:rsid w:val="005A07B4"/>
    <w:rsid w:val="005C29D8"/>
    <w:rsid w:val="005E53AA"/>
    <w:rsid w:val="00617A6E"/>
    <w:rsid w:val="006900AB"/>
    <w:rsid w:val="00726111"/>
    <w:rsid w:val="00777C42"/>
    <w:rsid w:val="008479AF"/>
    <w:rsid w:val="008A7DF8"/>
    <w:rsid w:val="0094476C"/>
    <w:rsid w:val="00981FF4"/>
    <w:rsid w:val="00A443B8"/>
    <w:rsid w:val="00AA2088"/>
    <w:rsid w:val="00AD5996"/>
    <w:rsid w:val="00B07607"/>
    <w:rsid w:val="00B71916"/>
    <w:rsid w:val="00B777BD"/>
    <w:rsid w:val="00C412E5"/>
    <w:rsid w:val="00C4639C"/>
    <w:rsid w:val="00C535F5"/>
    <w:rsid w:val="00CE26C1"/>
    <w:rsid w:val="00CE7BF3"/>
    <w:rsid w:val="00CF229A"/>
    <w:rsid w:val="00D1615B"/>
    <w:rsid w:val="00D21134"/>
    <w:rsid w:val="00D52C0B"/>
    <w:rsid w:val="00D579D8"/>
    <w:rsid w:val="00D7185F"/>
    <w:rsid w:val="00DA14AC"/>
    <w:rsid w:val="00E303B1"/>
    <w:rsid w:val="00E30B8D"/>
    <w:rsid w:val="00EB5848"/>
    <w:rsid w:val="00EB6966"/>
    <w:rsid w:val="00EE16C9"/>
    <w:rsid w:val="00F108F4"/>
    <w:rsid w:val="00F74174"/>
    <w:rsid w:val="00F832AE"/>
    <w:rsid w:val="00FC045E"/>
    <w:rsid w:val="00FD60FC"/>
    <w:rsid w:val="00FE0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9D67F"/>
  <w15:chartTrackingRefBased/>
  <w15:docId w15:val="{F6750F2F-AE10-764A-A279-B51F2A81D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B6966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EB69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B696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B6966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696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6966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F7417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9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9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Hosmay Lopez</dc:creator>
  <cp:keywords/>
  <dc:description/>
  <cp:lastModifiedBy>Hosmay Lopez</cp:lastModifiedBy>
  <cp:revision>15</cp:revision>
  <dcterms:created xsi:type="dcterms:W3CDTF">2020-11-28T23:01:00Z</dcterms:created>
  <dcterms:modified xsi:type="dcterms:W3CDTF">2021-01-12T20:22:00Z</dcterms:modified>
</cp:coreProperties>
</file>