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14A0B9" w14:textId="535B81A2" w:rsidR="00B474EE" w:rsidRDefault="00B474EE" w:rsidP="00B474E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Supp</w:t>
      </w:r>
      <w:r>
        <w:rPr>
          <w:rFonts w:ascii="Times New Roman" w:hAnsi="Times New Roman" w:cs="Times New Roman"/>
          <w:b/>
          <w:bCs/>
        </w:rPr>
        <w:t>lementary Figure Legend</w:t>
      </w:r>
    </w:p>
    <w:p w14:paraId="45B02610" w14:textId="51B49DC0" w:rsidR="00B474EE" w:rsidRDefault="00B474EE" w:rsidP="00B47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Figure 1. </w:t>
      </w:r>
      <w:r>
        <w:rPr>
          <w:rFonts w:ascii="Times New Roman" w:hAnsi="Times New Roman" w:cs="Times New Roman"/>
          <w:b/>
        </w:rPr>
        <w:t>Survival comparisons between H</w:t>
      </w:r>
      <w:r>
        <w:rPr>
          <w:rFonts w:ascii="Times New Roman" w:hAnsi="Times New Roman" w:cs="Times New Roman" w:hint="eastAsia"/>
          <w:b/>
        </w:rPr>
        <w:t>C</w:t>
      </w:r>
      <w:r>
        <w:rPr>
          <w:rFonts w:ascii="Times New Roman" w:hAnsi="Times New Roman" w:cs="Times New Roman"/>
          <w:b/>
        </w:rPr>
        <w:t xml:space="preserve">C patients stratified by TP53 mutational status. </w:t>
      </w:r>
      <w:r>
        <w:rPr>
          <w:rFonts w:ascii="Times New Roman" w:hAnsi="Times New Roman" w:cs="Times New Roman"/>
          <w:bCs/>
        </w:rPr>
        <w:t>(A)</w:t>
      </w:r>
      <w:r>
        <w:rPr>
          <w:rFonts w:ascii="Times New Roman" w:hAnsi="Times New Roman" w:cs="Times New Roman"/>
        </w:rPr>
        <w:t xml:space="preserve"> The Overall survival of patients in </w:t>
      </w:r>
      <w:r>
        <w:rPr>
          <w:rFonts w:ascii="Times New Roman" w:hAnsi="Times New Roman" w:cs="Times New Roman"/>
          <w:i/>
          <w:iCs/>
        </w:rPr>
        <w:t>TP53</w:t>
      </w:r>
      <w:r>
        <w:rPr>
          <w:rFonts w:ascii="Times New Roman" w:hAnsi="Times New Roman" w:cs="Times New Roman"/>
        </w:rPr>
        <w:t xml:space="preserve"> MT and WT group. The Kaplan-Meier plot as well as number of patients at risk for each group was shown. </w:t>
      </w:r>
      <w:r>
        <w:rPr>
          <w:rFonts w:ascii="Times New Roman" w:hAnsi="Times New Roman" w:cs="Times New Roman"/>
          <w:bCs/>
        </w:rPr>
        <w:t>(B)</w:t>
      </w:r>
      <w:r>
        <w:rPr>
          <w:rFonts w:ascii="Times New Roman" w:hAnsi="Times New Roman" w:cs="Times New Roman"/>
        </w:rPr>
        <w:t xml:space="preserve"> Similar with (A</w:t>
      </w:r>
      <w:proofErr w:type="gramStart"/>
      <w:r>
        <w:rPr>
          <w:rFonts w:ascii="Times New Roman" w:hAnsi="Times New Roman" w:cs="Times New Roman"/>
        </w:rPr>
        <w:t>), but</w:t>
      </w:r>
      <w:proofErr w:type="gramEnd"/>
      <w:r>
        <w:rPr>
          <w:rFonts w:ascii="Times New Roman" w:hAnsi="Times New Roman" w:cs="Times New Roman"/>
        </w:rPr>
        <w:t xml:space="preserve"> using Disease-specific survival information. </w:t>
      </w:r>
    </w:p>
    <w:p w14:paraId="11B10C62" w14:textId="77777777" w:rsidR="00B474EE" w:rsidRDefault="00B474EE" w:rsidP="00B47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Figure 2.</w:t>
      </w:r>
      <w:r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The intersection of </w:t>
      </w:r>
      <w:r>
        <w:rPr>
          <w:rFonts w:ascii="Times New Roman" w:hAnsi="Times New Roman" w:cs="Times New Roman"/>
          <w:b/>
        </w:rPr>
        <w:t xml:space="preserve">up-regulated differentially expressed genes identified by the three methods. </w:t>
      </w:r>
      <w:r>
        <w:rPr>
          <w:rFonts w:ascii="Times New Roman" w:hAnsi="Times New Roman" w:cs="Times New Roman"/>
          <w:bCs/>
        </w:rPr>
        <w:t>(A)</w:t>
      </w:r>
      <w:r>
        <w:rPr>
          <w:rFonts w:ascii="Times New Roman" w:hAnsi="Times New Roman" w:cs="Times New Roman"/>
        </w:rPr>
        <w:t xml:space="preserve"> Up-regulated DEMs in </w:t>
      </w:r>
      <w:r>
        <w:rPr>
          <w:rFonts w:ascii="Times New Roman" w:hAnsi="Times New Roman" w:cs="Times New Roman"/>
          <w:i/>
          <w:iCs/>
        </w:rPr>
        <w:t xml:space="preserve">TP53 </w:t>
      </w:r>
      <w:r>
        <w:rPr>
          <w:rFonts w:ascii="Times New Roman" w:hAnsi="Times New Roman" w:cs="Times New Roman"/>
        </w:rPr>
        <w:t xml:space="preserve">MT group. </w:t>
      </w:r>
      <w:r>
        <w:rPr>
          <w:rFonts w:ascii="Times New Roman" w:hAnsi="Times New Roman" w:cs="Times New Roman"/>
          <w:bCs/>
        </w:rPr>
        <w:t>(B)</w:t>
      </w:r>
      <w:r>
        <w:rPr>
          <w:rFonts w:ascii="Times New Roman" w:hAnsi="Times New Roman" w:cs="Times New Roman"/>
        </w:rPr>
        <w:t xml:space="preserve"> Up-regulated DEMs in </w:t>
      </w:r>
      <w:r>
        <w:rPr>
          <w:rFonts w:ascii="Times New Roman" w:hAnsi="Times New Roman" w:cs="Times New Roman"/>
          <w:i/>
          <w:iCs/>
        </w:rPr>
        <w:t xml:space="preserve">TP53 </w:t>
      </w:r>
      <w:r>
        <w:rPr>
          <w:rFonts w:ascii="Times New Roman" w:hAnsi="Times New Roman" w:cs="Times New Roman"/>
        </w:rPr>
        <w:t xml:space="preserve">WT group. </w:t>
      </w:r>
      <w:r>
        <w:rPr>
          <w:rFonts w:ascii="Times New Roman" w:hAnsi="Times New Roman" w:cs="Times New Roman"/>
          <w:bCs/>
        </w:rPr>
        <w:t>(C)</w:t>
      </w:r>
      <w:r>
        <w:rPr>
          <w:rFonts w:ascii="Times New Roman" w:hAnsi="Times New Roman" w:cs="Times New Roman"/>
        </w:rPr>
        <w:t xml:space="preserve"> Up-regulated DELs in </w:t>
      </w:r>
      <w:r>
        <w:rPr>
          <w:rFonts w:ascii="Times New Roman" w:hAnsi="Times New Roman" w:cs="Times New Roman"/>
          <w:i/>
          <w:iCs/>
        </w:rPr>
        <w:t xml:space="preserve">TP53 </w:t>
      </w:r>
      <w:r>
        <w:rPr>
          <w:rFonts w:ascii="Times New Roman" w:hAnsi="Times New Roman" w:cs="Times New Roman"/>
        </w:rPr>
        <w:t xml:space="preserve">MT group. </w:t>
      </w:r>
      <w:r>
        <w:rPr>
          <w:rFonts w:ascii="Times New Roman" w:hAnsi="Times New Roman" w:cs="Times New Roman"/>
          <w:bCs/>
        </w:rPr>
        <w:t>(D)</w:t>
      </w:r>
      <w:r>
        <w:rPr>
          <w:rFonts w:ascii="Times New Roman" w:hAnsi="Times New Roman" w:cs="Times New Roman"/>
        </w:rPr>
        <w:t xml:space="preserve"> Up-regulated DELs in </w:t>
      </w:r>
      <w:r>
        <w:rPr>
          <w:rFonts w:ascii="Times New Roman" w:hAnsi="Times New Roman" w:cs="Times New Roman"/>
          <w:i/>
          <w:iCs/>
        </w:rPr>
        <w:t xml:space="preserve">TP53 </w:t>
      </w:r>
      <w:r>
        <w:rPr>
          <w:rFonts w:ascii="Times New Roman" w:hAnsi="Times New Roman" w:cs="Times New Roman"/>
        </w:rPr>
        <w:t xml:space="preserve">WT group. </w:t>
      </w:r>
      <w:r>
        <w:rPr>
          <w:rFonts w:ascii="Times New Roman" w:hAnsi="Times New Roman" w:cs="Times New Roman"/>
          <w:bCs/>
        </w:rPr>
        <w:t>(E)</w:t>
      </w:r>
      <w:r>
        <w:rPr>
          <w:rFonts w:ascii="Times New Roman" w:hAnsi="Times New Roman" w:cs="Times New Roman"/>
        </w:rPr>
        <w:t xml:space="preserve"> Up-regulated </w:t>
      </w:r>
      <w:proofErr w:type="spellStart"/>
      <w:r>
        <w:rPr>
          <w:rFonts w:ascii="Times New Roman" w:hAnsi="Times New Roman" w:cs="Times New Roman"/>
        </w:rPr>
        <w:t>DEmis</w:t>
      </w:r>
      <w:proofErr w:type="spellEnd"/>
      <w:r>
        <w:rPr>
          <w:rFonts w:ascii="Times New Roman" w:hAnsi="Times New Roman" w:cs="Times New Roman"/>
        </w:rPr>
        <w:t xml:space="preserve"> in </w:t>
      </w:r>
      <w:r>
        <w:rPr>
          <w:rFonts w:ascii="Times New Roman" w:hAnsi="Times New Roman" w:cs="Times New Roman"/>
          <w:i/>
          <w:iCs/>
        </w:rPr>
        <w:t xml:space="preserve">TP53 </w:t>
      </w:r>
      <w:r>
        <w:rPr>
          <w:rFonts w:ascii="Times New Roman" w:hAnsi="Times New Roman" w:cs="Times New Roman"/>
        </w:rPr>
        <w:t xml:space="preserve">MT group. </w:t>
      </w:r>
      <w:r>
        <w:rPr>
          <w:rFonts w:ascii="Times New Roman" w:hAnsi="Times New Roman" w:cs="Times New Roman"/>
          <w:bCs/>
        </w:rPr>
        <w:t>(F)</w:t>
      </w:r>
      <w:r>
        <w:rPr>
          <w:rFonts w:ascii="Times New Roman" w:hAnsi="Times New Roman" w:cs="Times New Roman"/>
        </w:rPr>
        <w:t xml:space="preserve"> Up-regulated </w:t>
      </w:r>
      <w:proofErr w:type="spellStart"/>
      <w:r>
        <w:rPr>
          <w:rFonts w:ascii="Times New Roman" w:hAnsi="Times New Roman" w:cs="Times New Roman"/>
        </w:rPr>
        <w:t>DEmis</w:t>
      </w:r>
      <w:proofErr w:type="spellEnd"/>
      <w:r>
        <w:rPr>
          <w:rFonts w:ascii="Times New Roman" w:hAnsi="Times New Roman" w:cs="Times New Roman"/>
        </w:rPr>
        <w:t xml:space="preserve"> in </w:t>
      </w:r>
      <w:r>
        <w:rPr>
          <w:rFonts w:ascii="Times New Roman" w:hAnsi="Times New Roman" w:cs="Times New Roman"/>
          <w:i/>
          <w:iCs/>
        </w:rPr>
        <w:t xml:space="preserve">TP53 </w:t>
      </w:r>
      <w:r>
        <w:rPr>
          <w:rFonts w:ascii="Times New Roman" w:hAnsi="Times New Roman" w:cs="Times New Roman"/>
        </w:rPr>
        <w:t>WT group.</w:t>
      </w:r>
    </w:p>
    <w:p w14:paraId="5034B38A" w14:textId="77777777" w:rsidR="00B474EE" w:rsidRDefault="00B474EE" w:rsidP="00B47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Figure 3. The intersection of </w:t>
      </w:r>
      <w:r>
        <w:rPr>
          <w:rFonts w:ascii="Times New Roman" w:hAnsi="Times New Roman" w:cs="Times New Roman"/>
          <w:b/>
        </w:rPr>
        <w:t>down-regulated differentially expressed genes identified by the three methods.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</w:rPr>
        <w:t>(A)</w:t>
      </w:r>
      <w:r>
        <w:rPr>
          <w:rFonts w:ascii="Times New Roman" w:hAnsi="Times New Roman" w:cs="Times New Roman"/>
        </w:rPr>
        <w:t xml:space="preserve"> Down-regulated DEMs in </w:t>
      </w:r>
      <w:r>
        <w:rPr>
          <w:rFonts w:ascii="Times New Roman" w:hAnsi="Times New Roman" w:cs="Times New Roman"/>
          <w:i/>
          <w:iCs/>
        </w:rPr>
        <w:t xml:space="preserve">TP53 </w:t>
      </w:r>
      <w:r>
        <w:rPr>
          <w:rFonts w:ascii="Times New Roman" w:hAnsi="Times New Roman" w:cs="Times New Roman"/>
        </w:rPr>
        <w:t xml:space="preserve">MT group. </w:t>
      </w:r>
      <w:r>
        <w:rPr>
          <w:rFonts w:ascii="Times New Roman" w:hAnsi="Times New Roman" w:cs="Times New Roman"/>
          <w:bCs/>
        </w:rPr>
        <w:t>(B)</w:t>
      </w:r>
      <w:r>
        <w:rPr>
          <w:rFonts w:ascii="Times New Roman" w:hAnsi="Times New Roman" w:cs="Times New Roman"/>
        </w:rPr>
        <w:t xml:space="preserve"> Down-regulated DEMs in </w:t>
      </w:r>
      <w:r>
        <w:rPr>
          <w:rFonts w:ascii="Times New Roman" w:hAnsi="Times New Roman" w:cs="Times New Roman"/>
          <w:i/>
          <w:iCs/>
        </w:rPr>
        <w:t xml:space="preserve">TP53 </w:t>
      </w:r>
      <w:r>
        <w:rPr>
          <w:rFonts w:ascii="Times New Roman" w:hAnsi="Times New Roman" w:cs="Times New Roman"/>
        </w:rPr>
        <w:t xml:space="preserve">WT group. </w:t>
      </w:r>
      <w:r>
        <w:rPr>
          <w:rFonts w:ascii="Times New Roman" w:hAnsi="Times New Roman" w:cs="Times New Roman"/>
          <w:bCs/>
        </w:rPr>
        <w:t>(C)</w:t>
      </w:r>
      <w:r>
        <w:rPr>
          <w:rFonts w:ascii="Times New Roman" w:hAnsi="Times New Roman" w:cs="Times New Roman"/>
        </w:rPr>
        <w:t xml:space="preserve"> Down-regulated DELs in </w:t>
      </w:r>
      <w:r>
        <w:rPr>
          <w:rFonts w:ascii="Times New Roman" w:hAnsi="Times New Roman" w:cs="Times New Roman"/>
          <w:i/>
          <w:iCs/>
        </w:rPr>
        <w:t xml:space="preserve">TP53 </w:t>
      </w:r>
      <w:r>
        <w:rPr>
          <w:rFonts w:ascii="Times New Roman" w:hAnsi="Times New Roman" w:cs="Times New Roman"/>
        </w:rPr>
        <w:t xml:space="preserve">MT group. </w:t>
      </w:r>
      <w:r>
        <w:rPr>
          <w:rFonts w:ascii="Times New Roman" w:hAnsi="Times New Roman" w:cs="Times New Roman"/>
          <w:bCs/>
        </w:rPr>
        <w:t>(D)</w:t>
      </w:r>
      <w:r>
        <w:rPr>
          <w:rFonts w:ascii="Times New Roman" w:hAnsi="Times New Roman" w:cs="Times New Roman"/>
        </w:rPr>
        <w:t xml:space="preserve"> Down-regulated DELs in </w:t>
      </w:r>
      <w:r>
        <w:rPr>
          <w:rFonts w:ascii="Times New Roman" w:hAnsi="Times New Roman" w:cs="Times New Roman"/>
          <w:i/>
          <w:iCs/>
        </w:rPr>
        <w:t xml:space="preserve">TP53 </w:t>
      </w:r>
      <w:r>
        <w:rPr>
          <w:rFonts w:ascii="Times New Roman" w:hAnsi="Times New Roman" w:cs="Times New Roman"/>
        </w:rPr>
        <w:t xml:space="preserve">WT group. </w:t>
      </w:r>
      <w:r>
        <w:rPr>
          <w:rFonts w:ascii="Times New Roman" w:hAnsi="Times New Roman" w:cs="Times New Roman"/>
          <w:bCs/>
        </w:rPr>
        <w:t>(E)</w:t>
      </w:r>
      <w:r>
        <w:rPr>
          <w:rFonts w:ascii="Times New Roman" w:hAnsi="Times New Roman" w:cs="Times New Roman"/>
        </w:rPr>
        <w:t xml:space="preserve"> Down-regulated </w:t>
      </w:r>
      <w:proofErr w:type="spellStart"/>
      <w:r>
        <w:rPr>
          <w:rFonts w:ascii="Times New Roman" w:hAnsi="Times New Roman" w:cs="Times New Roman"/>
        </w:rPr>
        <w:t>DEmis</w:t>
      </w:r>
      <w:proofErr w:type="spellEnd"/>
      <w:r>
        <w:rPr>
          <w:rFonts w:ascii="Times New Roman" w:hAnsi="Times New Roman" w:cs="Times New Roman"/>
        </w:rPr>
        <w:t xml:space="preserve"> in </w:t>
      </w:r>
      <w:r>
        <w:rPr>
          <w:rFonts w:ascii="Times New Roman" w:hAnsi="Times New Roman" w:cs="Times New Roman"/>
          <w:i/>
          <w:iCs/>
        </w:rPr>
        <w:t xml:space="preserve">TP53 </w:t>
      </w:r>
      <w:r>
        <w:rPr>
          <w:rFonts w:ascii="Times New Roman" w:hAnsi="Times New Roman" w:cs="Times New Roman"/>
        </w:rPr>
        <w:t xml:space="preserve">MT group. </w:t>
      </w:r>
      <w:r>
        <w:rPr>
          <w:rFonts w:ascii="Times New Roman" w:hAnsi="Times New Roman" w:cs="Times New Roman"/>
          <w:bCs/>
        </w:rPr>
        <w:t>(F)</w:t>
      </w:r>
      <w:r>
        <w:rPr>
          <w:rFonts w:ascii="Times New Roman" w:hAnsi="Times New Roman" w:cs="Times New Roman"/>
        </w:rPr>
        <w:t xml:space="preserve"> Down-regulated </w:t>
      </w:r>
      <w:proofErr w:type="spellStart"/>
      <w:r>
        <w:rPr>
          <w:rFonts w:ascii="Times New Roman" w:hAnsi="Times New Roman" w:cs="Times New Roman"/>
        </w:rPr>
        <w:t>DEmis</w:t>
      </w:r>
      <w:proofErr w:type="spellEnd"/>
      <w:r>
        <w:rPr>
          <w:rFonts w:ascii="Times New Roman" w:hAnsi="Times New Roman" w:cs="Times New Roman"/>
        </w:rPr>
        <w:t xml:space="preserve"> in </w:t>
      </w:r>
      <w:r>
        <w:rPr>
          <w:rFonts w:ascii="Times New Roman" w:hAnsi="Times New Roman" w:cs="Times New Roman"/>
          <w:i/>
          <w:iCs/>
        </w:rPr>
        <w:t xml:space="preserve">TP53 </w:t>
      </w:r>
      <w:r>
        <w:rPr>
          <w:rFonts w:ascii="Times New Roman" w:hAnsi="Times New Roman" w:cs="Times New Roman"/>
        </w:rPr>
        <w:t>WT group.</w:t>
      </w:r>
    </w:p>
    <w:p w14:paraId="10D887DB" w14:textId="77777777" w:rsidR="00B474EE" w:rsidRDefault="00B474EE" w:rsidP="00B47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Figure 4. </w:t>
      </w:r>
      <w:r>
        <w:rPr>
          <w:rFonts w:ascii="Times New Roman" w:hAnsi="Times New Roman" w:cs="Times New Roman"/>
          <w:b/>
        </w:rPr>
        <w:t xml:space="preserve">Enrichment analysis </w:t>
      </w:r>
      <w:r>
        <w:rPr>
          <w:rFonts w:ascii="Times New Roman" w:hAnsi="Times New Roman" w:cs="Times New Roman" w:hint="eastAsia"/>
          <w:b/>
        </w:rPr>
        <w:t>on</w:t>
      </w:r>
      <w:r>
        <w:rPr>
          <w:rFonts w:ascii="Times New Roman" w:hAnsi="Times New Roman" w:cs="Times New Roman"/>
          <w:b/>
        </w:rPr>
        <w:t xml:space="preserve"> DEMs identified from TP53 WT H</w:t>
      </w:r>
      <w:r>
        <w:rPr>
          <w:rFonts w:ascii="Times New Roman" w:hAnsi="Times New Roman" w:cs="Times New Roman" w:hint="eastAsia"/>
          <w:b/>
        </w:rPr>
        <w:t>C</w:t>
      </w:r>
      <w:r>
        <w:rPr>
          <w:rFonts w:ascii="Times New Roman" w:hAnsi="Times New Roman" w:cs="Times New Roman"/>
          <w:b/>
        </w:rPr>
        <w:t xml:space="preserve">C samples. </w:t>
      </w:r>
      <w:r>
        <w:rPr>
          <w:rFonts w:ascii="Times New Roman" w:hAnsi="Times New Roman" w:cs="Times New Roman" w:hint="eastAsia"/>
          <w:bCs/>
        </w:rPr>
        <w:t>(</w:t>
      </w:r>
      <w:r>
        <w:rPr>
          <w:rFonts w:ascii="Times New Roman" w:hAnsi="Times New Roman" w:cs="Times New Roman"/>
          <w:bCs/>
        </w:rPr>
        <w:t>A</w:t>
      </w:r>
      <w:r>
        <w:rPr>
          <w:rFonts w:ascii="Times New Roman" w:hAnsi="Times New Roman" w:cs="Times New Roman" w:hint="eastAsia"/>
          <w:bCs/>
        </w:rPr>
        <w:t>)</w:t>
      </w:r>
      <w:r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</w:rPr>
        <w:t xml:space="preserve">GO Biological Process enrichment analysis results. The enriched terms for up-regulated and down-regulated DEMs were marked with red and cyan colors. </w:t>
      </w:r>
      <w:r>
        <w:rPr>
          <w:rFonts w:ascii="Times New Roman" w:hAnsi="Times New Roman" w:cs="Times New Roman"/>
          <w:bCs/>
        </w:rPr>
        <w:t>(B) Similar with (A</w:t>
      </w:r>
      <w:proofErr w:type="gramStart"/>
      <w:r>
        <w:rPr>
          <w:rFonts w:ascii="Times New Roman" w:hAnsi="Times New Roman" w:cs="Times New Roman"/>
          <w:bCs/>
        </w:rPr>
        <w:t>), but</w:t>
      </w:r>
      <w:proofErr w:type="gramEnd"/>
      <w:r>
        <w:rPr>
          <w:rFonts w:ascii="Times New Roman" w:hAnsi="Times New Roman" w:cs="Times New Roman"/>
          <w:bCs/>
        </w:rPr>
        <w:t xml:space="preserve"> using </w:t>
      </w:r>
      <w:r>
        <w:rPr>
          <w:rFonts w:ascii="Times New Roman" w:hAnsi="Times New Roman" w:cs="Times New Roman"/>
        </w:rPr>
        <w:t>KEGG database. (C) Similar with (A</w:t>
      </w:r>
      <w:proofErr w:type="gramStart"/>
      <w:r>
        <w:rPr>
          <w:rFonts w:ascii="Times New Roman" w:hAnsi="Times New Roman" w:cs="Times New Roman"/>
        </w:rPr>
        <w:t>), but</w:t>
      </w:r>
      <w:proofErr w:type="gramEnd"/>
      <w:r>
        <w:rPr>
          <w:rFonts w:ascii="Times New Roman" w:hAnsi="Times New Roman" w:cs="Times New Roman"/>
        </w:rPr>
        <w:t xml:space="preserve"> using </w:t>
      </w:r>
      <w:proofErr w:type="spellStart"/>
      <w:r>
        <w:rPr>
          <w:rFonts w:ascii="Times New Roman" w:hAnsi="Times New Roman" w:cs="Times New Roman"/>
        </w:rPr>
        <w:t>Reactome</w:t>
      </w:r>
      <w:proofErr w:type="spellEnd"/>
      <w:r>
        <w:rPr>
          <w:rFonts w:ascii="Times New Roman" w:hAnsi="Times New Roman" w:cs="Times New Roman"/>
        </w:rPr>
        <w:t xml:space="preserve"> database.</w:t>
      </w:r>
    </w:p>
    <w:p w14:paraId="5DE0A46A" w14:textId="77777777" w:rsidR="00B474EE" w:rsidRDefault="00B474EE" w:rsidP="00B47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Figure 5. Survival analysis on patients stratified by expressions of </w:t>
      </w:r>
      <w:proofErr w:type="spellStart"/>
      <w:r>
        <w:rPr>
          <w:rFonts w:ascii="Times New Roman" w:hAnsi="Times New Roman" w:cs="Times New Roman"/>
          <w:b/>
        </w:rPr>
        <w:t>ceRNA</w:t>
      </w:r>
      <w:proofErr w:type="spellEnd"/>
      <w:r>
        <w:rPr>
          <w:rFonts w:ascii="Times New Roman" w:hAnsi="Times New Roman" w:cs="Times New Roman"/>
          <w:b/>
        </w:rPr>
        <w:t xml:space="preserve"> network nodes. </w:t>
      </w:r>
      <w:r>
        <w:rPr>
          <w:rFonts w:ascii="Times New Roman" w:hAnsi="Times New Roman" w:cs="Times New Roman"/>
        </w:rPr>
        <w:t>(A-C) Kaplan–Meier survival curves showed the overall survival of patients stratified by high/low (A)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AC017104.6, (B) RP5-1092A11.5 and (C) RP11-365O16.6 expression. (D) Heatmap illustrating the concomitant expressional patterns of </w:t>
      </w:r>
      <w:proofErr w:type="spellStart"/>
      <w:r>
        <w:rPr>
          <w:rFonts w:ascii="Times New Roman" w:hAnsi="Times New Roman" w:cs="Times New Roman"/>
        </w:rPr>
        <w:t>ceRNA</w:t>
      </w:r>
      <w:proofErr w:type="spellEnd"/>
      <w:r>
        <w:rPr>
          <w:rFonts w:ascii="Times New Roman" w:hAnsi="Times New Roman" w:cs="Times New Roman"/>
        </w:rPr>
        <w:t xml:space="preserve"> network nodes. </w:t>
      </w:r>
      <w:r>
        <w:rPr>
          <w:rFonts w:ascii="Times New Roman" w:hAnsi="Times New Roman" w:cs="Times New Roman"/>
          <w:bCs/>
        </w:rPr>
        <w:t>(E-F)</w:t>
      </w:r>
      <w:r>
        <w:rPr>
          <w:rFonts w:ascii="Times New Roman" w:hAnsi="Times New Roman" w:cs="Times New Roman"/>
        </w:rPr>
        <w:t xml:space="preserve"> Kaplan–Meier survival curves showed the (E) overall survival and (F) disease-specific survival of patients stratified by high/low network node expression.</w:t>
      </w:r>
    </w:p>
    <w:p w14:paraId="0E1057C5" w14:textId="77777777" w:rsidR="00B474EE" w:rsidRDefault="00B474EE" w:rsidP="00B47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Figure 6. Associations between expression of </w:t>
      </w:r>
      <w:r>
        <w:rPr>
          <w:rFonts w:ascii="Times New Roman" w:hAnsi="Times New Roman" w:cs="Times New Roman"/>
          <w:b/>
        </w:rPr>
        <w:t xml:space="preserve">RP5-1092A11.5 and immune infiltrating cells </w:t>
      </w:r>
      <w:r>
        <w:rPr>
          <w:rFonts w:ascii="Times New Roman" w:hAnsi="Times New Roman" w:cs="Times New Roman" w:hint="eastAsia"/>
          <w:b/>
        </w:rPr>
        <w:t>in</w:t>
      </w:r>
      <w:r>
        <w:rPr>
          <w:rFonts w:ascii="Times New Roman" w:hAnsi="Times New Roman" w:cs="Times New Roman"/>
          <w:b/>
        </w:rPr>
        <w:t xml:space="preserve"> TP53 MT </w:t>
      </w:r>
      <w:r>
        <w:rPr>
          <w:rFonts w:ascii="Times New Roman" w:hAnsi="Times New Roman" w:cs="Times New Roman" w:hint="eastAsia"/>
          <w:b/>
        </w:rPr>
        <w:t>group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Cs/>
        </w:rPr>
        <w:t>(A-D) C</w:t>
      </w:r>
      <w:r>
        <w:rPr>
          <w:rFonts w:ascii="Times New Roman" w:hAnsi="Times New Roman" w:cs="Times New Roman" w:hint="eastAsia"/>
          <w:bCs/>
        </w:rPr>
        <w:t>orre</w:t>
      </w:r>
      <w:r>
        <w:rPr>
          <w:rFonts w:ascii="Times New Roman" w:hAnsi="Times New Roman" w:cs="Times New Roman"/>
          <w:bCs/>
        </w:rPr>
        <w:t xml:space="preserve">lation analysis results </w:t>
      </w:r>
      <w:r>
        <w:rPr>
          <w:rFonts w:ascii="Times New Roman" w:hAnsi="Times New Roman" w:cs="Times New Roman"/>
        </w:rPr>
        <w:t xml:space="preserve">on four cell types, including </w:t>
      </w:r>
      <w:r>
        <w:rPr>
          <w:rFonts w:ascii="Times New Roman" w:hAnsi="Times New Roman" w:cs="Times New Roman"/>
          <w:bCs/>
        </w:rPr>
        <w:t>(A)</w:t>
      </w:r>
      <w:r>
        <w:rPr>
          <w:rFonts w:ascii="Times New Roman" w:hAnsi="Times New Roman" w:cs="Times New Roman"/>
        </w:rPr>
        <w:t xml:space="preserve"> Common lymphoid progenitor, </w:t>
      </w:r>
      <w:r>
        <w:rPr>
          <w:rFonts w:ascii="Times New Roman" w:hAnsi="Times New Roman" w:cs="Times New Roman"/>
          <w:bCs/>
        </w:rPr>
        <w:t>(B)</w:t>
      </w:r>
      <w:r>
        <w:rPr>
          <w:rFonts w:ascii="Times New Roman" w:hAnsi="Times New Roman" w:cs="Times New Roman"/>
        </w:rPr>
        <w:t xml:space="preserve"> T cell CD4+ T helper (Th) 2, </w:t>
      </w:r>
      <w:r>
        <w:rPr>
          <w:rFonts w:ascii="Times New Roman" w:hAnsi="Times New Roman" w:cs="Times New Roman"/>
          <w:bCs/>
        </w:rPr>
        <w:t>(C)</w:t>
      </w:r>
      <w:r>
        <w:rPr>
          <w:rFonts w:ascii="Times New Roman" w:hAnsi="Times New Roman" w:cs="Times New Roman"/>
        </w:rPr>
        <w:t xml:space="preserve"> T cell CD4+ memory and </w:t>
      </w:r>
      <w:r>
        <w:rPr>
          <w:rFonts w:ascii="Times New Roman" w:hAnsi="Times New Roman" w:cs="Times New Roman"/>
          <w:bCs/>
        </w:rPr>
        <w:t>(D)</w:t>
      </w:r>
      <w:r>
        <w:rPr>
          <w:rFonts w:ascii="Times New Roman" w:hAnsi="Times New Roman" w:cs="Times New Roman"/>
        </w:rPr>
        <w:t xml:space="preserve"> Mast cell. Correlations were quantified by Spearman’s rank correlation coefficients.</w:t>
      </w:r>
    </w:p>
    <w:p w14:paraId="2403CB34" w14:textId="77777777" w:rsidR="00B474EE" w:rsidRDefault="00B474EE" w:rsidP="00B474E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Figure 7. Associations between expression of </w:t>
      </w:r>
      <w:r>
        <w:rPr>
          <w:rFonts w:ascii="Times New Roman" w:hAnsi="Times New Roman" w:cs="Times New Roman"/>
          <w:b/>
        </w:rPr>
        <w:t xml:space="preserve">AC017104.6 and immune infiltrating cells </w:t>
      </w:r>
      <w:r>
        <w:rPr>
          <w:rFonts w:ascii="Times New Roman" w:hAnsi="Times New Roman" w:cs="Times New Roman" w:hint="eastAsia"/>
          <w:b/>
        </w:rPr>
        <w:t>in</w:t>
      </w:r>
      <w:r>
        <w:rPr>
          <w:rFonts w:ascii="Times New Roman" w:hAnsi="Times New Roman" w:cs="Times New Roman"/>
          <w:b/>
        </w:rPr>
        <w:t xml:space="preserve"> TP53 MT </w:t>
      </w:r>
      <w:r>
        <w:rPr>
          <w:rFonts w:ascii="Times New Roman" w:hAnsi="Times New Roman" w:cs="Times New Roman" w:hint="eastAsia"/>
          <w:b/>
        </w:rPr>
        <w:t>group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Cs/>
        </w:rPr>
        <w:t>(A-D) C</w:t>
      </w:r>
      <w:r>
        <w:rPr>
          <w:rFonts w:ascii="Times New Roman" w:hAnsi="Times New Roman" w:cs="Times New Roman" w:hint="eastAsia"/>
          <w:bCs/>
        </w:rPr>
        <w:t>orre</w:t>
      </w:r>
      <w:r>
        <w:rPr>
          <w:rFonts w:ascii="Times New Roman" w:hAnsi="Times New Roman" w:cs="Times New Roman"/>
          <w:bCs/>
        </w:rPr>
        <w:t xml:space="preserve">lation analysis results </w:t>
      </w:r>
      <w:r>
        <w:rPr>
          <w:rFonts w:ascii="Times New Roman" w:hAnsi="Times New Roman" w:cs="Times New Roman"/>
        </w:rPr>
        <w:t xml:space="preserve">on four cell types, including </w:t>
      </w:r>
      <w:r>
        <w:rPr>
          <w:rFonts w:ascii="Times New Roman" w:hAnsi="Times New Roman" w:cs="Times New Roman"/>
          <w:bCs/>
        </w:rPr>
        <w:t>(A)</w:t>
      </w:r>
      <w:r>
        <w:rPr>
          <w:rFonts w:ascii="Times New Roman" w:hAnsi="Times New Roman" w:cs="Times New Roman"/>
        </w:rPr>
        <w:t xml:space="preserve"> Common lymphoid progenitor, </w:t>
      </w:r>
      <w:r>
        <w:rPr>
          <w:rFonts w:ascii="Times New Roman" w:hAnsi="Times New Roman" w:cs="Times New Roman"/>
          <w:bCs/>
        </w:rPr>
        <w:t>(B)</w:t>
      </w:r>
      <w:r>
        <w:rPr>
          <w:rFonts w:ascii="Times New Roman" w:hAnsi="Times New Roman" w:cs="Times New Roman"/>
        </w:rPr>
        <w:t xml:space="preserve"> T cell CD4+ T helper (Th) 2, </w:t>
      </w:r>
      <w:r>
        <w:rPr>
          <w:rFonts w:ascii="Times New Roman" w:hAnsi="Times New Roman" w:cs="Times New Roman"/>
          <w:bCs/>
        </w:rPr>
        <w:t>(C)</w:t>
      </w:r>
      <w:r>
        <w:rPr>
          <w:rFonts w:ascii="Times New Roman" w:hAnsi="Times New Roman" w:cs="Times New Roman"/>
        </w:rPr>
        <w:t xml:space="preserve"> T cell CD4+ memory and </w:t>
      </w:r>
      <w:r>
        <w:rPr>
          <w:rFonts w:ascii="Times New Roman" w:hAnsi="Times New Roman" w:cs="Times New Roman"/>
          <w:bCs/>
        </w:rPr>
        <w:t>(D)</w:t>
      </w:r>
      <w:r>
        <w:rPr>
          <w:rFonts w:ascii="Times New Roman" w:hAnsi="Times New Roman" w:cs="Times New Roman"/>
        </w:rPr>
        <w:t xml:space="preserve"> Mast cell. Correlations were quantified by Spearman’s rank correlation coefficients.</w:t>
      </w:r>
    </w:p>
    <w:p w14:paraId="40974AEE" w14:textId="77777777" w:rsidR="00B474EE" w:rsidRDefault="00B474EE" w:rsidP="00B474E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Figure 8. Associations between expression of </w:t>
      </w:r>
      <w:r>
        <w:rPr>
          <w:rFonts w:ascii="Times New Roman" w:hAnsi="Times New Roman" w:cs="Times New Roman"/>
          <w:b/>
        </w:rPr>
        <w:t xml:space="preserve">RP11-365O16.6 and immune infiltrating cells </w:t>
      </w:r>
      <w:r>
        <w:rPr>
          <w:rFonts w:ascii="Times New Roman" w:hAnsi="Times New Roman" w:cs="Times New Roman" w:hint="eastAsia"/>
          <w:b/>
        </w:rPr>
        <w:t>in</w:t>
      </w:r>
      <w:r>
        <w:rPr>
          <w:rFonts w:ascii="Times New Roman" w:hAnsi="Times New Roman" w:cs="Times New Roman"/>
          <w:b/>
        </w:rPr>
        <w:t xml:space="preserve"> TP53 MT </w:t>
      </w:r>
      <w:r>
        <w:rPr>
          <w:rFonts w:ascii="Times New Roman" w:hAnsi="Times New Roman" w:cs="Times New Roman" w:hint="eastAsia"/>
          <w:b/>
        </w:rPr>
        <w:t>group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Cs/>
        </w:rPr>
        <w:t>(A-D) C</w:t>
      </w:r>
      <w:r>
        <w:rPr>
          <w:rFonts w:ascii="Times New Roman" w:hAnsi="Times New Roman" w:cs="Times New Roman" w:hint="eastAsia"/>
          <w:bCs/>
        </w:rPr>
        <w:t>orre</w:t>
      </w:r>
      <w:r>
        <w:rPr>
          <w:rFonts w:ascii="Times New Roman" w:hAnsi="Times New Roman" w:cs="Times New Roman"/>
          <w:bCs/>
        </w:rPr>
        <w:t xml:space="preserve">lation analysis results </w:t>
      </w:r>
      <w:r>
        <w:rPr>
          <w:rFonts w:ascii="Times New Roman" w:hAnsi="Times New Roman" w:cs="Times New Roman"/>
        </w:rPr>
        <w:t xml:space="preserve">on four cell types, including </w:t>
      </w:r>
      <w:r>
        <w:rPr>
          <w:rFonts w:ascii="Times New Roman" w:hAnsi="Times New Roman" w:cs="Times New Roman"/>
          <w:bCs/>
        </w:rPr>
        <w:t>(A)</w:t>
      </w:r>
      <w:r>
        <w:rPr>
          <w:rFonts w:ascii="Times New Roman" w:hAnsi="Times New Roman" w:cs="Times New Roman"/>
        </w:rPr>
        <w:t xml:space="preserve"> Common lymphoid progenitor, </w:t>
      </w:r>
      <w:r>
        <w:rPr>
          <w:rFonts w:ascii="Times New Roman" w:hAnsi="Times New Roman" w:cs="Times New Roman"/>
          <w:bCs/>
        </w:rPr>
        <w:t>(B)</w:t>
      </w:r>
      <w:r>
        <w:rPr>
          <w:rFonts w:ascii="Times New Roman" w:hAnsi="Times New Roman" w:cs="Times New Roman"/>
        </w:rPr>
        <w:t xml:space="preserve"> T cell CD4+ T helper (Th) 2, </w:t>
      </w:r>
      <w:r>
        <w:rPr>
          <w:rFonts w:ascii="Times New Roman" w:hAnsi="Times New Roman" w:cs="Times New Roman"/>
          <w:bCs/>
        </w:rPr>
        <w:t>(C)</w:t>
      </w:r>
      <w:r>
        <w:rPr>
          <w:rFonts w:ascii="Times New Roman" w:hAnsi="Times New Roman" w:cs="Times New Roman"/>
        </w:rPr>
        <w:t xml:space="preserve"> T cell CD4+ memory and </w:t>
      </w:r>
      <w:r>
        <w:rPr>
          <w:rFonts w:ascii="Times New Roman" w:hAnsi="Times New Roman" w:cs="Times New Roman"/>
          <w:bCs/>
        </w:rPr>
        <w:t>(D)</w:t>
      </w:r>
      <w:r>
        <w:rPr>
          <w:rFonts w:ascii="Times New Roman" w:hAnsi="Times New Roman" w:cs="Times New Roman"/>
        </w:rPr>
        <w:t xml:space="preserve"> Mast cell. Correlations were quantified by Spearman’s rank correlation coefficients.</w:t>
      </w:r>
    </w:p>
    <w:p w14:paraId="0722596B" w14:textId="77777777" w:rsidR="00B474EE" w:rsidRDefault="00B474EE" w:rsidP="00B47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Figure 9. Comparisons on immune cell infiltrations between patients stratified by TP53 mutational status as well as survival analysis results incorporating tumor microenvironment difference. </w:t>
      </w:r>
      <w:r>
        <w:rPr>
          <w:rFonts w:ascii="Times New Roman" w:hAnsi="Times New Roman" w:cs="Times New Roman"/>
          <w:bCs/>
        </w:rPr>
        <w:t xml:space="preserve">(A) Statistical </w:t>
      </w:r>
      <w:r>
        <w:rPr>
          <w:rFonts w:ascii="Times New Roman" w:hAnsi="Times New Roman" w:cs="Times New Roman"/>
        </w:rPr>
        <w:t xml:space="preserve">differences of immune cell infiltrations in </w:t>
      </w:r>
      <w:r>
        <w:rPr>
          <w:rFonts w:ascii="Times New Roman" w:hAnsi="Times New Roman" w:cs="Times New Roman"/>
          <w:i/>
          <w:iCs/>
        </w:rPr>
        <w:t>TP53</w:t>
      </w:r>
      <w:r>
        <w:rPr>
          <w:rFonts w:ascii="Times New Roman" w:hAnsi="Times New Roman" w:cs="Times New Roman"/>
        </w:rPr>
        <w:t xml:space="preserve"> MT and </w:t>
      </w:r>
      <w:r>
        <w:rPr>
          <w:rFonts w:ascii="Times New Roman" w:hAnsi="Times New Roman" w:cs="Times New Roman"/>
          <w:i/>
          <w:iCs/>
        </w:rPr>
        <w:t>TP53</w:t>
      </w:r>
      <w:r>
        <w:rPr>
          <w:rFonts w:ascii="Times New Roman" w:hAnsi="Times New Roman" w:cs="Times New Roman"/>
        </w:rPr>
        <w:t xml:space="preserve"> WT group. Significantly different immune cell types were marked with cyan color while types positively correlated with </w:t>
      </w:r>
      <w:proofErr w:type="spellStart"/>
      <w:r>
        <w:rPr>
          <w:rFonts w:ascii="Times New Roman" w:hAnsi="Times New Roman" w:cs="Times New Roman"/>
        </w:rPr>
        <w:t>ceRNA</w:t>
      </w:r>
      <w:proofErr w:type="spellEnd"/>
      <w:r>
        <w:rPr>
          <w:rFonts w:ascii="Times New Roman" w:hAnsi="Times New Roman" w:cs="Times New Roman"/>
        </w:rPr>
        <w:t xml:space="preserve"> network nodes were marked with red. Infiltration levels were compared using Wilcoxon rank sum test adjusted by</w:t>
      </w:r>
      <w:r>
        <w:rPr>
          <w:rFonts w:ascii="Times New Roman" w:hAnsi="Times New Roman" w:cs="Times New Roman"/>
          <w:bCs/>
        </w:rPr>
        <w:t xml:space="preserve"> </w:t>
      </w:r>
      <w:proofErr w:type="spellStart"/>
      <w:r>
        <w:rPr>
          <w:rFonts w:ascii="Times New Roman" w:hAnsi="Times New Roman" w:cs="Times New Roman"/>
        </w:rPr>
        <w:t>Benjamini</w:t>
      </w:r>
      <w:proofErr w:type="spellEnd"/>
      <w:r>
        <w:rPr>
          <w:rFonts w:ascii="Times New Roman" w:hAnsi="Times New Roman" w:cs="Times New Roman"/>
        </w:rPr>
        <w:t xml:space="preserve"> &amp; Hochberg method. </w:t>
      </w:r>
      <w:r>
        <w:rPr>
          <w:rFonts w:ascii="Times New Roman" w:hAnsi="Times New Roman" w:cs="Times New Roman"/>
          <w:bCs/>
        </w:rPr>
        <w:t xml:space="preserve">(B) </w:t>
      </w:r>
      <w:r>
        <w:rPr>
          <w:rFonts w:ascii="Times New Roman" w:hAnsi="Times New Roman" w:cs="Times New Roman"/>
        </w:rPr>
        <w:t xml:space="preserve">Kaplan–Meier survival curve showed the overall survival of </w:t>
      </w:r>
      <w:r>
        <w:rPr>
          <w:rFonts w:ascii="Times New Roman" w:hAnsi="Times New Roman" w:cs="Times New Roman"/>
          <w:i/>
          <w:iCs/>
        </w:rPr>
        <w:t>TP53</w:t>
      </w:r>
      <w:r>
        <w:rPr>
          <w:rFonts w:ascii="Times New Roman" w:hAnsi="Times New Roman" w:cs="Times New Roman"/>
        </w:rPr>
        <w:t xml:space="preserve"> MT patients with different </w:t>
      </w:r>
      <w:r>
        <w:rPr>
          <w:rFonts w:ascii="Times New Roman" w:hAnsi="Times New Roman" w:cs="Times New Roman"/>
        </w:rPr>
        <w:lastRenderedPageBreak/>
        <w:t>infiltrations of T cell CD4+ T helper (Th) 2. (C) Similar with (B</w:t>
      </w:r>
      <w:proofErr w:type="gramStart"/>
      <w:r>
        <w:rPr>
          <w:rFonts w:ascii="Times New Roman" w:hAnsi="Times New Roman" w:cs="Times New Roman"/>
        </w:rPr>
        <w:t>), but</w:t>
      </w:r>
      <w:proofErr w:type="gramEnd"/>
      <w:r>
        <w:rPr>
          <w:rFonts w:ascii="Times New Roman" w:hAnsi="Times New Roman" w:cs="Times New Roman"/>
        </w:rPr>
        <w:t xml:space="preserve"> using disease-specific survival. (D) Similar with (B</w:t>
      </w:r>
      <w:proofErr w:type="gramStart"/>
      <w:r>
        <w:rPr>
          <w:rFonts w:ascii="Times New Roman" w:hAnsi="Times New Roman" w:cs="Times New Roman"/>
        </w:rPr>
        <w:t>), but</w:t>
      </w:r>
      <w:proofErr w:type="gramEnd"/>
      <w:r>
        <w:rPr>
          <w:rFonts w:ascii="Times New Roman" w:hAnsi="Times New Roman" w:cs="Times New Roman"/>
        </w:rPr>
        <w:t xml:space="preserve"> focusing on Mast cell. (E) Similar with (D</w:t>
      </w:r>
      <w:proofErr w:type="gramStart"/>
      <w:r>
        <w:rPr>
          <w:rFonts w:ascii="Times New Roman" w:hAnsi="Times New Roman" w:cs="Times New Roman"/>
        </w:rPr>
        <w:t>), but</w:t>
      </w:r>
      <w:proofErr w:type="gramEnd"/>
      <w:r>
        <w:rPr>
          <w:rFonts w:ascii="Times New Roman" w:hAnsi="Times New Roman" w:cs="Times New Roman"/>
        </w:rPr>
        <w:t xml:space="preserve"> using disease-specific survival. (F) Similar with (B</w:t>
      </w:r>
      <w:proofErr w:type="gramStart"/>
      <w:r>
        <w:rPr>
          <w:rFonts w:ascii="Times New Roman" w:hAnsi="Times New Roman" w:cs="Times New Roman"/>
        </w:rPr>
        <w:t>), but</w:t>
      </w:r>
      <w:proofErr w:type="gramEnd"/>
      <w:r>
        <w:rPr>
          <w:rFonts w:ascii="Times New Roman" w:hAnsi="Times New Roman" w:cs="Times New Roman"/>
        </w:rPr>
        <w:t xml:space="preserve"> focusing on T cell CD4+ memory. (G) Similar with (F</w:t>
      </w:r>
      <w:proofErr w:type="gramStart"/>
      <w:r>
        <w:rPr>
          <w:rFonts w:ascii="Times New Roman" w:hAnsi="Times New Roman" w:cs="Times New Roman"/>
        </w:rPr>
        <w:t>), but</w:t>
      </w:r>
      <w:proofErr w:type="gramEnd"/>
      <w:r>
        <w:rPr>
          <w:rFonts w:ascii="Times New Roman" w:hAnsi="Times New Roman" w:cs="Times New Roman"/>
        </w:rPr>
        <w:t xml:space="preserve"> using disease-specific survival.</w:t>
      </w:r>
    </w:p>
    <w:p w14:paraId="4BCCFFE3" w14:textId="77777777" w:rsidR="00B474EE" w:rsidRDefault="00B474EE" w:rsidP="00B47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Figure 10. Relationship between </w:t>
      </w:r>
      <w:r>
        <w:rPr>
          <w:rFonts w:ascii="Times New Roman" w:hAnsi="Times New Roman" w:cs="Times New Roman"/>
          <w:b/>
        </w:rPr>
        <w:t xml:space="preserve">cancer-immunity cycle activity and </w:t>
      </w:r>
      <w:proofErr w:type="spellStart"/>
      <w:r>
        <w:rPr>
          <w:rFonts w:ascii="Times New Roman" w:hAnsi="Times New Roman" w:cs="Times New Roman"/>
          <w:b/>
        </w:rPr>
        <w:t>ceRNA</w:t>
      </w:r>
      <w:proofErr w:type="spellEnd"/>
      <w:r>
        <w:rPr>
          <w:rFonts w:ascii="Times New Roman" w:hAnsi="Times New Roman" w:cs="Times New Roman"/>
          <w:b/>
        </w:rPr>
        <w:t xml:space="preserve"> network nodes. </w:t>
      </w:r>
      <w:r>
        <w:rPr>
          <w:rFonts w:ascii="Times New Roman" w:hAnsi="Times New Roman" w:cs="Times New Roman"/>
          <w:bCs/>
        </w:rPr>
        <w:t>(A)</w:t>
      </w:r>
      <w:r>
        <w:rPr>
          <w:rFonts w:ascii="Times New Roman" w:hAnsi="Times New Roman" w:cs="Times New Roman"/>
        </w:rPr>
        <w:t xml:space="preserve"> Heatmap illustrating the correlations between cancer-immunity cycle steps and </w:t>
      </w:r>
      <w:proofErr w:type="spellStart"/>
      <w:r>
        <w:rPr>
          <w:rFonts w:ascii="Times New Roman" w:hAnsi="Times New Roman" w:cs="Times New Roman"/>
        </w:rPr>
        <w:t>ceRNA</w:t>
      </w:r>
      <w:proofErr w:type="spellEnd"/>
      <w:r>
        <w:rPr>
          <w:rFonts w:ascii="Times New Roman" w:hAnsi="Times New Roman" w:cs="Times New Roman"/>
        </w:rPr>
        <w:t xml:space="preserve"> network nodes in </w:t>
      </w:r>
      <w:r>
        <w:rPr>
          <w:rFonts w:ascii="Times New Roman" w:hAnsi="Times New Roman" w:cs="Times New Roman"/>
          <w:i/>
          <w:iCs/>
        </w:rPr>
        <w:t>TP53</w:t>
      </w:r>
      <w:r>
        <w:rPr>
          <w:rFonts w:ascii="Times New Roman" w:hAnsi="Times New Roman" w:cs="Times New Roman"/>
        </w:rPr>
        <w:t xml:space="preserve"> MT patients. Clusters with high correlation values were marked with red rectangle. </w:t>
      </w:r>
      <w:r>
        <w:rPr>
          <w:rFonts w:ascii="Times New Roman" w:hAnsi="Times New Roman" w:cs="Times New Roman"/>
          <w:bCs/>
        </w:rPr>
        <w:t>(B-E)</w:t>
      </w:r>
      <w:r>
        <w:rPr>
          <w:rFonts w:ascii="Times New Roman" w:hAnsi="Times New Roman" w:cs="Times New Roman"/>
        </w:rPr>
        <w:t xml:space="preserve"> Correlation analyses between the activity of “infiltration of immune cells into tumors” step and expressions of </w:t>
      </w:r>
      <w:proofErr w:type="spellStart"/>
      <w:r>
        <w:rPr>
          <w:rFonts w:ascii="Times New Roman" w:hAnsi="Times New Roman" w:cs="Times New Roman"/>
        </w:rPr>
        <w:t>ceRNA</w:t>
      </w:r>
      <w:proofErr w:type="spellEnd"/>
      <w:r>
        <w:rPr>
          <w:rFonts w:ascii="Times New Roman" w:hAnsi="Times New Roman" w:cs="Times New Roman"/>
        </w:rPr>
        <w:t xml:space="preserve"> network nodes in </w:t>
      </w:r>
      <w:r>
        <w:rPr>
          <w:rFonts w:ascii="Times New Roman" w:hAnsi="Times New Roman" w:cs="Times New Roman"/>
          <w:i/>
          <w:iCs/>
        </w:rPr>
        <w:t>TP53</w:t>
      </w:r>
      <w:r>
        <w:rPr>
          <w:rFonts w:ascii="Times New Roman" w:hAnsi="Times New Roman" w:cs="Times New Roman"/>
        </w:rPr>
        <w:t xml:space="preserve"> MT group, including </w:t>
      </w:r>
      <w:r>
        <w:rPr>
          <w:rFonts w:ascii="Times New Roman" w:hAnsi="Times New Roman" w:cs="Times New Roman"/>
          <w:bCs/>
        </w:rPr>
        <w:t>(B)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</w:rPr>
        <w:t>PTBP1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bCs/>
        </w:rPr>
        <w:t>(C)</w:t>
      </w:r>
      <w:r>
        <w:rPr>
          <w:rFonts w:ascii="Times New Roman" w:hAnsi="Times New Roman" w:cs="Times New Roman"/>
        </w:rPr>
        <w:t xml:space="preserve"> AC017104.6, </w:t>
      </w:r>
      <w:r>
        <w:rPr>
          <w:rFonts w:ascii="Times New Roman" w:hAnsi="Times New Roman" w:cs="Times New Roman"/>
          <w:bCs/>
        </w:rPr>
        <w:t>(D)</w:t>
      </w:r>
      <w:r>
        <w:rPr>
          <w:rFonts w:ascii="Times New Roman" w:hAnsi="Times New Roman" w:cs="Times New Roman"/>
        </w:rPr>
        <w:t xml:space="preserve"> RP5-1092A11.5 and </w:t>
      </w:r>
      <w:r>
        <w:rPr>
          <w:rFonts w:ascii="Times New Roman" w:hAnsi="Times New Roman" w:cs="Times New Roman"/>
          <w:bCs/>
        </w:rPr>
        <w:t xml:space="preserve">(E) </w:t>
      </w:r>
      <w:r>
        <w:rPr>
          <w:rFonts w:ascii="Times New Roman" w:hAnsi="Times New Roman" w:cs="Times New Roman"/>
        </w:rPr>
        <w:t>RP11-365O16.6. Correlations were quantified by Spearman’s rank correlation coefficients.</w:t>
      </w:r>
    </w:p>
    <w:p w14:paraId="12819324" w14:textId="77777777" w:rsidR="00B474EE" w:rsidRDefault="00B474EE" w:rsidP="00B47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Figure 11. </w:t>
      </w:r>
      <w:r>
        <w:rPr>
          <w:rFonts w:ascii="Times New Roman" w:hAnsi="Times New Roman" w:cs="Times New Roman"/>
          <w:b/>
        </w:rPr>
        <w:t xml:space="preserve">Correlation between chemotherapy resistance-related genes and the expression of </w:t>
      </w:r>
      <w:proofErr w:type="spellStart"/>
      <w:r>
        <w:rPr>
          <w:rFonts w:ascii="Times New Roman" w:hAnsi="Times New Roman" w:cs="Times New Roman"/>
          <w:b/>
        </w:rPr>
        <w:t>ceRNA</w:t>
      </w:r>
      <w:proofErr w:type="spellEnd"/>
      <w:r>
        <w:rPr>
          <w:rFonts w:ascii="Times New Roman" w:hAnsi="Times New Roman" w:cs="Times New Roman"/>
          <w:b/>
        </w:rPr>
        <w:t xml:space="preserve"> network nodes.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</w:rPr>
        <w:t xml:space="preserve">(A) </w:t>
      </w:r>
      <w:r>
        <w:rPr>
          <w:rFonts w:ascii="Times New Roman" w:hAnsi="Times New Roman" w:cs="Times New Roman"/>
        </w:rPr>
        <w:t xml:space="preserve">Heatmap illustrating the correlations between chemoresistance genes and </w:t>
      </w:r>
      <w:proofErr w:type="spellStart"/>
      <w:r>
        <w:rPr>
          <w:rFonts w:ascii="Times New Roman" w:hAnsi="Times New Roman" w:cs="Times New Roman"/>
        </w:rPr>
        <w:t>ceRNA</w:t>
      </w:r>
      <w:proofErr w:type="spellEnd"/>
      <w:r>
        <w:rPr>
          <w:rFonts w:ascii="Times New Roman" w:hAnsi="Times New Roman" w:cs="Times New Roman"/>
        </w:rPr>
        <w:t xml:space="preserve"> network nodes in </w:t>
      </w:r>
      <w:r>
        <w:rPr>
          <w:rFonts w:ascii="Times New Roman" w:hAnsi="Times New Roman" w:cs="Times New Roman"/>
          <w:i/>
          <w:iCs/>
        </w:rPr>
        <w:t>TP53</w:t>
      </w:r>
      <w:r>
        <w:rPr>
          <w:rFonts w:ascii="Times New Roman" w:hAnsi="Times New Roman" w:cs="Times New Roman"/>
        </w:rPr>
        <w:t xml:space="preserve"> MT patients. Clusters with high correlation values as well as the corresponding nodes were marked with red rectangle. (B) Expressions of </w:t>
      </w:r>
      <w:r>
        <w:rPr>
          <w:rFonts w:ascii="Times New Roman" w:hAnsi="Times New Roman" w:cs="Times New Roman"/>
          <w:i/>
          <w:iCs/>
        </w:rPr>
        <w:t>PTBP1</w:t>
      </w:r>
      <w:r>
        <w:rPr>
          <w:rFonts w:ascii="Times New Roman" w:hAnsi="Times New Roman" w:cs="Times New Roman"/>
        </w:rPr>
        <w:t xml:space="preserve">-associated chemoresistance genes in </w:t>
      </w:r>
      <w:r>
        <w:rPr>
          <w:rFonts w:ascii="Times New Roman" w:hAnsi="Times New Roman" w:cs="Times New Roman"/>
          <w:i/>
          <w:iCs/>
        </w:rPr>
        <w:t>TP53</w:t>
      </w:r>
      <w:r>
        <w:rPr>
          <w:rFonts w:ascii="Times New Roman" w:hAnsi="Times New Roman" w:cs="Times New Roman"/>
        </w:rPr>
        <w:t xml:space="preserve"> MT, </w:t>
      </w:r>
      <w:r>
        <w:rPr>
          <w:rFonts w:ascii="Times New Roman" w:hAnsi="Times New Roman" w:cs="Times New Roman"/>
          <w:i/>
          <w:iCs/>
        </w:rPr>
        <w:t>TP53</w:t>
      </w:r>
      <w:r>
        <w:rPr>
          <w:rFonts w:ascii="Times New Roman" w:hAnsi="Times New Roman" w:cs="Times New Roman"/>
        </w:rPr>
        <w:t xml:space="preserve"> WT and normal group.</w:t>
      </w:r>
    </w:p>
    <w:p w14:paraId="0FF6803B" w14:textId="77777777" w:rsidR="00B474EE" w:rsidRDefault="00B474EE" w:rsidP="00B47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Figure 12. </w:t>
      </w:r>
      <w:r>
        <w:rPr>
          <w:rFonts w:ascii="Times New Roman" w:hAnsi="Times New Roman" w:cs="Times New Roman"/>
          <w:b/>
        </w:rPr>
        <w:t xml:space="preserve">Dynamics on the DNA methylation level of PTBP1-related probes and their associations between DNA methylation regulators. </w:t>
      </w:r>
      <w:r>
        <w:rPr>
          <w:rFonts w:ascii="Times New Roman" w:hAnsi="Times New Roman" w:cs="Times New Roman"/>
          <w:bCs/>
        </w:rPr>
        <w:t>(A)</w:t>
      </w:r>
      <w:r>
        <w:rPr>
          <w:rFonts w:ascii="Times New Roman" w:hAnsi="Times New Roman" w:cs="Times New Roman"/>
        </w:rPr>
        <w:t xml:space="preserve"> Line plot depicting the alternation trend of </w:t>
      </w:r>
      <w:r>
        <w:rPr>
          <w:rFonts w:ascii="Times New Roman" w:hAnsi="Times New Roman" w:cs="Times New Roman"/>
          <w:i/>
          <w:iCs/>
        </w:rPr>
        <w:t>PTBP1</w:t>
      </w:r>
      <w:r>
        <w:rPr>
          <w:rFonts w:ascii="Times New Roman" w:hAnsi="Times New Roman" w:cs="Times New Roman"/>
        </w:rPr>
        <w:t xml:space="preserve">-related probes with observable group-wise methylation difference. The only probe with methylation level inversely correlated with the expression trend of </w:t>
      </w:r>
      <w:r>
        <w:rPr>
          <w:rFonts w:ascii="Times New Roman" w:hAnsi="Times New Roman" w:cs="Times New Roman"/>
          <w:i/>
          <w:iCs/>
        </w:rPr>
        <w:t>PTBP1</w:t>
      </w:r>
      <w:r>
        <w:rPr>
          <w:rFonts w:ascii="Times New Roman" w:hAnsi="Times New Roman" w:cs="Times New Roman"/>
        </w:rPr>
        <w:t xml:space="preserve"> was marked with red color. </w:t>
      </w:r>
      <w:r>
        <w:rPr>
          <w:rFonts w:ascii="Times New Roman" w:hAnsi="Times New Roman" w:cs="Times New Roman"/>
          <w:bCs/>
        </w:rPr>
        <w:t>(B)</w:t>
      </w:r>
      <w:r>
        <w:rPr>
          <w:rFonts w:ascii="Times New Roman" w:hAnsi="Times New Roman" w:cs="Times New Roman"/>
        </w:rPr>
        <w:t xml:space="preserve"> The distribution of DNA methylation levels of probe cg02086742 probe in </w:t>
      </w:r>
      <w:r>
        <w:rPr>
          <w:rFonts w:ascii="Times New Roman" w:hAnsi="Times New Roman" w:cs="Times New Roman"/>
          <w:i/>
          <w:iCs/>
        </w:rPr>
        <w:t>TP53</w:t>
      </w:r>
      <w:r>
        <w:rPr>
          <w:rFonts w:ascii="Times New Roman" w:hAnsi="Times New Roman" w:cs="Times New Roman"/>
        </w:rPr>
        <w:t xml:space="preserve"> MT, </w:t>
      </w:r>
      <w:proofErr w:type="gramStart"/>
      <w:r>
        <w:rPr>
          <w:rFonts w:ascii="Times New Roman" w:hAnsi="Times New Roman" w:cs="Times New Roman"/>
        </w:rPr>
        <w:t>WT</w:t>
      </w:r>
      <w:proofErr w:type="gramEnd"/>
      <w:r>
        <w:rPr>
          <w:rFonts w:ascii="Times New Roman" w:hAnsi="Times New Roman" w:cs="Times New Roman"/>
        </w:rPr>
        <w:t xml:space="preserve"> and normal group. </w:t>
      </w:r>
      <w:r>
        <w:rPr>
          <w:rFonts w:ascii="Times New Roman" w:hAnsi="Times New Roman" w:cs="Times New Roman"/>
          <w:bCs/>
        </w:rPr>
        <w:t>(C-D)</w:t>
      </w:r>
      <w:r>
        <w:rPr>
          <w:rFonts w:ascii="Times New Roman" w:hAnsi="Times New Roman" w:cs="Times New Roman"/>
        </w:rPr>
        <w:t xml:space="preserve"> The distribution of two DNA methylation erasers’ expression in </w:t>
      </w:r>
      <w:r>
        <w:rPr>
          <w:rFonts w:ascii="Times New Roman" w:hAnsi="Times New Roman" w:cs="Times New Roman"/>
          <w:i/>
          <w:iCs/>
        </w:rPr>
        <w:t>TP53</w:t>
      </w:r>
      <w:r>
        <w:rPr>
          <w:rFonts w:ascii="Times New Roman" w:hAnsi="Times New Roman" w:cs="Times New Roman"/>
        </w:rPr>
        <w:t xml:space="preserve"> MT, </w:t>
      </w:r>
      <w:proofErr w:type="gramStart"/>
      <w:r>
        <w:rPr>
          <w:rFonts w:ascii="Times New Roman" w:hAnsi="Times New Roman" w:cs="Times New Roman"/>
        </w:rPr>
        <w:t>WT</w:t>
      </w:r>
      <w:proofErr w:type="gramEnd"/>
      <w:r>
        <w:rPr>
          <w:rFonts w:ascii="Times New Roman" w:hAnsi="Times New Roman" w:cs="Times New Roman"/>
        </w:rPr>
        <w:t xml:space="preserve"> and normal group, including </w:t>
      </w:r>
      <w:r>
        <w:rPr>
          <w:rFonts w:ascii="Times New Roman" w:hAnsi="Times New Roman" w:cs="Times New Roman"/>
          <w:bCs/>
        </w:rPr>
        <w:t>(C)</w:t>
      </w:r>
      <w:r>
        <w:rPr>
          <w:rFonts w:ascii="Times New Roman" w:hAnsi="Times New Roman" w:cs="Times New Roman"/>
        </w:rPr>
        <w:t xml:space="preserve"> TET1 and </w:t>
      </w:r>
      <w:r>
        <w:rPr>
          <w:rFonts w:ascii="Times New Roman" w:hAnsi="Times New Roman" w:cs="Times New Roman"/>
          <w:bCs/>
        </w:rPr>
        <w:t>(D)</w:t>
      </w:r>
      <w:r>
        <w:rPr>
          <w:rFonts w:ascii="Times New Roman" w:hAnsi="Times New Roman" w:cs="Times New Roman"/>
        </w:rPr>
        <w:t xml:space="preserve"> TET3 protein. Values were compared using Wilcoxon rank sum test. ns: not significant, *: p-value&lt;=0.05; **: p-value&lt;=0.01, ***: p-value&lt;=0.001, ****: p-value&lt;=0.0001.</w:t>
      </w:r>
    </w:p>
    <w:p w14:paraId="256274BA" w14:textId="6B7523D6" w:rsidR="00F34314" w:rsidRPr="00A244A9" w:rsidRDefault="00B474EE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  <w:b/>
          <w:bCs/>
        </w:rPr>
        <w:t xml:space="preserve">Supplementary Figure 13. </w:t>
      </w:r>
      <w:r>
        <w:rPr>
          <w:rFonts w:ascii="Times New Roman" w:hAnsi="Times New Roman" w:cs="Times New Roman"/>
          <w:b/>
        </w:rPr>
        <w:t xml:space="preserve">Distribution on the sensitivity of drugs better responded to TP53 WT group. </w:t>
      </w:r>
      <w:r>
        <w:rPr>
          <w:rFonts w:ascii="Times New Roman" w:hAnsi="Times New Roman" w:cs="Times New Roman"/>
        </w:rPr>
        <w:t xml:space="preserve">(A-D) Comparisons on IC50 values of drugs with higher sensitivity in </w:t>
      </w:r>
      <w:r>
        <w:rPr>
          <w:rFonts w:ascii="Times New Roman" w:hAnsi="Times New Roman" w:cs="Times New Roman"/>
          <w:i/>
          <w:iCs/>
        </w:rPr>
        <w:t>TP53</w:t>
      </w:r>
      <w:r>
        <w:rPr>
          <w:rFonts w:ascii="Times New Roman" w:hAnsi="Times New Roman" w:cs="Times New Roman"/>
        </w:rPr>
        <w:t xml:space="preserve"> WT patients, including </w:t>
      </w:r>
      <w:r>
        <w:rPr>
          <w:rFonts w:ascii="Times New Roman" w:hAnsi="Times New Roman" w:cs="Times New Roman"/>
          <w:bCs/>
        </w:rPr>
        <w:t>(A)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</w:rPr>
        <w:t>JQ1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bCs/>
        </w:rPr>
        <w:t>(B)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</w:rPr>
        <w:t>NU7441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bCs/>
        </w:rPr>
        <w:t>(C)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</w:rPr>
        <w:t>SB216763</w:t>
      </w:r>
      <w:r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  <w:bCs/>
        </w:rPr>
        <w:t>(D)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</w:rPr>
        <w:t>ZM447439</w:t>
      </w:r>
      <w:r>
        <w:rPr>
          <w:rFonts w:ascii="Times New Roman" w:hAnsi="Times New Roman" w:cs="Times New Roman"/>
        </w:rPr>
        <w:t>. Values were compared using Wilcoxon rank sum test. *: p-value&lt;=0.05, ****: p-value&lt;=0.0001.</w:t>
      </w:r>
    </w:p>
    <w:sectPr w:rsidR="00F34314" w:rsidRPr="00A244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0E0CA4" w14:textId="77777777" w:rsidR="00A244A9" w:rsidRDefault="00A244A9" w:rsidP="00A244A9">
      <w:r>
        <w:separator/>
      </w:r>
    </w:p>
  </w:endnote>
  <w:endnote w:type="continuationSeparator" w:id="0">
    <w:p w14:paraId="46B8A8D0" w14:textId="77777777" w:rsidR="00A244A9" w:rsidRDefault="00A244A9" w:rsidP="00A24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95B70F" w14:textId="77777777" w:rsidR="00A244A9" w:rsidRDefault="00A244A9" w:rsidP="00A244A9">
      <w:r>
        <w:separator/>
      </w:r>
    </w:p>
  </w:footnote>
  <w:footnote w:type="continuationSeparator" w:id="0">
    <w:p w14:paraId="57167AAA" w14:textId="77777777" w:rsidR="00A244A9" w:rsidRDefault="00A244A9" w:rsidP="00A244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4EE"/>
    <w:rsid w:val="00A244A9"/>
    <w:rsid w:val="00B474EE"/>
    <w:rsid w:val="00F34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5E0FB9"/>
  <w15:chartTrackingRefBased/>
  <w15:docId w15:val="{CC5864FF-CF4B-433F-9627-BA48930AF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74E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44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44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44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44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924</Words>
  <Characters>5272</Characters>
  <Application>Microsoft Office Word</Application>
  <DocSecurity>0</DocSecurity>
  <Lines>43</Lines>
  <Paragraphs>12</Paragraphs>
  <ScaleCrop>false</ScaleCrop>
  <Company/>
  <LinksUpToDate>false</LinksUpToDate>
  <CharactersWithSpaces>6184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t075098</dc:creator>
  <cp:keywords/>
  <dc:description/>
  <cp:lastModifiedBy>t075098</cp:lastModifiedBy>
  <cp:revision>2</cp:revision>
  <dcterms:created xsi:type="dcterms:W3CDTF">2022-03-17T00:13:00Z</dcterms:created>
  <dcterms:modified xsi:type="dcterms:W3CDTF">2022-03-17T03:33:00Z</dcterms:modified>
</cp:coreProperties>
</file>