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7F6D" w:rsidRPr="00D614CD" w:rsidRDefault="00E97F6D" w:rsidP="00E97F6D">
      <w:pPr>
        <w:pageBreakBefore/>
        <w:rPr>
          <w:rFonts w:ascii="Arial" w:hAnsi="Arial" w:cs="Arial"/>
          <w:b/>
          <w:sz w:val="24"/>
          <w:szCs w:val="24"/>
        </w:rPr>
      </w:pPr>
      <w:bookmarkStart w:id="0" w:name="_Hlk92014211"/>
      <w:r>
        <w:rPr>
          <w:rFonts w:ascii="Arial" w:hAnsi="Arial" w:cs="Arial"/>
          <w:b/>
          <w:sz w:val="24"/>
          <w:szCs w:val="24"/>
        </w:rPr>
        <w:t>Supplemental File F</w:t>
      </w:r>
      <w:r w:rsidRPr="00D614CD">
        <w:rPr>
          <w:rFonts w:ascii="Arial" w:hAnsi="Arial" w:cs="Arial"/>
          <w:b/>
          <w:sz w:val="24"/>
          <w:szCs w:val="24"/>
        </w:rPr>
        <w:t xml:space="preserve">: </w:t>
      </w:r>
      <w:r w:rsidRPr="00DD4093">
        <w:rPr>
          <w:rFonts w:ascii="Arial" w:hAnsi="Arial" w:cs="Arial"/>
          <w:sz w:val="24"/>
          <w:szCs w:val="24"/>
        </w:rPr>
        <w:t>Overview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DD4093">
        <w:rPr>
          <w:rFonts w:ascii="Arial" w:hAnsi="Arial" w:cs="Arial"/>
          <w:sz w:val="24"/>
          <w:szCs w:val="24"/>
        </w:rPr>
        <w:t>and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</w:t>
      </w:r>
      <w:r w:rsidRPr="00273B5A">
        <w:rPr>
          <w:rFonts w:ascii="Arial" w:hAnsi="Arial" w:cs="Arial"/>
          <w:sz w:val="24"/>
          <w:szCs w:val="24"/>
        </w:rPr>
        <w:t>ummary of hyperplastic nephrogenic rests’ clinical</w:t>
      </w:r>
      <w:r>
        <w:rPr>
          <w:rFonts w:ascii="Arial" w:hAnsi="Arial" w:cs="Arial"/>
          <w:sz w:val="24"/>
          <w:szCs w:val="24"/>
        </w:rPr>
        <w:t xml:space="preserve"> characteristics, diagnostic features and treatment approach considerations based on published and our data.  </w:t>
      </w:r>
      <w:r w:rsidRPr="00273B5A">
        <w:rPr>
          <w:rFonts w:ascii="Arial" w:hAnsi="Arial" w:cs="Arial"/>
          <w:sz w:val="24"/>
          <w:szCs w:val="24"/>
        </w:rPr>
        <w:t xml:space="preserve">  </w:t>
      </w:r>
      <w:bookmarkStart w:id="1" w:name="_GoBack"/>
      <w:bookmarkEnd w:id="1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133"/>
        <w:gridCol w:w="2524"/>
        <w:gridCol w:w="2093"/>
        <w:gridCol w:w="2312"/>
      </w:tblGrid>
      <w:tr w:rsidR="00E97F6D" w:rsidRPr="008A2D00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Hyperplastic nephrogenic rest’s Presentation:</w:t>
            </w:r>
          </w:p>
        </w:tc>
        <w:tc>
          <w:tcPr>
            <w:tcW w:w="2643" w:type="dxa"/>
            <w:shd w:val="clear" w:color="auto" w:fill="D9D9D9" w:themeFill="background1" w:themeFillShade="D9"/>
          </w:tcPr>
          <w:p w:rsidR="00E97F6D" w:rsidRPr="008C1FEF" w:rsidRDefault="00E97F6D" w:rsidP="00253D6B">
            <w:pPr>
              <w:pageBreakBefore/>
              <w:rPr>
                <w:rFonts w:ascii="Arial" w:hAnsi="Arial" w:cs="Arial"/>
                <w:b/>
                <w:sz w:val="24"/>
                <w:szCs w:val="24"/>
                <w:lang w:val="de-DE"/>
              </w:rPr>
            </w:pPr>
            <w:r w:rsidRPr="008C1FEF">
              <w:rPr>
                <w:rFonts w:ascii="Arial" w:hAnsi="Arial" w:cs="Arial"/>
                <w:b/>
                <w:sz w:val="24"/>
                <w:szCs w:val="24"/>
                <w:lang w:val="de-DE"/>
              </w:rPr>
              <w:t xml:space="preserve">Single &amp; </w:t>
            </w:r>
            <w:proofErr w:type="spellStart"/>
            <w:r w:rsidRPr="008C1FEF">
              <w:rPr>
                <w:rFonts w:ascii="Arial" w:hAnsi="Arial" w:cs="Arial"/>
                <w:b/>
                <w:sz w:val="24"/>
                <w:szCs w:val="24"/>
                <w:lang w:val="de-DE"/>
              </w:rPr>
              <w:t>Oligofocal</w:t>
            </w:r>
            <w:proofErr w:type="spellEnd"/>
            <w:r w:rsidRPr="008C1FEF">
              <w:rPr>
                <w:rFonts w:ascii="Arial" w:hAnsi="Arial" w:cs="Arial"/>
                <w:b/>
                <w:sz w:val="24"/>
                <w:szCs w:val="24"/>
                <w:lang w:val="de-DE"/>
              </w:rPr>
              <w:t xml:space="preserve"> (&lt;4 Lesions) </w:t>
            </w:r>
          </w:p>
          <w:p w:rsidR="00E97F6D" w:rsidRPr="008C1FEF" w:rsidRDefault="00E97F6D" w:rsidP="00253D6B">
            <w:pPr>
              <w:pageBreakBefore/>
              <w:rPr>
                <w:rFonts w:ascii="Arial" w:hAnsi="Arial" w:cs="Arial"/>
                <w:i/>
                <w:sz w:val="24"/>
                <w:szCs w:val="24"/>
                <w:lang w:val="de-DE"/>
              </w:rPr>
            </w:pPr>
          </w:p>
        </w:tc>
        <w:tc>
          <w:tcPr>
            <w:tcW w:w="2205" w:type="dxa"/>
            <w:shd w:val="clear" w:color="auto" w:fill="D9D9D9" w:themeFill="background1" w:themeFillShade="D9"/>
          </w:tcPr>
          <w:p w:rsidR="00E97F6D" w:rsidRPr="008C1FEF" w:rsidRDefault="00E97F6D" w:rsidP="00253D6B">
            <w:pPr>
              <w:pageBreakBefore/>
              <w:rPr>
                <w:rFonts w:ascii="Arial" w:hAnsi="Arial" w:cs="Arial"/>
                <w:b/>
                <w:sz w:val="24"/>
                <w:szCs w:val="24"/>
                <w:lang w:val="de-DE"/>
              </w:rPr>
            </w:pPr>
            <w:proofErr w:type="spellStart"/>
            <w:r w:rsidRPr="008C1FEF">
              <w:rPr>
                <w:rFonts w:ascii="Arial" w:hAnsi="Arial" w:cs="Arial"/>
                <w:b/>
                <w:sz w:val="24"/>
                <w:szCs w:val="24"/>
                <w:lang w:val="de-DE"/>
              </w:rPr>
              <w:t>Multifocal</w:t>
            </w:r>
            <w:proofErr w:type="spellEnd"/>
            <w:r w:rsidRPr="008C1FEF">
              <w:rPr>
                <w:rFonts w:ascii="Arial" w:hAnsi="Arial" w:cs="Arial"/>
                <w:b/>
                <w:sz w:val="24"/>
                <w:szCs w:val="24"/>
                <w:lang w:val="de-DE"/>
              </w:rPr>
              <w:t xml:space="preserve">  </w:t>
            </w:r>
          </w:p>
          <w:p w:rsidR="00E97F6D" w:rsidRPr="008C1FEF" w:rsidRDefault="00E97F6D" w:rsidP="00253D6B">
            <w:pPr>
              <w:pageBreakBefore/>
              <w:rPr>
                <w:rFonts w:ascii="Arial" w:hAnsi="Arial" w:cs="Arial"/>
                <w:i/>
                <w:sz w:val="24"/>
                <w:szCs w:val="24"/>
                <w:lang w:val="de-DE"/>
              </w:rPr>
            </w:pPr>
          </w:p>
        </w:tc>
        <w:tc>
          <w:tcPr>
            <w:tcW w:w="2350" w:type="dxa"/>
            <w:shd w:val="clear" w:color="auto" w:fill="D9D9D9" w:themeFill="background1" w:themeFillShade="D9"/>
          </w:tcPr>
          <w:p w:rsidR="00E97F6D" w:rsidRPr="008C1FEF" w:rsidRDefault="00E97F6D" w:rsidP="00253D6B">
            <w:pPr>
              <w:pageBreakBefore/>
              <w:rPr>
                <w:rFonts w:ascii="Arial" w:hAnsi="Arial" w:cs="Arial"/>
                <w:b/>
                <w:sz w:val="24"/>
                <w:szCs w:val="24"/>
                <w:lang w:val="de-DE"/>
              </w:rPr>
            </w:pPr>
            <w:r w:rsidRPr="008C1FEF">
              <w:rPr>
                <w:rFonts w:ascii="Arial" w:hAnsi="Arial" w:cs="Arial"/>
                <w:b/>
                <w:sz w:val="24"/>
                <w:szCs w:val="24"/>
                <w:lang w:val="de-DE"/>
              </w:rPr>
              <w:t xml:space="preserve">Diffuse </w:t>
            </w:r>
          </w:p>
          <w:p w:rsidR="00E97F6D" w:rsidRPr="008C1FEF" w:rsidRDefault="00E97F6D" w:rsidP="00253D6B">
            <w:pPr>
              <w:pageBreakBefore/>
              <w:rPr>
                <w:rFonts w:ascii="Arial" w:hAnsi="Arial" w:cs="Arial"/>
                <w:i/>
                <w:sz w:val="24"/>
                <w:szCs w:val="24"/>
                <w:lang w:val="de-DE"/>
              </w:rPr>
            </w:pP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 xml:space="preserve">Proportion 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47% n= 1.7/year* 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12% n= 0.4/year 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41% n= 1.5/year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 xml:space="preserve">Imaging 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i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D614CD">
              <w:rPr>
                <w:rFonts w:ascii="Arial" w:hAnsi="Arial" w:cs="Arial"/>
                <w:i/>
                <w:sz w:val="24"/>
                <w:szCs w:val="24"/>
              </w:rPr>
              <w:t>Perilobar</w:t>
            </w:r>
            <w:r w:rsidRPr="00D614CD">
              <w:rPr>
                <w:rFonts w:ascii="Arial" w:hAnsi="Arial" w:cs="Arial"/>
                <w:sz w:val="24"/>
                <w:szCs w:val="24"/>
              </w:rPr>
              <w:t xml:space="preserve">: lentiform homogeneous, sharp, </w:t>
            </w:r>
            <w:r>
              <w:rPr>
                <w:rFonts w:ascii="Arial" w:hAnsi="Arial" w:cs="Arial"/>
                <w:sz w:val="24"/>
                <w:szCs w:val="24"/>
              </w:rPr>
              <w:t>sometimes spherical</w:t>
            </w:r>
            <w:r w:rsidRPr="00D614CD">
              <w:rPr>
                <w:rFonts w:ascii="Arial" w:hAnsi="Arial" w:cs="Arial"/>
                <w:sz w:val="24"/>
                <w:szCs w:val="24"/>
              </w:rPr>
              <w:t>, surrounding the lobe</w:t>
            </w:r>
          </w:p>
          <w:p w:rsidR="00E97F6D" w:rsidRPr="00D614CD" w:rsidRDefault="00E97F6D" w:rsidP="00253D6B">
            <w:pPr>
              <w:pStyle w:val="Listenabsatz"/>
              <w:pageBreakBefore/>
              <w:ind w:left="0"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- </w:t>
            </w:r>
            <w:proofErr w:type="spellStart"/>
            <w:r w:rsidRPr="00D614CD">
              <w:rPr>
                <w:rFonts w:ascii="Arial" w:hAnsi="Arial" w:cs="Arial"/>
                <w:i/>
                <w:sz w:val="24"/>
                <w:szCs w:val="24"/>
              </w:rPr>
              <w:t>Intralobar</w:t>
            </w:r>
            <w:proofErr w:type="spellEnd"/>
            <w:r w:rsidRPr="00D614CD">
              <w:rPr>
                <w:rFonts w:ascii="Arial" w:hAnsi="Arial" w:cs="Arial"/>
                <w:sz w:val="24"/>
                <w:szCs w:val="24"/>
              </w:rPr>
              <w:t>: frequently small cystic T2 hyperintense, hyperechoic unsharp, more frequently hilum involvement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As single / </w:t>
            </w:r>
            <w:proofErr w:type="spellStart"/>
            <w:r w:rsidRPr="00D614CD">
              <w:rPr>
                <w:rFonts w:ascii="Arial" w:hAnsi="Arial" w:cs="Arial"/>
                <w:sz w:val="24"/>
                <w:szCs w:val="24"/>
              </w:rPr>
              <w:t>oligofocal</w:t>
            </w:r>
            <w:proofErr w:type="spellEnd"/>
            <w:r w:rsidRPr="00D614CD">
              <w:rPr>
                <w:rFonts w:ascii="Arial" w:hAnsi="Arial" w:cs="Arial"/>
                <w:sz w:val="24"/>
                <w:szCs w:val="24"/>
              </w:rPr>
              <w:t xml:space="preserve"> but more frequently </w:t>
            </w:r>
            <w:r>
              <w:rPr>
                <w:rFonts w:ascii="Arial" w:hAnsi="Arial" w:cs="Arial"/>
                <w:sz w:val="24"/>
                <w:szCs w:val="24"/>
              </w:rPr>
              <w:t>also including spherical tumors</w:t>
            </w:r>
            <w:r w:rsidRPr="00D614C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- sector to complete kidney surrounding “gigantic” kidneys</w:t>
            </w:r>
          </w:p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- confluent multiple lesions </w:t>
            </w:r>
          </w:p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-almost uniquely perilobar or combinations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Bilateral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Predominantly unilateral  </w:t>
            </w:r>
          </w:p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5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Frequently bilateral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Usually bilateral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Gender ratio Male to Female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D614CD">
              <w:rPr>
                <w:rFonts w:ascii="Arial" w:hAnsi="Arial" w:cs="Arial"/>
                <w:sz w:val="24"/>
                <w:szCs w:val="24"/>
              </w:rPr>
              <w:t>1.2 :</w:t>
            </w:r>
            <w:proofErr w:type="gramEnd"/>
            <w:r w:rsidRPr="00D614CD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D614CD">
              <w:rPr>
                <w:rFonts w:ascii="Arial" w:hAnsi="Arial" w:cs="Arial"/>
                <w:sz w:val="24"/>
                <w:szCs w:val="24"/>
              </w:rPr>
              <w:t>1.3 :</w:t>
            </w:r>
            <w:proofErr w:type="gramEnd"/>
            <w:r w:rsidRPr="00D614CD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Female predominance (1:3.4) 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Distinction from WT on imaging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Possible if typical aspect and not tumorous (~&lt;1.7cm diameter)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Typical but in case of tumorous NR difficult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pageBreakBefore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Typical appearance – usually possible</w:t>
            </w:r>
          </w:p>
        </w:tc>
      </w:tr>
      <w:tr w:rsidR="00E97F6D" w:rsidRPr="00D614CD" w:rsidTr="00253D6B">
        <w:tc>
          <w:tcPr>
            <w:tcW w:w="2198" w:type="dxa"/>
            <w:vMerge w:val="restart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 xml:space="preserve">Genetics 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i/>
                <w:sz w:val="24"/>
                <w:szCs w:val="24"/>
              </w:rPr>
              <w:t xml:space="preserve">WT1 </w:t>
            </w:r>
            <w:r w:rsidRPr="00D614CD">
              <w:rPr>
                <w:rFonts w:ascii="Arial" w:hAnsi="Arial" w:cs="Arial"/>
                <w:sz w:val="24"/>
                <w:szCs w:val="24"/>
              </w:rPr>
              <w:t>(also germline)</w:t>
            </w:r>
          </w:p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and to lesser extent </w:t>
            </w:r>
            <w:r w:rsidRPr="00D614CD">
              <w:rPr>
                <w:rFonts w:ascii="Arial" w:hAnsi="Arial" w:cs="Arial"/>
                <w:i/>
                <w:sz w:val="24"/>
                <w:szCs w:val="24"/>
              </w:rPr>
              <w:t>WT2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i/>
                <w:sz w:val="24"/>
                <w:szCs w:val="24"/>
              </w:rPr>
              <w:t>WT1</w:t>
            </w:r>
            <w:r w:rsidRPr="00D614CD">
              <w:rPr>
                <w:rFonts w:ascii="Arial" w:hAnsi="Arial" w:cs="Arial"/>
                <w:sz w:val="24"/>
                <w:szCs w:val="24"/>
              </w:rPr>
              <w:t xml:space="preserve"> and </w:t>
            </w:r>
            <w:r w:rsidRPr="00D614CD">
              <w:rPr>
                <w:rFonts w:ascii="Arial" w:hAnsi="Arial" w:cs="Arial"/>
                <w:i/>
                <w:sz w:val="24"/>
                <w:szCs w:val="24"/>
              </w:rPr>
              <w:t>2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i/>
                <w:sz w:val="24"/>
                <w:szCs w:val="24"/>
              </w:rPr>
              <w:t>WT2</w:t>
            </w:r>
            <w:r w:rsidRPr="00D614CD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</w:tr>
      <w:tr w:rsidR="00E97F6D" w:rsidRPr="00D614CD" w:rsidTr="00253D6B">
        <w:tc>
          <w:tcPr>
            <w:tcW w:w="2198" w:type="dxa"/>
            <w:vMerge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98" w:type="dxa"/>
            <w:gridSpan w:val="3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In case of bilateral or hyperplastic ILNR (</w:t>
            </w:r>
            <w:r w:rsidRPr="00D614CD">
              <w:rPr>
                <w:rFonts w:ascii="Arial" w:hAnsi="Arial" w:cs="Arial"/>
                <w:i/>
                <w:sz w:val="24"/>
                <w:szCs w:val="24"/>
              </w:rPr>
              <w:t>WT1</w:t>
            </w:r>
            <w:r w:rsidRPr="00D614CD">
              <w:rPr>
                <w:rFonts w:ascii="Arial" w:hAnsi="Arial" w:cs="Arial"/>
                <w:sz w:val="24"/>
                <w:szCs w:val="24"/>
              </w:rPr>
              <w:t xml:space="preserve">) consider genetic germline work-up 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Surgery – approach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Nephron sparing approach usually possible 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Delayed surgery, Sometimes possible after response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Nephron sparing surgery often not achieving CR 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Surgery – effect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CR usually achievable and maintained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Rarely curative  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Rarely feasible due to a kidney surrounding layer 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Biopsy</w:t>
            </w:r>
          </w:p>
        </w:tc>
        <w:tc>
          <w:tcPr>
            <w:tcW w:w="7198" w:type="dxa"/>
            <w:gridSpan w:val="3"/>
          </w:tcPr>
          <w:p w:rsidR="00E97F6D" w:rsidRPr="00D614CD" w:rsidRDefault="00E97F6D" w:rsidP="00253D6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Not indicated – Exclusion of WT not reliably possible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Treatment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614CD">
              <w:rPr>
                <w:rFonts w:ascii="Arial" w:hAnsi="Arial" w:cs="Arial"/>
                <w:sz w:val="24"/>
                <w:szCs w:val="24"/>
              </w:rPr>
              <w:t>CTx</w:t>
            </w:r>
            <w:proofErr w:type="spellEnd"/>
            <w:r w:rsidRPr="00D614CD">
              <w:rPr>
                <w:rFonts w:ascii="Arial" w:hAnsi="Arial" w:cs="Arial"/>
                <w:sz w:val="24"/>
                <w:szCs w:val="24"/>
              </w:rPr>
              <w:t xml:space="preserve"> followed by NSS – upfront surgery also possible 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614CD">
              <w:rPr>
                <w:rFonts w:ascii="Arial" w:hAnsi="Arial" w:cs="Arial"/>
                <w:sz w:val="24"/>
                <w:szCs w:val="24"/>
              </w:rPr>
              <w:t>CTx</w:t>
            </w:r>
            <w:proofErr w:type="spellEnd"/>
            <w:r w:rsidRPr="00D614CD">
              <w:rPr>
                <w:rFonts w:ascii="Arial" w:hAnsi="Arial" w:cs="Arial"/>
                <w:sz w:val="24"/>
                <w:szCs w:val="24"/>
              </w:rPr>
              <w:t xml:space="preserve"> followed by NSS if possible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614CD">
              <w:rPr>
                <w:rFonts w:ascii="Arial" w:hAnsi="Arial" w:cs="Arial"/>
                <w:sz w:val="24"/>
                <w:szCs w:val="24"/>
              </w:rPr>
              <w:t>CTx</w:t>
            </w:r>
            <w:proofErr w:type="spellEnd"/>
            <w:r w:rsidRPr="00D614CD">
              <w:rPr>
                <w:rFonts w:ascii="Arial" w:hAnsi="Arial" w:cs="Arial"/>
                <w:sz w:val="24"/>
                <w:szCs w:val="24"/>
              </w:rPr>
              <w:t xml:space="preserve"> followed by surgery in case of focal progressions/SD</w:t>
            </w:r>
            <w:r w:rsidRPr="00D614CD">
              <w:rPr>
                <w:rFonts w:ascii="Arial" w:hAnsi="Arial" w:cs="Arial"/>
                <w:sz w:val="24"/>
                <w:szCs w:val="24"/>
                <w:vertAlign w:val="superscript"/>
              </w:rPr>
              <w:t>#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Maintenance Treatment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watch &amp; wait can be considered if CR, </w:t>
            </w:r>
            <w:r w:rsidRPr="00D614CD">
              <w:rPr>
                <w:rFonts w:ascii="Arial" w:hAnsi="Arial" w:cs="Arial"/>
                <w:sz w:val="24"/>
                <w:szCs w:val="24"/>
              </w:rPr>
              <w:lastRenderedPageBreak/>
              <w:t xml:space="preserve">maintenance in bilateral cases 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lastRenderedPageBreak/>
              <w:t xml:space="preserve">individual decision 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recommended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CR at the end of 1</w:t>
            </w:r>
            <w:r w:rsidRPr="00D614CD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st</w:t>
            </w:r>
            <w:r w:rsidRPr="00D614CD">
              <w:rPr>
                <w:rFonts w:ascii="Arial" w:hAnsi="Arial" w:cs="Arial"/>
                <w:b/>
                <w:sz w:val="24"/>
                <w:szCs w:val="24"/>
              </w:rPr>
              <w:t xml:space="preserve"> line 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94 %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56 % 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21%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Outcome</w:t>
            </w:r>
          </w:p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43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EFS and OS</w:t>
            </w:r>
            <w:r w:rsidRPr="00D614CD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$</w:t>
            </w:r>
            <w:r w:rsidRPr="00D614CD">
              <w:rPr>
                <w:rFonts w:ascii="Arial" w:hAnsi="Arial" w:cs="Arial"/>
                <w:sz w:val="24"/>
                <w:szCs w:val="24"/>
              </w:rPr>
              <w:t xml:space="preserve"> good (&gt;85%)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EFS fair (~50%), OS</w:t>
            </w:r>
            <w:r w:rsidRPr="00D614CD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$</w:t>
            </w:r>
            <w:r w:rsidRPr="00D614CD">
              <w:rPr>
                <w:rFonts w:ascii="Arial" w:hAnsi="Arial" w:cs="Arial"/>
                <w:sz w:val="24"/>
                <w:szCs w:val="24"/>
              </w:rPr>
              <w:t xml:space="preserve"> good (&gt;85%)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EFS poor (&lt;50%)</w:t>
            </w:r>
          </w:p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OS</w:t>
            </w:r>
            <w:r w:rsidRPr="00D614CD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$</w:t>
            </w:r>
            <w:r w:rsidRPr="00D614CD">
              <w:rPr>
                <w:rFonts w:ascii="Arial" w:hAnsi="Arial" w:cs="Arial"/>
                <w:sz w:val="24"/>
                <w:szCs w:val="24"/>
              </w:rPr>
              <w:t xml:space="preserve"> good (&gt;85%)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 xml:space="preserve">Risk of WT Development </w:t>
            </w:r>
          </w:p>
        </w:tc>
        <w:tc>
          <w:tcPr>
            <w:tcW w:w="2643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9 % </w:t>
            </w:r>
          </w:p>
        </w:tc>
        <w:tc>
          <w:tcPr>
            <w:tcW w:w="2205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33%</w:t>
            </w:r>
          </w:p>
        </w:tc>
        <w:tc>
          <w:tcPr>
            <w:tcW w:w="2350" w:type="dxa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42%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WT Histology</w:t>
            </w:r>
          </w:p>
        </w:tc>
        <w:tc>
          <w:tcPr>
            <w:tcW w:w="7198" w:type="dxa"/>
            <w:gridSpan w:val="3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Significantly increased risk of high-risk histology blastemal after chemotherapy and diffuse anaplastic tumors. </w:t>
            </w:r>
          </w:p>
        </w:tc>
      </w:tr>
      <w:tr w:rsidR="00E97F6D" w:rsidRPr="00D614CD" w:rsidTr="00253D6B">
        <w:tc>
          <w:tcPr>
            <w:tcW w:w="2198" w:type="dxa"/>
            <w:shd w:val="clear" w:color="auto" w:fill="F2F2F2" w:themeFill="background1" w:themeFillShade="F2"/>
          </w:tcPr>
          <w:p w:rsidR="00E97F6D" w:rsidRPr="00D614CD" w:rsidRDefault="00E97F6D" w:rsidP="00253D6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14CD">
              <w:rPr>
                <w:rFonts w:ascii="Arial" w:hAnsi="Arial" w:cs="Arial"/>
                <w:b/>
                <w:sz w:val="24"/>
                <w:szCs w:val="24"/>
              </w:rPr>
              <w:t>Follow Up</w:t>
            </w:r>
          </w:p>
        </w:tc>
        <w:tc>
          <w:tcPr>
            <w:tcW w:w="7198" w:type="dxa"/>
            <w:gridSpan w:val="3"/>
          </w:tcPr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Late progression possible (&gt;10y) </w:t>
            </w:r>
          </w:p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 xml:space="preserve">– Prolonged at least 3 monthly Sonography </w:t>
            </w:r>
          </w:p>
          <w:p w:rsidR="00E97F6D" w:rsidRPr="00D614CD" w:rsidRDefault="00E97F6D" w:rsidP="00253D6B">
            <w:pPr>
              <w:rPr>
                <w:rFonts w:ascii="Arial" w:hAnsi="Arial" w:cs="Arial"/>
                <w:sz w:val="24"/>
                <w:szCs w:val="24"/>
              </w:rPr>
            </w:pPr>
            <w:r w:rsidRPr="00D614CD">
              <w:rPr>
                <w:rFonts w:ascii="Arial" w:hAnsi="Arial" w:cs="Arial"/>
                <w:sz w:val="24"/>
                <w:szCs w:val="24"/>
              </w:rPr>
              <w:t>– In case of SD or PD consider early surgery and lung staging</w:t>
            </w:r>
          </w:p>
        </w:tc>
      </w:tr>
    </w:tbl>
    <w:p w:rsidR="00E97F6D" w:rsidRPr="00321582" w:rsidRDefault="00E97F6D" w:rsidP="00E97F6D">
      <w:pPr>
        <w:rPr>
          <w:rFonts w:ascii="Arial" w:hAnsi="Arial" w:cs="Arial"/>
          <w:szCs w:val="24"/>
        </w:rPr>
      </w:pPr>
      <w:r w:rsidRPr="00321582">
        <w:rPr>
          <w:rFonts w:ascii="Arial" w:hAnsi="Arial" w:cs="Arial"/>
          <w:szCs w:val="24"/>
        </w:rPr>
        <w:t xml:space="preserve">*GPOH area ~100 Mio population. $ CAVEAT: FU of 9 years might not be sufficient; # Consider lung screening if SD is only followed; CR= Complete Remission (on imaging), WT= Wilms Tumor/Nephroblastoma, ILNR= </w:t>
      </w:r>
      <w:proofErr w:type="spellStart"/>
      <w:r w:rsidRPr="00321582">
        <w:rPr>
          <w:rFonts w:ascii="Arial" w:hAnsi="Arial" w:cs="Arial"/>
          <w:szCs w:val="24"/>
        </w:rPr>
        <w:t>Itralobar</w:t>
      </w:r>
      <w:proofErr w:type="spellEnd"/>
      <w:r w:rsidRPr="00321582">
        <w:rPr>
          <w:rFonts w:ascii="Arial" w:hAnsi="Arial" w:cs="Arial"/>
          <w:szCs w:val="24"/>
        </w:rPr>
        <w:t xml:space="preserve"> nephrogenic rest </w:t>
      </w:r>
      <w:proofErr w:type="spellStart"/>
      <w:r w:rsidRPr="00321582">
        <w:rPr>
          <w:rFonts w:ascii="Arial" w:hAnsi="Arial" w:cs="Arial"/>
          <w:szCs w:val="24"/>
        </w:rPr>
        <w:t>CTx</w:t>
      </w:r>
      <w:proofErr w:type="spellEnd"/>
      <w:r w:rsidRPr="00321582">
        <w:rPr>
          <w:rFonts w:ascii="Arial" w:hAnsi="Arial" w:cs="Arial"/>
          <w:szCs w:val="24"/>
        </w:rPr>
        <w:t xml:space="preserve">=Chemotherapy; </w:t>
      </w:r>
    </w:p>
    <w:bookmarkEnd w:id="0"/>
    <w:p w:rsidR="00A23196" w:rsidRDefault="00E97F6D"/>
    <w:sectPr w:rsidR="00A231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F6D"/>
    <w:rsid w:val="00A91F5F"/>
    <w:rsid w:val="00B65564"/>
    <w:rsid w:val="00E9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BA4D3"/>
  <w15:chartTrackingRefBased/>
  <w15:docId w15:val="{D02EFB16-A832-4C3E-8133-86B04974C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97F6D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97F6D"/>
    <w:pPr>
      <w:ind w:left="720"/>
      <w:contextualSpacing/>
    </w:pPr>
  </w:style>
  <w:style w:type="table" w:styleId="Tabellenraster">
    <w:name w:val="Table Grid"/>
    <w:basedOn w:val="NormaleTabelle"/>
    <w:uiPriority w:val="39"/>
    <w:rsid w:val="00E97F6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Rhoikos Furtwängler</dc:creator>
  <cp:keywords/>
  <dc:description/>
  <cp:lastModifiedBy>Rhoikos Furtwängler</cp:lastModifiedBy>
  <cp:revision>1</cp:revision>
  <dcterms:created xsi:type="dcterms:W3CDTF">2022-04-10T11:17:00Z</dcterms:created>
  <dcterms:modified xsi:type="dcterms:W3CDTF">2022-04-10T11:31:00Z</dcterms:modified>
</cp:coreProperties>
</file>