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84DDB" w14:textId="72B1D8FF" w:rsidR="007D2BCF" w:rsidRPr="00E15729" w:rsidRDefault="00EF42F9">
      <w:pPr>
        <w:rPr>
          <w:rFonts w:ascii="Times New Roman" w:hAnsi="Times New Roman" w:cs="Times New Roman"/>
          <w:b/>
          <w:bCs/>
          <w:sz w:val="24"/>
          <w:szCs w:val="24"/>
        </w:rPr>
      </w:pPr>
      <w:proofErr w:type="spellStart"/>
      <w:r w:rsidRPr="00E15729">
        <w:rPr>
          <w:rFonts w:ascii="Times New Roman" w:hAnsi="Times New Roman" w:cs="Times New Roman"/>
          <w:b/>
          <w:bCs/>
          <w:sz w:val="24"/>
          <w:szCs w:val="24"/>
        </w:rPr>
        <w:t>FastAAI</w:t>
      </w:r>
      <w:proofErr w:type="spellEnd"/>
      <w:r w:rsidRPr="00E15729">
        <w:rPr>
          <w:rFonts w:ascii="Times New Roman" w:hAnsi="Times New Roman" w:cs="Times New Roman"/>
          <w:b/>
          <w:bCs/>
          <w:sz w:val="24"/>
          <w:szCs w:val="24"/>
        </w:rPr>
        <w:t xml:space="preserve"> Supplemental Materials</w:t>
      </w:r>
    </w:p>
    <w:p w14:paraId="2BDE9B5C" w14:textId="15FAE17B" w:rsidR="00C3684A" w:rsidRPr="00E15729" w:rsidRDefault="00C3684A">
      <w:pPr>
        <w:rPr>
          <w:rFonts w:ascii="Times New Roman" w:hAnsi="Times New Roman" w:cs="Times New Roman"/>
          <w:b/>
          <w:bCs/>
          <w:sz w:val="24"/>
          <w:szCs w:val="24"/>
        </w:rPr>
      </w:pPr>
    </w:p>
    <w:p w14:paraId="7EDFA0A1" w14:textId="77777777" w:rsidR="008307C5" w:rsidRPr="00E15729" w:rsidRDefault="008307C5">
      <w:pPr>
        <w:rPr>
          <w:rFonts w:ascii="Times New Roman" w:hAnsi="Times New Roman" w:cs="Times New Roman"/>
          <w:b/>
          <w:bCs/>
          <w:sz w:val="24"/>
          <w:szCs w:val="24"/>
        </w:rPr>
      </w:pPr>
    </w:p>
    <w:p w14:paraId="44EF069F" w14:textId="43CDEBC9" w:rsidR="00EF42F9" w:rsidRPr="00E15729" w:rsidRDefault="00EF42F9">
      <w:pPr>
        <w:rPr>
          <w:rFonts w:ascii="Times New Roman" w:hAnsi="Times New Roman" w:cs="Times New Roman"/>
          <w:b/>
          <w:bCs/>
          <w:sz w:val="24"/>
          <w:szCs w:val="24"/>
        </w:rPr>
      </w:pPr>
      <w:r w:rsidRPr="00E15729">
        <w:rPr>
          <w:rFonts w:ascii="Times New Roman" w:hAnsi="Times New Roman" w:cs="Times New Roman"/>
          <w:b/>
          <w:bCs/>
          <w:sz w:val="24"/>
          <w:szCs w:val="24"/>
        </w:rPr>
        <w:t>Supplemental Results</w:t>
      </w:r>
    </w:p>
    <w:p w14:paraId="237DC76B" w14:textId="77777777" w:rsidR="00F21CF7" w:rsidRPr="00E15729" w:rsidRDefault="00F21CF7">
      <w:pPr>
        <w:rPr>
          <w:rFonts w:ascii="Times New Roman" w:hAnsi="Times New Roman" w:cs="Times New Roman"/>
          <w:b/>
          <w:bCs/>
          <w:sz w:val="24"/>
          <w:szCs w:val="24"/>
        </w:rPr>
      </w:pPr>
    </w:p>
    <w:p w14:paraId="45BF4CF5" w14:textId="56F835D5" w:rsidR="00F21CF7" w:rsidRPr="00E15729" w:rsidRDefault="00F21CF7">
      <w:pPr>
        <w:rPr>
          <w:rFonts w:ascii="Times New Roman" w:hAnsi="Times New Roman" w:cs="Times New Roman"/>
          <w:b/>
          <w:bCs/>
          <w:sz w:val="24"/>
          <w:szCs w:val="24"/>
        </w:rPr>
      </w:pPr>
    </w:p>
    <w:p w14:paraId="0B361CA0" w14:textId="5B661260" w:rsidR="00F21CF7" w:rsidRPr="00E15729" w:rsidRDefault="00F21CF7">
      <w:pPr>
        <w:rPr>
          <w:rFonts w:ascii="Times New Roman" w:hAnsi="Times New Roman" w:cs="Times New Roman"/>
          <w:b/>
          <w:bCs/>
          <w:sz w:val="24"/>
          <w:szCs w:val="24"/>
        </w:rPr>
      </w:pPr>
      <w:r w:rsidRPr="00E15729">
        <w:rPr>
          <w:rFonts w:ascii="Times New Roman" w:hAnsi="Times New Roman" w:cs="Times New Roman"/>
          <w:b/>
          <w:bCs/>
          <w:sz w:val="24"/>
          <w:szCs w:val="24"/>
        </w:rPr>
        <w:t>GTDB-</w:t>
      </w:r>
      <w:proofErr w:type="spellStart"/>
      <w:r w:rsidRPr="00E15729">
        <w:rPr>
          <w:rFonts w:ascii="Times New Roman" w:hAnsi="Times New Roman" w:cs="Times New Roman"/>
          <w:b/>
          <w:bCs/>
          <w:sz w:val="24"/>
          <w:szCs w:val="24"/>
        </w:rPr>
        <w:t>tk</w:t>
      </w:r>
      <w:proofErr w:type="spellEnd"/>
    </w:p>
    <w:p w14:paraId="75DBE5FE" w14:textId="10134633" w:rsidR="00B16E55" w:rsidRPr="00E15729" w:rsidRDefault="00B16E55">
      <w:pPr>
        <w:rPr>
          <w:rFonts w:ascii="Times New Roman" w:hAnsi="Times New Roman" w:cs="Times New Roman"/>
          <w:b/>
          <w:bCs/>
          <w:sz w:val="24"/>
          <w:szCs w:val="24"/>
        </w:rPr>
      </w:pPr>
    </w:p>
    <w:p w14:paraId="2CBB3330" w14:textId="370938FE" w:rsidR="00706851" w:rsidRPr="00E15729" w:rsidRDefault="00B03BD1">
      <w:pPr>
        <w:rPr>
          <w:rFonts w:ascii="Times New Roman" w:hAnsi="Times New Roman" w:cs="Times New Roman"/>
          <w:b/>
          <w:bCs/>
          <w:i/>
          <w:iCs/>
          <w:sz w:val="24"/>
          <w:szCs w:val="24"/>
        </w:rPr>
      </w:pPr>
      <w:r w:rsidRPr="00E15729">
        <w:rPr>
          <w:rFonts w:ascii="Times New Roman" w:hAnsi="Times New Roman" w:cs="Times New Roman"/>
          <w:b/>
          <w:bCs/>
          <w:i/>
          <w:iCs/>
          <w:sz w:val="24"/>
          <w:szCs w:val="24"/>
        </w:rPr>
        <w:t xml:space="preserve">Comparison between </w:t>
      </w:r>
      <w:proofErr w:type="spellStart"/>
      <w:r w:rsidRPr="00E15729">
        <w:rPr>
          <w:rFonts w:ascii="Times New Roman" w:hAnsi="Times New Roman" w:cs="Times New Roman"/>
          <w:b/>
          <w:bCs/>
          <w:i/>
          <w:iCs/>
          <w:sz w:val="24"/>
          <w:szCs w:val="24"/>
        </w:rPr>
        <w:t>FastAAI</w:t>
      </w:r>
      <w:proofErr w:type="spellEnd"/>
      <w:r w:rsidRPr="00E15729">
        <w:rPr>
          <w:rFonts w:ascii="Times New Roman" w:hAnsi="Times New Roman" w:cs="Times New Roman"/>
          <w:b/>
          <w:bCs/>
          <w:i/>
          <w:iCs/>
          <w:sz w:val="24"/>
          <w:szCs w:val="24"/>
        </w:rPr>
        <w:t xml:space="preserve"> and GTDB</w:t>
      </w:r>
      <w:r w:rsidR="004E4D17" w:rsidRPr="00E15729">
        <w:rPr>
          <w:rFonts w:ascii="Times New Roman" w:hAnsi="Times New Roman" w:cs="Times New Roman"/>
          <w:b/>
          <w:bCs/>
          <w:i/>
          <w:iCs/>
          <w:sz w:val="24"/>
          <w:szCs w:val="24"/>
        </w:rPr>
        <w:t>-</w:t>
      </w:r>
      <w:proofErr w:type="spellStart"/>
      <w:r w:rsidRPr="00E15729">
        <w:rPr>
          <w:rFonts w:ascii="Times New Roman" w:hAnsi="Times New Roman" w:cs="Times New Roman"/>
          <w:b/>
          <w:bCs/>
          <w:i/>
          <w:iCs/>
          <w:sz w:val="24"/>
          <w:szCs w:val="24"/>
        </w:rPr>
        <w:t>tk’s</w:t>
      </w:r>
      <w:proofErr w:type="spellEnd"/>
      <w:r w:rsidRPr="00E15729">
        <w:rPr>
          <w:rFonts w:ascii="Times New Roman" w:hAnsi="Times New Roman" w:cs="Times New Roman"/>
          <w:b/>
          <w:bCs/>
          <w:i/>
          <w:iCs/>
          <w:sz w:val="24"/>
          <w:szCs w:val="24"/>
        </w:rPr>
        <w:t xml:space="preserve"> </w:t>
      </w:r>
      <w:r w:rsidR="004D057F" w:rsidRPr="00E15729">
        <w:rPr>
          <w:rFonts w:ascii="Times New Roman" w:hAnsi="Times New Roman" w:cs="Times New Roman"/>
          <w:b/>
          <w:bCs/>
          <w:i/>
          <w:iCs/>
          <w:sz w:val="24"/>
          <w:szCs w:val="24"/>
        </w:rPr>
        <w:t>RED scores</w:t>
      </w:r>
    </w:p>
    <w:p w14:paraId="7FB2DEE9" w14:textId="77777777" w:rsidR="004D057F" w:rsidRPr="00E15729" w:rsidRDefault="004D057F">
      <w:pPr>
        <w:rPr>
          <w:rFonts w:ascii="Times New Roman" w:hAnsi="Times New Roman" w:cs="Times New Roman"/>
          <w:b/>
          <w:bCs/>
          <w:i/>
          <w:iCs/>
          <w:sz w:val="24"/>
          <w:szCs w:val="24"/>
        </w:rPr>
      </w:pPr>
    </w:p>
    <w:p w14:paraId="17837B87" w14:textId="3BD832DB" w:rsidR="00706851" w:rsidRPr="00E15729" w:rsidRDefault="00706851" w:rsidP="00706851">
      <w:pPr>
        <w:spacing w:line="480" w:lineRule="auto"/>
        <w:ind w:firstLine="720"/>
        <w:jc w:val="both"/>
        <w:rPr>
          <w:rFonts w:ascii="Times New Roman" w:hAnsi="Times New Roman" w:cs="Times New Roman"/>
          <w:sz w:val="24"/>
          <w:szCs w:val="24"/>
        </w:rPr>
      </w:pPr>
      <w:r w:rsidRPr="00E15729">
        <w:rPr>
          <w:rFonts w:ascii="Times New Roman" w:hAnsi="Times New Roman" w:cs="Times New Roman"/>
          <w:sz w:val="24"/>
          <w:szCs w:val="24"/>
        </w:rPr>
        <w:t>Recently, the GTDB proposed a method for the taxonomic classification of microbial genomes based on the normalization of taxonomic ranks using phylogenetic tree topology and Relative Evolutionary Divergence (RED) threshold, which results in lower overlaps between taxonomic ranks (except the species rank that is defined by ANI)</w:t>
      </w:r>
      <w:r w:rsidR="003D324B" w:rsidRPr="00E37DD1">
        <w:rPr>
          <w:rFonts w:ascii="Times New Roman" w:hAnsi="Times New Roman" w:cs="Times New Roman"/>
          <w:sz w:val="24"/>
          <w:szCs w:val="24"/>
          <w:vertAlign w:val="superscript"/>
        </w:rPr>
        <w:t>1,</w:t>
      </w:r>
      <w:r w:rsidR="005E5BD4">
        <w:rPr>
          <w:rFonts w:ascii="Times New Roman" w:hAnsi="Times New Roman" w:cs="Times New Roman"/>
          <w:sz w:val="24"/>
          <w:szCs w:val="24"/>
          <w:vertAlign w:val="superscript"/>
        </w:rPr>
        <w:t xml:space="preserve"> </w:t>
      </w:r>
      <w:r w:rsidR="003D324B" w:rsidRPr="00E37DD1">
        <w:rPr>
          <w:rFonts w:ascii="Times New Roman" w:hAnsi="Times New Roman" w:cs="Times New Roman"/>
          <w:sz w:val="24"/>
          <w:szCs w:val="24"/>
          <w:vertAlign w:val="superscript"/>
        </w:rPr>
        <w:t>2</w:t>
      </w:r>
      <w:r w:rsidRPr="00E15729">
        <w:rPr>
          <w:rFonts w:ascii="Times New Roman" w:hAnsi="Times New Roman" w:cs="Times New Roman"/>
          <w:sz w:val="24"/>
          <w:szCs w:val="24"/>
        </w:rPr>
        <w:t xml:space="preserve">. To assess the correspondence between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and GTDB’s RED estimates, we extracted the pairs of genomes with a RED estimated from the latest GTDB release 202 (47,890 pairwise comparisons) and estimated the genome relatedness using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for the same pairs of genomes. We also compared the consistency and overlap between genomes in terms of their lowest shared taxonomic rank and the estimated threshold for the rank using the taxonomy provided by GTDB. The comparison between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and RED values (Figure </w:t>
      </w:r>
      <w:r w:rsidR="00020379" w:rsidRPr="00E15729">
        <w:rPr>
          <w:rFonts w:ascii="Times New Roman" w:hAnsi="Times New Roman" w:cs="Times New Roman"/>
          <w:sz w:val="24"/>
          <w:szCs w:val="24"/>
        </w:rPr>
        <w:t>S3</w:t>
      </w:r>
      <w:r w:rsidRPr="00E15729">
        <w:rPr>
          <w:rFonts w:ascii="Times New Roman" w:hAnsi="Times New Roman" w:cs="Times New Roman"/>
          <w:sz w:val="24"/>
          <w:szCs w:val="24"/>
        </w:rPr>
        <w:t xml:space="preserve">) demonstrated that, as expected based on the RED-based design of GTDB results, the distribution of taxonomic ranks in the phylogeny-based RED estimates is more even compared to that using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While we observed that the distribution of </w:t>
      </w:r>
      <m:oMath>
        <m:acc>
          <m:accPr>
            <m:ctrlPr>
              <w:rPr>
                <w:rFonts w:ascii="Cambria Math" w:hAnsi="Cambria Math" w:cs="Times New Roman"/>
                <w:i/>
                <w:sz w:val="24"/>
                <w:szCs w:val="24"/>
              </w:rPr>
            </m:ctrlPr>
          </m:accPr>
          <m:e>
            <m:r>
              <w:rPr>
                <w:rFonts w:ascii="Cambria Math" w:hAnsi="Cambria Math" w:cs="Times New Roman"/>
                <w:sz w:val="24"/>
                <w:szCs w:val="24"/>
              </w:rPr>
              <m:t>AAI</m:t>
            </m:r>
          </m:e>
        </m:acc>
      </m:oMath>
      <w:r w:rsidRPr="00E15729">
        <w:rPr>
          <w:rFonts w:ascii="Times New Roman" w:eastAsiaTheme="minorEastAsia" w:hAnsi="Times New Roman" w:cs="Times New Roman"/>
          <w:sz w:val="24"/>
          <w:szCs w:val="24"/>
        </w:rPr>
        <w:t xml:space="preserve"> values at the genus and family levels was similar to that observed above in the comparisons to 16S rRNA gene data (Figure 2), the distributions for order, class, and above greatly overlapped in the ~40-50% </w:t>
      </w:r>
      <m:oMath>
        <m:acc>
          <m:accPr>
            <m:ctrlPr>
              <w:rPr>
                <w:rFonts w:ascii="Cambria Math" w:hAnsi="Cambria Math" w:cs="Times New Roman"/>
                <w:i/>
                <w:sz w:val="24"/>
                <w:szCs w:val="24"/>
              </w:rPr>
            </m:ctrlPr>
          </m:accPr>
          <m:e>
            <m:r>
              <w:rPr>
                <w:rFonts w:ascii="Cambria Math" w:hAnsi="Cambria Math" w:cs="Times New Roman"/>
                <w:sz w:val="24"/>
                <w:szCs w:val="24"/>
              </w:rPr>
              <m:t>AAI</m:t>
            </m:r>
          </m:e>
        </m:acc>
      </m:oMath>
      <w:r w:rsidRPr="00E15729">
        <w:rPr>
          <w:rFonts w:ascii="Times New Roman" w:eastAsiaTheme="minorEastAsia" w:hAnsi="Times New Roman" w:cs="Times New Roman"/>
          <w:sz w:val="24"/>
          <w:szCs w:val="24"/>
        </w:rPr>
        <w:t xml:space="preserve"> value range, indicating that the GTDB taxonomy results in ranks whose intra-rank AAI values are compressed in an increasingly smaller range of </w:t>
      </w:r>
      <m:oMath>
        <m:acc>
          <m:accPr>
            <m:ctrlPr>
              <w:rPr>
                <w:rFonts w:ascii="Cambria Math" w:hAnsi="Cambria Math" w:cs="Times New Roman"/>
                <w:i/>
                <w:sz w:val="24"/>
                <w:szCs w:val="24"/>
              </w:rPr>
            </m:ctrlPr>
          </m:accPr>
          <m:e>
            <m:r>
              <w:rPr>
                <w:rFonts w:ascii="Cambria Math" w:hAnsi="Cambria Math" w:cs="Times New Roman"/>
                <w:sz w:val="24"/>
                <w:szCs w:val="24"/>
              </w:rPr>
              <m:t>AAI</m:t>
            </m:r>
          </m:e>
        </m:acc>
      </m:oMath>
      <w:r w:rsidRPr="00E15729">
        <w:rPr>
          <w:rFonts w:ascii="Times New Roman" w:eastAsiaTheme="minorEastAsia" w:hAnsi="Times New Roman" w:cs="Times New Roman"/>
          <w:sz w:val="24"/>
          <w:szCs w:val="24"/>
        </w:rPr>
        <w:t xml:space="preserve"> values. The evenly spaced distribution of RED values per taxonomic rank thus underlies the robust discriminatory power for GTDB</w:t>
      </w:r>
      <w:r w:rsidR="00531146">
        <w:rPr>
          <w:rFonts w:ascii="Times New Roman" w:eastAsiaTheme="minorEastAsia" w:hAnsi="Times New Roman" w:cs="Times New Roman"/>
          <w:sz w:val="24"/>
          <w:szCs w:val="24"/>
        </w:rPr>
        <w:t>-</w:t>
      </w:r>
      <w:r w:rsidRPr="00E15729">
        <w:rPr>
          <w:rFonts w:ascii="Times New Roman" w:eastAsiaTheme="minorEastAsia" w:hAnsi="Times New Roman" w:cs="Times New Roman"/>
          <w:sz w:val="24"/>
          <w:szCs w:val="24"/>
        </w:rPr>
        <w:t xml:space="preserve">tk. However, </w:t>
      </w:r>
      <w:r w:rsidRPr="00E15729">
        <w:rPr>
          <w:rFonts w:ascii="Times New Roman" w:hAnsi="Times New Roman" w:cs="Times New Roman"/>
          <w:sz w:val="24"/>
          <w:szCs w:val="24"/>
        </w:rPr>
        <w:t xml:space="preserve">this method depends exclusively on the taxonomy created for GTDB around </w:t>
      </w:r>
      <w:r w:rsidRPr="00E15729">
        <w:rPr>
          <w:rFonts w:ascii="Times New Roman" w:hAnsi="Times New Roman" w:cs="Times New Roman"/>
          <w:sz w:val="24"/>
          <w:szCs w:val="24"/>
        </w:rPr>
        <w:lastRenderedPageBreak/>
        <w:t xml:space="preserve">RED value-based rank separation. The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approach, on the other hand, is independent (agnostic) of any taxonomic scheme and can effectively and efficiently recover genome relatedness and extract taxonomic information using current standing (or even custom) classification schemes. Considering this advantage, we performed an additional classification test using a subset of 500 randomly selected genomes from the </w:t>
      </w:r>
      <w:proofErr w:type="spellStart"/>
      <w:r w:rsidRPr="00E15729">
        <w:rPr>
          <w:rFonts w:ascii="Times New Roman" w:hAnsi="Times New Roman" w:cs="Times New Roman"/>
          <w:sz w:val="24"/>
          <w:szCs w:val="24"/>
        </w:rPr>
        <w:t>RefSeq</w:t>
      </w:r>
      <w:proofErr w:type="spellEnd"/>
      <w:r w:rsidRPr="00E15729">
        <w:rPr>
          <w:rFonts w:ascii="Times New Roman" w:hAnsi="Times New Roman" w:cs="Times New Roman"/>
          <w:sz w:val="24"/>
          <w:szCs w:val="24"/>
        </w:rPr>
        <w:t xml:space="preserve"> dataset against the GTDB using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and GTDB</w:t>
      </w:r>
      <w:r w:rsidR="00915367">
        <w:rPr>
          <w:rFonts w:ascii="Times New Roman" w:hAnsi="Times New Roman" w:cs="Times New Roman"/>
          <w:sz w:val="24"/>
          <w:szCs w:val="24"/>
        </w:rPr>
        <w:t>-</w:t>
      </w:r>
      <w:r w:rsidRPr="00E15729">
        <w:rPr>
          <w:rFonts w:ascii="Times New Roman" w:hAnsi="Times New Roman" w:cs="Times New Roman"/>
          <w:sz w:val="24"/>
          <w:szCs w:val="24"/>
        </w:rPr>
        <w:t xml:space="preserve">tk. In this test we aimed to assess if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was able to recover the same, or close best matches for the selected queries, which would indicate our tetramer approach provides similar results compared to more complex phylogenetic methods. We initially removed 14 genomes present in GTDB to avoid having exact matches in these cases and make it more challenging for identification, leaving a testing dataset of 236 archaeal and 250 bacterial genomes. GTDB</w:t>
      </w:r>
      <w:r w:rsidR="00915367">
        <w:rPr>
          <w:rFonts w:ascii="Times New Roman" w:hAnsi="Times New Roman" w:cs="Times New Roman"/>
          <w:sz w:val="24"/>
          <w:szCs w:val="24"/>
        </w:rPr>
        <w:t>-</w:t>
      </w:r>
      <w:proofErr w:type="spellStart"/>
      <w:r w:rsidRPr="00E15729">
        <w:rPr>
          <w:rFonts w:ascii="Times New Roman" w:hAnsi="Times New Roman" w:cs="Times New Roman"/>
          <w:sz w:val="24"/>
          <w:szCs w:val="24"/>
        </w:rPr>
        <w:t>tk</w:t>
      </w:r>
      <w:proofErr w:type="spellEnd"/>
      <w:r w:rsidRPr="00E15729">
        <w:rPr>
          <w:rFonts w:ascii="Times New Roman" w:hAnsi="Times New Roman" w:cs="Times New Roman"/>
          <w:sz w:val="24"/>
          <w:szCs w:val="24"/>
        </w:rPr>
        <w:t xml:space="preserve"> classified genomes using a combination of </w:t>
      </w:r>
      <w:proofErr w:type="spellStart"/>
      <w:r w:rsidRPr="00E15729">
        <w:rPr>
          <w:rFonts w:ascii="Times New Roman" w:hAnsi="Times New Roman" w:cs="Times New Roman"/>
          <w:sz w:val="24"/>
          <w:szCs w:val="24"/>
        </w:rPr>
        <w:t>FastANI</w:t>
      </w:r>
      <w:proofErr w:type="spellEnd"/>
      <w:r w:rsidRPr="00E15729">
        <w:rPr>
          <w:rFonts w:ascii="Times New Roman" w:hAnsi="Times New Roman" w:cs="Times New Roman"/>
          <w:sz w:val="24"/>
          <w:szCs w:val="24"/>
        </w:rPr>
        <w:t xml:space="preserve">, phylogenetic placement of the query genome in the pre-computed phylogenetic tree of the database, and RED values. In our dataset, two archaea and two bacteria could not be classified using </w:t>
      </w:r>
      <w:proofErr w:type="spellStart"/>
      <w:r w:rsidRPr="00E15729">
        <w:rPr>
          <w:rFonts w:ascii="Times New Roman" w:hAnsi="Times New Roman" w:cs="Times New Roman"/>
          <w:sz w:val="24"/>
          <w:szCs w:val="24"/>
        </w:rPr>
        <w:t>FastANI</w:t>
      </w:r>
      <w:proofErr w:type="spellEnd"/>
      <w:r w:rsidRPr="00E15729">
        <w:rPr>
          <w:rFonts w:ascii="Times New Roman" w:hAnsi="Times New Roman" w:cs="Times New Roman"/>
          <w:sz w:val="24"/>
          <w:szCs w:val="24"/>
        </w:rPr>
        <w:t xml:space="preserve"> (e.g., no close relatives in the database) or phylogenetic placement and were instead classified using RED. The classification of most of the remaining queries (~94%) agreed for the </w:t>
      </w:r>
      <w:proofErr w:type="spellStart"/>
      <w:r w:rsidRPr="00E15729">
        <w:rPr>
          <w:rFonts w:ascii="Times New Roman" w:hAnsi="Times New Roman" w:cs="Times New Roman"/>
          <w:sz w:val="24"/>
          <w:szCs w:val="24"/>
        </w:rPr>
        <w:t>FastANI</w:t>
      </w:r>
      <w:proofErr w:type="spellEnd"/>
      <w:r w:rsidRPr="00E15729">
        <w:rPr>
          <w:rFonts w:ascii="Times New Roman" w:hAnsi="Times New Roman" w:cs="Times New Roman"/>
          <w:sz w:val="24"/>
          <w:szCs w:val="24"/>
        </w:rPr>
        <w:t xml:space="preserve"> and tree placement classification. In this test, we observed that both methods found the exact closest relative (best match) in 95% of the total cases (n=463), indicating that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can obtain similar results to GTDB</w:t>
      </w:r>
      <w:r w:rsidR="008A6DE0">
        <w:rPr>
          <w:rFonts w:ascii="Times New Roman" w:hAnsi="Times New Roman" w:cs="Times New Roman"/>
          <w:sz w:val="24"/>
          <w:szCs w:val="24"/>
        </w:rPr>
        <w:t>-</w:t>
      </w:r>
      <w:proofErr w:type="spellStart"/>
      <w:r w:rsidRPr="00E15729">
        <w:rPr>
          <w:rFonts w:ascii="Times New Roman" w:hAnsi="Times New Roman" w:cs="Times New Roman"/>
          <w:sz w:val="24"/>
          <w:szCs w:val="24"/>
        </w:rPr>
        <w:t>tk</w:t>
      </w:r>
      <w:proofErr w:type="spellEnd"/>
      <w:r w:rsidRPr="00E15729">
        <w:rPr>
          <w:rFonts w:ascii="Times New Roman" w:hAnsi="Times New Roman" w:cs="Times New Roman"/>
          <w:sz w:val="24"/>
          <w:szCs w:val="24"/>
        </w:rPr>
        <w:t xml:space="preserve"> in a fraction of the time and using vastly less computational resources. Unfortunately, the classification accuracy using this reference database could not be appropriately assessed due to the discrepancies in the taxonomic nomenclature used by our query dataset, which is NCBI-based, and GTDB’s reference dataset.</w:t>
      </w:r>
    </w:p>
    <w:p w14:paraId="4B084673" w14:textId="0C1E9C04" w:rsidR="00706851" w:rsidRPr="00E15729" w:rsidRDefault="00706851">
      <w:pPr>
        <w:rPr>
          <w:rFonts w:ascii="Times New Roman" w:hAnsi="Times New Roman" w:cs="Times New Roman"/>
          <w:b/>
          <w:bCs/>
          <w:sz w:val="24"/>
          <w:szCs w:val="24"/>
        </w:rPr>
      </w:pPr>
    </w:p>
    <w:p w14:paraId="0D53F33D" w14:textId="7C43CDB5" w:rsidR="004D057F" w:rsidRPr="00E15729" w:rsidRDefault="004D057F">
      <w:pPr>
        <w:rPr>
          <w:rFonts w:ascii="Times New Roman" w:hAnsi="Times New Roman" w:cs="Times New Roman"/>
          <w:b/>
          <w:bCs/>
          <w:i/>
          <w:iCs/>
          <w:sz w:val="24"/>
          <w:szCs w:val="24"/>
        </w:rPr>
      </w:pPr>
      <w:r w:rsidRPr="00E15729">
        <w:rPr>
          <w:rFonts w:ascii="Times New Roman" w:hAnsi="Times New Roman" w:cs="Times New Roman"/>
          <w:b/>
          <w:bCs/>
          <w:i/>
          <w:iCs/>
          <w:sz w:val="24"/>
          <w:szCs w:val="24"/>
        </w:rPr>
        <w:t xml:space="preserve">Additional computational details of GTDB and </w:t>
      </w:r>
      <w:proofErr w:type="spellStart"/>
      <w:r w:rsidRPr="00E15729">
        <w:rPr>
          <w:rFonts w:ascii="Times New Roman" w:hAnsi="Times New Roman" w:cs="Times New Roman"/>
          <w:b/>
          <w:bCs/>
          <w:i/>
          <w:iCs/>
          <w:sz w:val="24"/>
          <w:szCs w:val="24"/>
        </w:rPr>
        <w:t>FastAAI</w:t>
      </w:r>
      <w:proofErr w:type="spellEnd"/>
      <w:r w:rsidR="00A86F8F" w:rsidRPr="00E15729">
        <w:rPr>
          <w:rFonts w:ascii="Times New Roman" w:hAnsi="Times New Roman" w:cs="Times New Roman"/>
          <w:b/>
          <w:bCs/>
          <w:i/>
          <w:iCs/>
          <w:sz w:val="24"/>
          <w:szCs w:val="24"/>
        </w:rPr>
        <w:t xml:space="preserve"> comparisons</w:t>
      </w:r>
    </w:p>
    <w:p w14:paraId="0735E918" w14:textId="3A3BE402" w:rsidR="004D057F" w:rsidRPr="00E15729" w:rsidRDefault="004D057F">
      <w:pPr>
        <w:rPr>
          <w:rFonts w:ascii="Times New Roman" w:hAnsi="Times New Roman" w:cs="Times New Roman"/>
          <w:b/>
          <w:bCs/>
          <w:i/>
          <w:iCs/>
          <w:sz w:val="24"/>
          <w:szCs w:val="24"/>
        </w:rPr>
      </w:pPr>
    </w:p>
    <w:p w14:paraId="2C53633F" w14:textId="09452DD1" w:rsidR="00193589" w:rsidRPr="00E15729" w:rsidRDefault="00D812AB" w:rsidP="008E3D56">
      <w:pPr>
        <w:spacing w:line="480" w:lineRule="auto"/>
        <w:ind w:firstLine="720"/>
        <w:jc w:val="both"/>
        <w:rPr>
          <w:rFonts w:ascii="Times New Roman" w:hAnsi="Times New Roman" w:cs="Times New Roman"/>
          <w:sz w:val="24"/>
          <w:szCs w:val="24"/>
        </w:rPr>
      </w:pPr>
      <w:r w:rsidRPr="00E15729">
        <w:rPr>
          <w:rFonts w:ascii="Times New Roman" w:hAnsi="Times New Roman" w:cs="Times New Roman"/>
          <w:sz w:val="24"/>
          <w:szCs w:val="24"/>
        </w:rPr>
        <w:lastRenderedPageBreak/>
        <w:t xml:space="preserve">In the computational evaluation of </w:t>
      </w:r>
      <w:proofErr w:type="spellStart"/>
      <w:r w:rsidR="004D057F" w:rsidRPr="00E15729">
        <w:rPr>
          <w:rFonts w:ascii="Times New Roman" w:hAnsi="Times New Roman" w:cs="Times New Roman"/>
          <w:sz w:val="24"/>
          <w:szCs w:val="24"/>
        </w:rPr>
        <w:t>FastAAI</w:t>
      </w:r>
      <w:proofErr w:type="spellEnd"/>
      <w:r w:rsidR="004D057F" w:rsidRPr="00E15729">
        <w:rPr>
          <w:rFonts w:ascii="Times New Roman" w:hAnsi="Times New Roman" w:cs="Times New Roman"/>
          <w:sz w:val="24"/>
          <w:szCs w:val="24"/>
        </w:rPr>
        <w:t xml:space="preserve"> and GTDB</w:t>
      </w:r>
      <w:r w:rsidR="00261CB5" w:rsidRPr="00E15729">
        <w:rPr>
          <w:rFonts w:ascii="Times New Roman" w:hAnsi="Times New Roman" w:cs="Times New Roman"/>
          <w:sz w:val="24"/>
          <w:szCs w:val="24"/>
        </w:rPr>
        <w:t>-</w:t>
      </w:r>
      <w:proofErr w:type="spellStart"/>
      <w:r w:rsidR="004D057F" w:rsidRPr="00E15729">
        <w:rPr>
          <w:rFonts w:ascii="Times New Roman" w:hAnsi="Times New Roman" w:cs="Times New Roman"/>
          <w:sz w:val="24"/>
          <w:szCs w:val="24"/>
        </w:rPr>
        <w:t>tk</w:t>
      </w:r>
      <w:proofErr w:type="spellEnd"/>
      <w:r w:rsidRPr="00E15729">
        <w:rPr>
          <w:rFonts w:ascii="Times New Roman" w:hAnsi="Times New Roman" w:cs="Times New Roman"/>
          <w:sz w:val="24"/>
          <w:szCs w:val="24"/>
        </w:rPr>
        <w:t>, we selected GTDB’s “</w:t>
      </w:r>
      <w:proofErr w:type="spellStart"/>
      <w:r w:rsidRPr="00E15729">
        <w:rPr>
          <w:rFonts w:ascii="Times New Roman" w:hAnsi="Times New Roman" w:cs="Times New Roman"/>
          <w:sz w:val="24"/>
          <w:szCs w:val="24"/>
        </w:rPr>
        <w:t>classify_wf</w:t>
      </w:r>
      <w:proofErr w:type="spellEnd"/>
      <w:r w:rsidRPr="00E15729">
        <w:rPr>
          <w:rFonts w:ascii="Times New Roman" w:hAnsi="Times New Roman" w:cs="Times New Roman"/>
          <w:sz w:val="24"/>
          <w:szCs w:val="24"/>
        </w:rPr>
        <w:t>” behavior as our comparison. This workflow encapsulates several distinct functions of GTDB</w:t>
      </w:r>
      <w:r w:rsidR="00BB42A7" w:rsidRPr="00E15729">
        <w:rPr>
          <w:rFonts w:ascii="Times New Roman" w:hAnsi="Times New Roman" w:cs="Times New Roman"/>
          <w:sz w:val="24"/>
          <w:szCs w:val="24"/>
        </w:rPr>
        <w:t>-</w:t>
      </w:r>
      <w:proofErr w:type="spellStart"/>
      <w:r w:rsidR="00BB42A7" w:rsidRPr="00E15729">
        <w:rPr>
          <w:rFonts w:ascii="Times New Roman" w:hAnsi="Times New Roman" w:cs="Times New Roman"/>
          <w:sz w:val="24"/>
          <w:szCs w:val="24"/>
        </w:rPr>
        <w:t>tk</w:t>
      </w:r>
      <w:proofErr w:type="spellEnd"/>
      <w:r w:rsidRPr="00E15729">
        <w:rPr>
          <w:rFonts w:ascii="Times New Roman" w:hAnsi="Times New Roman" w:cs="Times New Roman"/>
          <w:sz w:val="24"/>
          <w:szCs w:val="24"/>
        </w:rPr>
        <w:t xml:space="preserve">, namely their “identify,” “align,” and “classify” steps. We matched these steps with </w:t>
      </w:r>
      <w:proofErr w:type="spellStart"/>
      <w:r w:rsidRPr="00E15729">
        <w:rPr>
          <w:rFonts w:ascii="Times New Roman" w:hAnsi="Times New Roman" w:cs="Times New Roman"/>
          <w:sz w:val="24"/>
          <w:szCs w:val="24"/>
        </w:rPr>
        <w:t>FastAAI’s</w:t>
      </w:r>
      <w:proofErr w:type="spellEnd"/>
      <w:r w:rsidRPr="00E15729">
        <w:rPr>
          <w:rFonts w:ascii="Times New Roman" w:hAnsi="Times New Roman" w:cs="Times New Roman"/>
          <w:sz w:val="24"/>
          <w:szCs w:val="24"/>
        </w:rPr>
        <w:t xml:space="preserve"> </w:t>
      </w:r>
      <w:r w:rsidR="003908A5" w:rsidRPr="00E15729">
        <w:rPr>
          <w:rFonts w:ascii="Times New Roman" w:hAnsi="Times New Roman" w:cs="Times New Roman"/>
          <w:sz w:val="24"/>
          <w:szCs w:val="24"/>
        </w:rPr>
        <w:t>“</w:t>
      </w:r>
      <w:proofErr w:type="spellStart"/>
      <w:r w:rsidR="003908A5" w:rsidRPr="00E15729">
        <w:rPr>
          <w:rFonts w:ascii="Times New Roman" w:hAnsi="Times New Roman" w:cs="Times New Roman"/>
          <w:sz w:val="24"/>
          <w:szCs w:val="24"/>
        </w:rPr>
        <w:t>simple_query</w:t>
      </w:r>
      <w:proofErr w:type="spellEnd"/>
      <w:r w:rsidR="00211773" w:rsidRPr="00E15729">
        <w:rPr>
          <w:rFonts w:ascii="Times New Roman" w:hAnsi="Times New Roman" w:cs="Times New Roman"/>
          <w:sz w:val="24"/>
          <w:szCs w:val="24"/>
        </w:rPr>
        <w:t>,</w:t>
      </w:r>
      <w:r w:rsidR="003908A5" w:rsidRPr="00E15729">
        <w:rPr>
          <w:rFonts w:ascii="Times New Roman" w:hAnsi="Times New Roman" w:cs="Times New Roman"/>
          <w:sz w:val="24"/>
          <w:szCs w:val="24"/>
        </w:rPr>
        <w:t>”</w:t>
      </w:r>
      <w:r w:rsidR="00211773" w:rsidRPr="00E15729">
        <w:rPr>
          <w:rFonts w:ascii="Times New Roman" w:hAnsi="Times New Roman" w:cs="Times New Roman"/>
          <w:sz w:val="24"/>
          <w:szCs w:val="24"/>
        </w:rPr>
        <w:t xml:space="preserve"> which</w:t>
      </w:r>
      <w:r w:rsidRPr="00E15729">
        <w:rPr>
          <w:rFonts w:ascii="Times New Roman" w:hAnsi="Times New Roman" w:cs="Times New Roman"/>
          <w:sz w:val="24"/>
          <w:szCs w:val="24"/>
        </w:rPr>
        <w:t xml:space="preserve"> represent</w:t>
      </w:r>
      <w:r w:rsidR="00211773" w:rsidRPr="00E15729">
        <w:rPr>
          <w:rFonts w:ascii="Times New Roman" w:hAnsi="Times New Roman" w:cs="Times New Roman"/>
          <w:sz w:val="24"/>
          <w:szCs w:val="24"/>
        </w:rPr>
        <w:t>s a</w:t>
      </w:r>
      <w:r w:rsidRPr="00E15729">
        <w:rPr>
          <w:rFonts w:ascii="Times New Roman" w:hAnsi="Times New Roman" w:cs="Times New Roman"/>
          <w:sz w:val="24"/>
          <w:szCs w:val="24"/>
        </w:rPr>
        <w:t xml:space="preserve"> very similar task with respect to classifying query genomes against</w:t>
      </w:r>
      <w:r w:rsidR="00B829E0" w:rsidRPr="00E15729">
        <w:rPr>
          <w:rFonts w:ascii="Times New Roman" w:hAnsi="Times New Roman" w:cs="Times New Roman"/>
          <w:sz w:val="24"/>
          <w:szCs w:val="24"/>
        </w:rPr>
        <w:t xml:space="preserve"> a</w:t>
      </w:r>
      <w:r w:rsidRPr="00E15729">
        <w:rPr>
          <w:rFonts w:ascii="Times New Roman" w:hAnsi="Times New Roman" w:cs="Times New Roman"/>
          <w:sz w:val="24"/>
          <w:szCs w:val="24"/>
        </w:rPr>
        <w:t xml:space="preserve"> </w:t>
      </w:r>
      <w:r w:rsidR="00F8763F" w:rsidRPr="00E15729">
        <w:rPr>
          <w:rFonts w:ascii="Times New Roman" w:hAnsi="Times New Roman" w:cs="Times New Roman"/>
          <w:sz w:val="24"/>
          <w:szCs w:val="24"/>
        </w:rPr>
        <w:t xml:space="preserve">pre-built </w:t>
      </w:r>
      <w:r w:rsidR="003908A5" w:rsidRPr="00E15729">
        <w:rPr>
          <w:rFonts w:ascii="Times New Roman" w:hAnsi="Times New Roman" w:cs="Times New Roman"/>
          <w:sz w:val="24"/>
          <w:szCs w:val="24"/>
        </w:rPr>
        <w:t>database</w:t>
      </w:r>
      <w:r w:rsidR="00B829E0" w:rsidRPr="00E15729">
        <w:rPr>
          <w:rFonts w:ascii="Times New Roman" w:hAnsi="Times New Roman" w:cs="Times New Roman"/>
          <w:sz w:val="24"/>
          <w:szCs w:val="24"/>
        </w:rPr>
        <w:t>.</w:t>
      </w:r>
    </w:p>
    <w:p w14:paraId="43341BE5" w14:textId="4E50D5B7" w:rsidR="00963AE7" w:rsidRPr="00E15729" w:rsidRDefault="003908A5" w:rsidP="003908A5">
      <w:pPr>
        <w:spacing w:line="480" w:lineRule="auto"/>
        <w:ind w:firstLine="720"/>
        <w:jc w:val="both"/>
        <w:rPr>
          <w:rFonts w:ascii="Times New Roman" w:hAnsi="Times New Roman" w:cs="Times New Roman"/>
          <w:sz w:val="24"/>
          <w:szCs w:val="24"/>
        </w:rPr>
      </w:pP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and GTDB</w:t>
      </w:r>
      <w:r w:rsidR="00B6137C" w:rsidRPr="00E15729">
        <w:rPr>
          <w:rFonts w:ascii="Times New Roman" w:hAnsi="Times New Roman" w:cs="Times New Roman"/>
          <w:sz w:val="24"/>
          <w:szCs w:val="24"/>
        </w:rPr>
        <w:t>-</w:t>
      </w:r>
      <w:proofErr w:type="spellStart"/>
      <w:r w:rsidR="00B6137C" w:rsidRPr="00E15729">
        <w:rPr>
          <w:rFonts w:ascii="Times New Roman" w:hAnsi="Times New Roman" w:cs="Times New Roman"/>
          <w:sz w:val="24"/>
          <w:szCs w:val="24"/>
        </w:rPr>
        <w:t>tk</w:t>
      </w:r>
      <w:proofErr w:type="spellEnd"/>
      <w:r w:rsidRPr="00E15729">
        <w:rPr>
          <w:rFonts w:ascii="Times New Roman" w:hAnsi="Times New Roman" w:cs="Times New Roman"/>
          <w:sz w:val="24"/>
          <w:szCs w:val="24"/>
        </w:rPr>
        <w:t xml:space="preserve"> share an almost identical preprocessing step. </w:t>
      </w:r>
      <w:r w:rsidR="00211773" w:rsidRPr="00E15729">
        <w:rPr>
          <w:rFonts w:ascii="Times New Roman" w:hAnsi="Times New Roman" w:cs="Times New Roman"/>
          <w:sz w:val="24"/>
          <w:szCs w:val="24"/>
        </w:rPr>
        <w:t xml:space="preserve">In </w:t>
      </w:r>
      <w:r w:rsidR="00491F2C" w:rsidRPr="00E15729">
        <w:rPr>
          <w:rFonts w:ascii="Times New Roman" w:hAnsi="Times New Roman" w:cs="Times New Roman"/>
          <w:sz w:val="24"/>
          <w:szCs w:val="24"/>
        </w:rPr>
        <w:t>GTDB-</w:t>
      </w:r>
      <w:proofErr w:type="spellStart"/>
      <w:r w:rsidR="00491F2C" w:rsidRPr="00E15729">
        <w:rPr>
          <w:rFonts w:ascii="Times New Roman" w:hAnsi="Times New Roman" w:cs="Times New Roman"/>
          <w:sz w:val="24"/>
          <w:szCs w:val="24"/>
        </w:rPr>
        <w:t>tk’s</w:t>
      </w:r>
      <w:proofErr w:type="spellEnd"/>
      <w:r w:rsidR="00491F2C" w:rsidRPr="00E15729">
        <w:rPr>
          <w:rFonts w:ascii="Times New Roman" w:hAnsi="Times New Roman" w:cs="Times New Roman"/>
          <w:sz w:val="24"/>
          <w:szCs w:val="24"/>
        </w:rPr>
        <w:t xml:space="preserve"> identify step and as the first action in </w:t>
      </w:r>
      <w:proofErr w:type="spellStart"/>
      <w:r w:rsidR="00491F2C" w:rsidRPr="00E15729">
        <w:rPr>
          <w:rFonts w:ascii="Times New Roman" w:hAnsi="Times New Roman" w:cs="Times New Roman"/>
          <w:sz w:val="24"/>
          <w:szCs w:val="24"/>
        </w:rPr>
        <w:t>FastAAI’s</w:t>
      </w:r>
      <w:proofErr w:type="spellEnd"/>
      <w:r w:rsidR="00491F2C" w:rsidRPr="00E15729">
        <w:rPr>
          <w:rFonts w:ascii="Times New Roman" w:hAnsi="Times New Roman" w:cs="Times New Roman"/>
          <w:sz w:val="24"/>
          <w:szCs w:val="24"/>
        </w:rPr>
        <w:t xml:space="preserve"> query process, p</w:t>
      </w:r>
      <w:r w:rsidR="004D057F" w:rsidRPr="00E15729">
        <w:rPr>
          <w:rFonts w:ascii="Times New Roman" w:hAnsi="Times New Roman" w:cs="Times New Roman"/>
          <w:sz w:val="24"/>
          <w:szCs w:val="24"/>
        </w:rPr>
        <w:t>rotein prediction</w:t>
      </w:r>
      <w:r w:rsidRPr="00E15729">
        <w:rPr>
          <w:rFonts w:ascii="Times New Roman" w:hAnsi="Times New Roman" w:cs="Times New Roman"/>
          <w:sz w:val="24"/>
          <w:szCs w:val="24"/>
        </w:rPr>
        <w:t xml:space="preserve"> is performed with Prodigal, selection of the best-matching codon translation table between table 4 and table 11 is performed by running gene prediction twice, once with each table, and comparing results, and the resulting genes are filtered to </w:t>
      </w:r>
      <w:r w:rsidR="006D3042" w:rsidRPr="00E15729">
        <w:rPr>
          <w:rFonts w:ascii="Times New Roman" w:hAnsi="Times New Roman" w:cs="Times New Roman"/>
          <w:sz w:val="24"/>
          <w:szCs w:val="24"/>
        </w:rPr>
        <w:t>single-copy proteins (SCPs)</w:t>
      </w:r>
      <w:r w:rsidRPr="00E15729">
        <w:rPr>
          <w:rFonts w:ascii="Times New Roman" w:hAnsi="Times New Roman" w:cs="Times New Roman"/>
          <w:sz w:val="24"/>
          <w:szCs w:val="24"/>
        </w:rPr>
        <w:t xml:space="preserve"> using HMMER 3.0 with a set of pre-built models internal to each tool. </w:t>
      </w:r>
      <w:r w:rsidR="00261CB5" w:rsidRPr="00E15729">
        <w:rPr>
          <w:rFonts w:ascii="Times New Roman" w:hAnsi="Times New Roman" w:cs="Times New Roman"/>
          <w:sz w:val="24"/>
          <w:szCs w:val="24"/>
        </w:rPr>
        <w:t>The tools differ</w:t>
      </w:r>
      <w:r w:rsidR="00D64EEC" w:rsidRPr="00E15729">
        <w:rPr>
          <w:rFonts w:ascii="Times New Roman" w:hAnsi="Times New Roman" w:cs="Times New Roman"/>
          <w:sz w:val="24"/>
          <w:szCs w:val="24"/>
        </w:rPr>
        <w:t xml:space="preserve"> in behavior much more</w:t>
      </w:r>
      <w:r w:rsidR="00261CB5" w:rsidRPr="00E15729">
        <w:rPr>
          <w:rFonts w:ascii="Times New Roman" w:hAnsi="Times New Roman" w:cs="Times New Roman"/>
          <w:sz w:val="24"/>
          <w:szCs w:val="24"/>
        </w:rPr>
        <w:t xml:space="preserve"> after this point: </w:t>
      </w:r>
      <w:proofErr w:type="spellStart"/>
      <w:r w:rsidR="00261CB5" w:rsidRPr="00E15729">
        <w:rPr>
          <w:rFonts w:ascii="Times New Roman" w:hAnsi="Times New Roman" w:cs="Times New Roman"/>
          <w:sz w:val="24"/>
          <w:szCs w:val="24"/>
        </w:rPr>
        <w:t>FastAAI</w:t>
      </w:r>
      <w:proofErr w:type="spellEnd"/>
      <w:r w:rsidR="00261CB5" w:rsidRPr="00E15729">
        <w:rPr>
          <w:rFonts w:ascii="Times New Roman" w:hAnsi="Times New Roman" w:cs="Times New Roman"/>
          <w:sz w:val="24"/>
          <w:szCs w:val="24"/>
        </w:rPr>
        <w:t xml:space="preserve"> begins its database search, while GTDB-</w:t>
      </w:r>
      <w:proofErr w:type="spellStart"/>
      <w:r w:rsidR="00261CB5" w:rsidRPr="00E15729">
        <w:rPr>
          <w:rFonts w:ascii="Times New Roman" w:hAnsi="Times New Roman" w:cs="Times New Roman"/>
          <w:sz w:val="24"/>
          <w:szCs w:val="24"/>
        </w:rPr>
        <w:t>tk</w:t>
      </w:r>
      <w:proofErr w:type="spellEnd"/>
      <w:r w:rsidR="00211773" w:rsidRPr="00E15729">
        <w:rPr>
          <w:rFonts w:ascii="Times New Roman" w:hAnsi="Times New Roman" w:cs="Times New Roman"/>
          <w:sz w:val="24"/>
          <w:szCs w:val="24"/>
        </w:rPr>
        <w:t xml:space="preserve"> continues with </w:t>
      </w:r>
      <w:r w:rsidR="009805BF" w:rsidRPr="00E15729">
        <w:rPr>
          <w:rFonts w:ascii="Times New Roman" w:hAnsi="Times New Roman" w:cs="Times New Roman"/>
          <w:sz w:val="24"/>
          <w:szCs w:val="24"/>
        </w:rPr>
        <w:t>pre</w:t>
      </w:r>
      <w:r w:rsidR="00211773" w:rsidRPr="00E15729">
        <w:rPr>
          <w:rFonts w:ascii="Times New Roman" w:hAnsi="Times New Roman" w:cs="Times New Roman"/>
          <w:sz w:val="24"/>
          <w:szCs w:val="24"/>
        </w:rPr>
        <w:t>processing steps</w:t>
      </w:r>
      <w:r w:rsidR="008277B7" w:rsidRPr="00E15729">
        <w:rPr>
          <w:rFonts w:ascii="Times New Roman" w:hAnsi="Times New Roman" w:cs="Times New Roman"/>
          <w:sz w:val="24"/>
          <w:szCs w:val="24"/>
        </w:rPr>
        <w:t xml:space="preserve">. </w:t>
      </w:r>
      <w:r w:rsidR="00C363BF" w:rsidRPr="00E15729">
        <w:rPr>
          <w:rFonts w:ascii="Times New Roman" w:hAnsi="Times New Roman" w:cs="Times New Roman"/>
          <w:sz w:val="24"/>
          <w:szCs w:val="24"/>
        </w:rPr>
        <w:t xml:space="preserve">To finish its “identify” step, </w:t>
      </w:r>
      <w:r w:rsidR="008277B7" w:rsidRPr="00E15729">
        <w:rPr>
          <w:rFonts w:ascii="Times New Roman" w:hAnsi="Times New Roman" w:cs="Times New Roman"/>
          <w:sz w:val="24"/>
          <w:szCs w:val="24"/>
        </w:rPr>
        <w:t>GTDB-</w:t>
      </w:r>
      <w:proofErr w:type="spellStart"/>
      <w:r w:rsidR="008277B7" w:rsidRPr="00E15729">
        <w:rPr>
          <w:rFonts w:ascii="Times New Roman" w:hAnsi="Times New Roman" w:cs="Times New Roman"/>
          <w:sz w:val="24"/>
          <w:szCs w:val="24"/>
        </w:rPr>
        <w:t>tk</w:t>
      </w:r>
      <w:proofErr w:type="spellEnd"/>
      <w:r w:rsidR="008277B7" w:rsidRPr="00E15729">
        <w:rPr>
          <w:rFonts w:ascii="Times New Roman" w:hAnsi="Times New Roman" w:cs="Times New Roman"/>
          <w:sz w:val="24"/>
          <w:szCs w:val="24"/>
        </w:rPr>
        <w:t xml:space="preserve"> creates a multiple sequence alignment (MSA) </w:t>
      </w:r>
      <w:r w:rsidR="00C363BF" w:rsidRPr="00E15729">
        <w:rPr>
          <w:rFonts w:ascii="Times New Roman" w:hAnsi="Times New Roman" w:cs="Times New Roman"/>
          <w:sz w:val="24"/>
          <w:szCs w:val="24"/>
        </w:rPr>
        <w:t xml:space="preserve">of </w:t>
      </w:r>
      <w:r w:rsidR="004658A0" w:rsidRPr="00E15729">
        <w:rPr>
          <w:rFonts w:ascii="Times New Roman" w:hAnsi="Times New Roman" w:cs="Times New Roman"/>
          <w:sz w:val="24"/>
          <w:szCs w:val="24"/>
        </w:rPr>
        <w:t>SCP</w:t>
      </w:r>
      <w:r w:rsidR="008277B7" w:rsidRPr="00E15729">
        <w:rPr>
          <w:rFonts w:ascii="Times New Roman" w:hAnsi="Times New Roman" w:cs="Times New Roman"/>
          <w:sz w:val="24"/>
          <w:szCs w:val="24"/>
        </w:rPr>
        <w:t>s for each query to its HMM model’s reference genes, concatenates the MSAs for each marker and filters the results in the “align” step, and then begins its database search in the “classify” step</w:t>
      </w:r>
      <w:r w:rsidR="00E95E18" w:rsidRPr="00E15729">
        <w:rPr>
          <w:rFonts w:ascii="Times New Roman" w:hAnsi="Times New Roman" w:cs="Times New Roman"/>
          <w:sz w:val="24"/>
          <w:szCs w:val="24"/>
        </w:rPr>
        <w:t xml:space="preserve"> utilizing the phylogenetic tree maximum likelihood placement tool </w:t>
      </w:r>
      <w:proofErr w:type="spellStart"/>
      <w:r w:rsidR="00E95E18" w:rsidRPr="00E15729">
        <w:rPr>
          <w:rFonts w:ascii="Times New Roman" w:hAnsi="Times New Roman" w:cs="Times New Roman"/>
          <w:sz w:val="24"/>
          <w:szCs w:val="24"/>
        </w:rPr>
        <w:t>pplacer</w:t>
      </w:r>
      <w:proofErr w:type="spellEnd"/>
      <w:r w:rsidR="00E95E18" w:rsidRPr="00E15729">
        <w:rPr>
          <w:rFonts w:ascii="Times New Roman" w:hAnsi="Times New Roman" w:cs="Times New Roman"/>
          <w:sz w:val="24"/>
          <w:szCs w:val="24"/>
        </w:rPr>
        <w:t xml:space="preserve"> and finally </w:t>
      </w:r>
      <w:proofErr w:type="spellStart"/>
      <w:r w:rsidR="00E95E18" w:rsidRPr="00E15729">
        <w:rPr>
          <w:rFonts w:ascii="Times New Roman" w:hAnsi="Times New Roman" w:cs="Times New Roman"/>
          <w:sz w:val="24"/>
          <w:szCs w:val="24"/>
        </w:rPr>
        <w:t>FastANI</w:t>
      </w:r>
      <w:proofErr w:type="spellEnd"/>
      <w:r w:rsidR="00E95E18" w:rsidRPr="00E15729">
        <w:rPr>
          <w:rFonts w:ascii="Times New Roman" w:hAnsi="Times New Roman" w:cs="Times New Roman"/>
          <w:sz w:val="24"/>
          <w:szCs w:val="24"/>
        </w:rPr>
        <w:t xml:space="preserve"> as needed</w:t>
      </w:r>
      <w:r w:rsidR="008277B7" w:rsidRPr="00E15729">
        <w:rPr>
          <w:rFonts w:ascii="Times New Roman" w:hAnsi="Times New Roman" w:cs="Times New Roman"/>
          <w:sz w:val="24"/>
          <w:szCs w:val="24"/>
        </w:rPr>
        <w:t>.</w:t>
      </w:r>
      <w:r w:rsidR="00C35394" w:rsidRPr="00E15729">
        <w:rPr>
          <w:rFonts w:ascii="Times New Roman" w:hAnsi="Times New Roman" w:cs="Times New Roman"/>
          <w:sz w:val="24"/>
          <w:szCs w:val="24"/>
        </w:rPr>
        <w:t xml:space="preserve"> </w:t>
      </w:r>
    </w:p>
    <w:p w14:paraId="26A6F399" w14:textId="00EBE391" w:rsidR="004D057F" w:rsidRPr="00E15729" w:rsidRDefault="00AF11DA" w:rsidP="003D4EEC">
      <w:pPr>
        <w:spacing w:line="480" w:lineRule="auto"/>
        <w:ind w:firstLine="720"/>
        <w:jc w:val="both"/>
        <w:rPr>
          <w:rFonts w:ascii="Times New Roman" w:hAnsi="Times New Roman" w:cs="Times New Roman"/>
          <w:sz w:val="24"/>
          <w:szCs w:val="24"/>
        </w:rPr>
      </w:pPr>
      <w:r w:rsidRPr="00E15729">
        <w:rPr>
          <w:rFonts w:ascii="Times New Roman" w:hAnsi="Times New Roman" w:cs="Times New Roman"/>
          <w:sz w:val="24"/>
          <w:szCs w:val="24"/>
        </w:rPr>
        <w:t>While the initial preprocessing steps are essentially identical both in task, implementation, and computational properties</w:t>
      </w:r>
      <w:r w:rsidR="004D057F" w:rsidRPr="00E15729">
        <w:rPr>
          <w:rFonts w:ascii="Times New Roman" w:hAnsi="Times New Roman" w:cs="Times New Roman"/>
          <w:sz w:val="24"/>
          <w:szCs w:val="24"/>
        </w:rPr>
        <w:t>, GTDB</w:t>
      </w:r>
      <w:r w:rsidR="00B52E8F" w:rsidRPr="00E15729">
        <w:rPr>
          <w:rFonts w:ascii="Times New Roman" w:hAnsi="Times New Roman" w:cs="Times New Roman"/>
          <w:sz w:val="24"/>
          <w:szCs w:val="24"/>
        </w:rPr>
        <w:t>-</w:t>
      </w:r>
      <w:proofErr w:type="spellStart"/>
      <w:r w:rsidR="004D057F" w:rsidRPr="00E15729">
        <w:rPr>
          <w:rFonts w:ascii="Times New Roman" w:hAnsi="Times New Roman" w:cs="Times New Roman"/>
          <w:sz w:val="24"/>
          <w:szCs w:val="24"/>
        </w:rPr>
        <w:t>tk</w:t>
      </w:r>
      <w:proofErr w:type="spellEnd"/>
      <w:r w:rsidR="004D057F" w:rsidRPr="00E15729">
        <w:rPr>
          <w:rFonts w:ascii="Times New Roman" w:hAnsi="Times New Roman" w:cs="Times New Roman"/>
          <w:sz w:val="24"/>
          <w:szCs w:val="24"/>
        </w:rPr>
        <w:t xml:space="preserve"> is</w:t>
      </w:r>
      <w:r w:rsidR="002B68C7" w:rsidRPr="00E15729">
        <w:rPr>
          <w:rFonts w:ascii="Times New Roman" w:hAnsi="Times New Roman" w:cs="Times New Roman"/>
          <w:sz w:val="24"/>
          <w:szCs w:val="24"/>
        </w:rPr>
        <w:t xml:space="preserve"> </w:t>
      </w:r>
      <w:r w:rsidR="004D057F" w:rsidRPr="00E15729">
        <w:rPr>
          <w:rFonts w:ascii="Times New Roman" w:hAnsi="Times New Roman" w:cs="Times New Roman"/>
          <w:sz w:val="24"/>
          <w:szCs w:val="24"/>
        </w:rPr>
        <w:t xml:space="preserve">rate limited by </w:t>
      </w:r>
      <w:r w:rsidR="001F28AF" w:rsidRPr="00E15729">
        <w:rPr>
          <w:rFonts w:ascii="Times New Roman" w:hAnsi="Times New Roman" w:cs="Times New Roman"/>
          <w:sz w:val="24"/>
          <w:szCs w:val="24"/>
        </w:rPr>
        <w:t>its</w:t>
      </w:r>
      <w:r w:rsidR="004D057F" w:rsidRPr="00E15729">
        <w:rPr>
          <w:rFonts w:ascii="Times New Roman" w:hAnsi="Times New Roman" w:cs="Times New Roman"/>
          <w:sz w:val="24"/>
          <w:szCs w:val="24"/>
        </w:rPr>
        <w:t xml:space="preserve"> subsequent classification steps</w:t>
      </w:r>
      <w:r w:rsidR="00D718BB" w:rsidRPr="00E15729">
        <w:rPr>
          <w:rFonts w:ascii="Times New Roman" w:hAnsi="Times New Roman" w:cs="Times New Roman"/>
          <w:sz w:val="24"/>
          <w:szCs w:val="24"/>
        </w:rPr>
        <w:t xml:space="preserve"> when compared to </w:t>
      </w:r>
      <w:proofErr w:type="spellStart"/>
      <w:r w:rsidR="00D718BB" w:rsidRPr="00E15729">
        <w:rPr>
          <w:rFonts w:ascii="Times New Roman" w:hAnsi="Times New Roman" w:cs="Times New Roman"/>
          <w:sz w:val="24"/>
          <w:szCs w:val="24"/>
        </w:rPr>
        <w:t>FastAAI</w:t>
      </w:r>
      <w:proofErr w:type="spellEnd"/>
      <w:r w:rsidR="004D057F" w:rsidRPr="00E15729">
        <w:rPr>
          <w:rFonts w:ascii="Times New Roman" w:hAnsi="Times New Roman" w:cs="Times New Roman"/>
          <w:sz w:val="24"/>
          <w:szCs w:val="24"/>
        </w:rPr>
        <w:t>. Of particular note, the placement of marker genes on GTDB</w:t>
      </w:r>
      <w:r w:rsidR="00BF5FC4" w:rsidRPr="00E15729">
        <w:rPr>
          <w:rFonts w:ascii="Times New Roman" w:hAnsi="Times New Roman" w:cs="Times New Roman"/>
          <w:sz w:val="24"/>
          <w:szCs w:val="24"/>
        </w:rPr>
        <w:t>-</w:t>
      </w:r>
      <w:proofErr w:type="spellStart"/>
      <w:r w:rsidR="00BF5FC4" w:rsidRPr="00E15729">
        <w:rPr>
          <w:rFonts w:ascii="Times New Roman" w:hAnsi="Times New Roman" w:cs="Times New Roman"/>
          <w:sz w:val="24"/>
          <w:szCs w:val="24"/>
        </w:rPr>
        <w:t>tk</w:t>
      </w:r>
      <w:r w:rsidR="004D057F" w:rsidRPr="00E15729">
        <w:rPr>
          <w:rFonts w:ascii="Times New Roman" w:hAnsi="Times New Roman" w:cs="Times New Roman"/>
          <w:sz w:val="24"/>
          <w:szCs w:val="24"/>
        </w:rPr>
        <w:t>’s</w:t>
      </w:r>
      <w:proofErr w:type="spellEnd"/>
      <w:r w:rsidR="004D057F" w:rsidRPr="00E15729">
        <w:rPr>
          <w:rFonts w:ascii="Times New Roman" w:hAnsi="Times New Roman" w:cs="Times New Roman"/>
          <w:sz w:val="24"/>
          <w:szCs w:val="24"/>
        </w:rPr>
        <w:t xml:space="preserve"> phylogenetic tree using pplacer</w:t>
      </w:r>
      <w:r w:rsidR="00B52CA5">
        <w:rPr>
          <w:rFonts w:ascii="Times New Roman" w:hAnsi="Times New Roman" w:cs="Times New Roman"/>
          <w:sz w:val="24"/>
          <w:szCs w:val="24"/>
          <w:vertAlign w:val="superscript"/>
        </w:rPr>
        <w:t>3</w:t>
      </w:r>
      <w:r w:rsidR="004D057F" w:rsidRPr="00E15729">
        <w:rPr>
          <w:rFonts w:ascii="Times New Roman" w:hAnsi="Times New Roman" w:cs="Times New Roman"/>
          <w:sz w:val="24"/>
          <w:szCs w:val="24"/>
        </w:rPr>
        <w:t xml:space="preserve"> (</w:t>
      </w:r>
      <w:proofErr w:type="spellStart"/>
      <w:r w:rsidR="004D057F" w:rsidRPr="00E15729">
        <w:rPr>
          <w:rFonts w:ascii="Times New Roman" w:hAnsi="Times New Roman" w:cs="Times New Roman"/>
          <w:sz w:val="24"/>
          <w:szCs w:val="24"/>
        </w:rPr>
        <w:t>Matsen</w:t>
      </w:r>
      <w:proofErr w:type="spellEnd"/>
      <w:r w:rsidR="004D057F" w:rsidRPr="00E15729">
        <w:rPr>
          <w:rFonts w:ascii="Times New Roman" w:hAnsi="Times New Roman" w:cs="Times New Roman"/>
          <w:sz w:val="24"/>
          <w:szCs w:val="24"/>
        </w:rPr>
        <w:t xml:space="preserve"> et al, 2010) consumes the majority of runtime required by GTDB</w:t>
      </w:r>
      <w:r w:rsidR="00BF5FC4" w:rsidRPr="00E15729">
        <w:rPr>
          <w:rFonts w:ascii="Times New Roman" w:hAnsi="Times New Roman" w:cs="Times New Roman"/>
          <w:sz w:val="24"/>
          <w:szCs w:val="24"/>
        </w:rPr>
        <w:t>-</w:t>
      </w:r>
      <w:proofErr w:type="spellStart"/>
      <w:r w:rsidR="004D057F" w:rsidRPr="00E15729">
        <w:rPr>
          <w:rFonts w:ascii="Times New Roman" w:hAnsi="Times New Roman" w:cs="Times New Roman"/>
          <w:sz w:val="24"/>
          <w:szCs w:val="24"/>
        </w:rPr>
        <w:t>tk</w:t>
      </w:r>
      <w:proofErr w:type="spellEnd"/>
      <w:r w:rsidR="004D057F" w:rsidRPr="00E15729">
        <w:rPr>
          <w:rFonts w:ascii="Times New Roman" w:hAnsi="Times New Roman" w:cs="Times New Roman"/>
          <w:sz w:val="24"/>
          <w:szCs w:val="24"/>
        </w:rPr>
        <w:t xml:space="preserve">, </w:t>
      </w:r>
      <w:r w:rsidR="0013103B" w:rsidRPr="00E15729">
        <w:rPr>
          <w:rFonts w:ascii="Times New Roman" w:hAnsi="Times New Roman" w:cs="Times New Roman"/>
          <w:sz w:val="24"/>
          <w:szCs w:val="24"/>
        </w:rPr>
        <w:t>taking</w:t>
      </w:r>
      <w:r w:rsidR="004D057F" w:rsidRPr="00E15729">
        <w:rPr>
          <w:rFonts w:ascii="Times New Roman" w:hAnsi="Times New Roman" w:cs="Times New Roman"/>
          <w:sz w:val="24"/>
          <w:szCs w:val="24"/>
        </w:rPr>
        <w:t xml:space="preserve"> an average of 28.1 seconds per archaeal genome and 34.73 seconds per bacterial genome in our</w:t>
      </w:r>
      <w:r w:rsidR="00547004" w:rsidRPr="00E15729">
        <w:rPr>
          <w:rFonts w:ascii="Times New Roman" w:hAnsi="Times New Roman" w:cs="Times New Roman"/>
          <w:sz w:val="24"/>
          <w:szCs w:val="24"/>
        </w:rPr>
        <w:t xml:space="preserve"> three</w:t>
      </w:r>
      <w:r w:rsidR="004D057F" w:rsidRPr="00E15729">
        <w:rPr>
          <w:rFonts w:ascii="Times New Roman" w:hAnsi="Times New Roman" w:cs="Times New Roman"/>
          <w:sz w:val="24"/>
          <w:szCs w:val="24"/>
        </w:rPr>
        <w:t xml:space="preserve"> tests. This is almost as long as the time </w:t>
      </w:r>
      <w:proofErr w:type="spellStart"/>
      <w:r w:rsidR="004D057F" w:rsidRPr="00E15729">
        <w:rPr>
          <w:rFonts w:ascii="Times New Roman" w:hAnsi="Times New Roman" w:cs="Times New Roman"/>
          <w:sz w:val="24"/>
          <w:szCs w:val="24"/>
        </w:rPr>
        <w:t>FastAAI</w:t>
      </w:r>
      <w:proofErr w:type="spellEnd"/>
      <w:r w:rsidR="004D057F" w:rsidRPr="00E15729">
        <w:rPr>
          <w:rFonts w:ascii="Times New Roman" w:hAnsi="Times New Roman" w:cs="Times New Roman"/>
          <w:sz w:val="24"/>
          <w:szCs w:val="24"/>
        </w:rPr>
        <w:t xml:space="preserve"> requires to complete its AAI calculation step for all 100 query genomes, which averaged 40.8 seconds in the three tests.</w:t>
      </w:r>
      <w:r w:rsidR="000B583B" w:rsidRPr="00E15729">
        <w:rPr>
          <w:rFonts w:ascii="Times New Roman" w:hAnsi="Times New Roman" w:cs="Times New Roman"/>
          <w:sz w:val="24"/>
          <w:szCs w:val="24"/>
        </w:rPr>
        <w:t xml:space="preserve"> </w:t>
      </w:r>
      <w:r w:rsidR="000B583B" w:rsidRPr="00E15729">
        <w:rPr>
          <w:rFonts w:ascii="Times New Roman" w:hAnsi="Times New Roman" w:cs="Times New Roman"/>
          <w:sz w:val="24"/>
          <w:szCs w:val="24"/>
        </w:rPr>
        <w:lastRenderedPageBreak/>
        <w:t>GTDB-</w:t>
      </w:r>
      <w:proofErr w:type="spellStart"/>
      <w:r w:rsidR="000B583B" w:rsidRPr="00E15729">
        <w:rPr>
          <w:rFonts w:ascii="Times New Roman" w:hAnsi="Times New Roman" w:cs="Times New Roman"/>
          <w:sz w:val="24"/>
          <w:szCs w:val="24"/>
        </w:rPr>
        <w:t>tk</w:t>
      </w:r>
      <w:proofErr w:type="spellEnd"/>
      <w:r w:rsidR="001135B4" w:rsidRPr="00E15729">
        <w:rPr>
          <w:rFonts w:ascii="Times New Roman" w:hAnsi="Times New Roman" w:cs="Times New Roman"/>
          <w:sz w:val="24"/>
          <w:szCs w:val="24"/>
        </w:rPr>
        <w:t xml:space="preserve"> </w:t>
      </w:r>
      <w:r w:rsidR="00FE0F1C" w:rsidRPr="00E15729">
        <w:rPr>
          <w:rFonts w:ascii="Times New Roman" w:hAnsi="Times New Roman" w:cs="Times New Roman"/>
          <w:sz w:val="24"/>
          <w:szCs w:val="24"/>
        </w:rPr>
        <w:t>will see this ~30 second runtime usage for each genome, no matter how many are searched against its central database</w:t>
      </w:r>
      <w:r w:rsidR="0044161A" w:rsidRPr="00E15729">
        <w:rPr>
          <w:rFonts w:ascii="Times New Roman" w:hAnsi="Times New Roman" w:cs="Times New Roman"/>
          <w:sz w:val="24"/>
          <w:szCs w:val="24"/>
        </w:rPr>
        <w:t>, meaning that</w:t>
      </w:r>
      <w:r w:rsidR="00FE0F1C" w:rsidRPr="00E15729">
        <w:rPr>
          <w:rFonts w:ascii="Times New Roman" w:hAnsi="Times New Roman" w:cs="Times New Roman"/>
          <w:sz w:val="24"/>
          <w:szCs w:val="24"/>
        </w:rPr>
        <w:t xml:space="preserve"> </w:t>
      </w:r>
      <w:proofErr w:type="spellStart"/>
      <w:r w:rsidR="00FE0F1C" w:rsidRPr="00E15729">
        <w:rPr>
          <w:rFonts w:ascii="Times New Roman" w:hAnsi="Times New Roman" w:cs="Times New Roman"/>
          <w:sz w:val="24"/>
          <w:szCs w:val="24"/>
        </w:rPr>
        <w:t>FastAAI</w:t>
      </w:r>
      <w:proofErr w:type="spellEnd"/>
      <w:r w:rsidR="00FE0F1C" w:rsidRPr="00E15729">
        <w:rPr>
          <w:rFonts w:ascii="Times New Roman" w:hAnsi="Times New Roman" w:cs="Times New Roman"/>
          <w:sz w:val="24"/>
          <w:szCs w:val="24"/>
        </w:rPr>
        <w:t xml:space="preserve"> accelerates relative to GTDB with larger </w:t>
      </w:r>
      <w:r w:rsidR="007317E6" w:rsidRPr="00E15729">
        <w:rPr>
          <w:rFonts w:ascii="Times New Roman" w:hAnsi="Times New Roman" w:cs="Times New Roman"/>
          <w:sz w:val="24"/>
          <w:szCs w:val="24"/>
        </w:rPr>
        <w:t>searches</w:t>
      </w:r>
      <w:r w:rsidR="00FE0F1C" w:rsidRPr="00E15729">
        <w:rPr>
          <w:rFonts w:ascii="Times New Roman" w:hAnsi="Times New Roman" w:cs="Times New Roman"/>
          <w:sz w:val="24"/>
          <w:szCs w:val="24"/>
        </w:rPr>
        <w:t xml:space="preserve"> (d</w:t>
      </w:r>
      <w:r w:rsidR="007317E6" w:rsidRPr="00E15729">
        <w:rPr>
          <w:rFonts w:ascii="Times New Roman" w:hAnsi="Times New Roman" w:cs="Times New Roman"/>
          <w:sz w:val="24"/>
          <w:szCs w:val="24"/>
        </w:rPr>
        <w:t xml:space="preserve">etailed </w:t>
      </w:r>
      <w:r w:rsidR="00FE0F1C" w:rsidRPr="00E15729">
        <w:rPr>
          <w:rFonts w:ascii="Times New Roman" w:hAnsi="Times New Roman" w:cs="Times New Roman"/>
          <w:sz w:val="24"/>
          <w:szCs w:val="24"/>
        </w:rPr>
        <w:t>in</w:t>
      </w:r>
      <w:r w:rsidR="007317E6" w:rsidRPr="00E15729">
        <w:rPr>
          <w:rFonts w:ascii="Times New Roman" w:hAnsi="Times New Roman" w:cs="Times New Roman"/>
          <w:sz w:val="24"/>
          <w:szCs w:val="24"/>
        </w:rPr>
        <w:t xml:space="preserve"> Table </w:t>
      </w:r>
      <w:r w:rsidR="0069299C" w:rsidRPr="00E15729">
        <w:rPr>
          <w:rFonts w:ascii="Times New Roman" w:hAnsi="Times New Roman" w:cs="Times New Roman"/>
          <w:sz w:val="24"/>
          <w:szCs w:val="24"/>
        </w:rPr>
        <w:t>S2</w:t>
      </w:r>
      <w:r w:rsidR="00FE0F1C" w:rsidRPr="00E15729">
        <w:rPr>
          <w:rFonts w:ascii="Times New Roman" w:hAnsi="Times New Roman" w:cs="Times New Roman"/>
          <w:sz w:val="24"/>
          <w:szCs w:val="24"/>
        </w:rPr>
        <w:t>)</w:t>
      </w:r>
      <w:r w:rsidR="0044161A" w:rsidRPr="00E15729">
        <w:rPr>
          <w:rFonts w:ascii="Times New Roman" w:hAnsi="Times New Roman" w:cs="Times New Roman"/>
          <w:sz w:val="24"/>
          <w:szCs w:val="24"/>
        </w:rPr>
        <w:t xml:space="preserve">. </w:t>
      </w:r>
      <w:r w:rsidR="00E10E3D" w:rsidRPr="00E15729">
        <w:rPr>
          <w:rFonts w:ascii="Times New Roman" w:hAnsi="Times New Roman" w:cs="Times New Roman"/>
          <w:sz w:val="24"/>
          <w:szCs w:val="24"/>
        </w:rPr>
        <w:t>T</w:t>
      </w:r>
      <w:r w:rsidR="0044161A" w:rsidRPr="00E15729">
        <w:rPr>
          <w:rFonts w:ascii="Times New Roman" w:hAnsi="Times New Roman" w:cs="Times New Roman"/>
          <w:sz w:val="24"/>
          <w:szCs w:val="24"/>
        </w:rPr>
        <w:t xml:space="preserve">he largest </w:t>
      </w:r>
      <w:proofErr w:type="spellStart"/>
      <w:r w:rsidR="0044161A" w:rsidRPr="00E15729">
        <w:rPr>
          <w:rFonts w:ascii="Times New Roman" w:hAnsi="Times New Roman" w:cs="Times New Roman"/>
          <w:sz w:val="24"/>
          <w:szCs w:val="24"/>
        </w:rPr>
        <w:t>FastAAI</w:t>
      </w:r>
      <w:proofErr w:type="spellEnd"/>
      <w:r w:rsidR="0044161A" w:rsidRPr="00E15729">
        <w:rPr>
          <w:rFonts w:ascii="Times New Roman" w:hAnsi="Times New Roman" w:cs="Times New Roman"/>
          <w:sz w:val="24"/>
          <w:szCs w:val="24"/>
        </w:rPr>
        <w:t xml:space="preserve"> test </w:t>
      </w:r>
      <w:r w:rsidR="00E10E3D" w:rsidRPr="00E15729">
        <w:rPr>
          <w:rFonts w:ascii="Times New Roman" w:hAnsi="Times New Roman" w:cs="Times New Roman"/>
          <w:sz w:val="24"/>
          <w:szCs w:val="24"/>
        </w:rPr>
        <w:t xml:space="preserve">starting </w:t>
      </w:r>
      <w:r w:rsidR="0044161A" w:rsidRPr="00E15729">
        <w:rPr>
          <w:rFonts w:ascii="Times New Roman" w:hAnsi="Times New Roman" w:cs="Times New Roman"/>
          <w:sz w:val="24"/>
          <w:szCs w:val="24"/>
        </w:rPr>
        <w:t xml:space="preserve">from a database (that is, excluding protein prediction and HMM searching), </w:t>
      </w:r>
      <w:proofErr w:type="spellStart"/>
      <w:r w:rsidR="00E10E3D" w:rsidRPr="00E15729">
        <w:rPr>
          <w:rFonts w:ascii="Times New Roman" w:hAnsi="Times New Roman" w:cs="Times New Roman"/>
          <w:sz w:val="24"/>
          <w:szCs w:val="24"/>
        </w:rPr>
        <w:t>FastAAI</w:t>
      </w:r>
      <w:proofErr w:type="spellEnd"/>
      <w:r w:rsidR="00E10E3D" w:rsidRPr="00E15729">
        <w:rPr>
          <w:rFonts w:ascii="Times New Roman" w:hAnsi="Times New Roman" w:cs="Times New Roman"/>
          <w:sz w:val="24"/>
          <w:szCs w:val="24"/>
        </w:rPr>
        <w:t xml:space="preserve"> required</w:t>
      </w:r>
      <w:r w:rsidR="0044161A" w:rsidRPr="00E15729">
        <w:rPr>
          <w:rFonts w:ascii="Times New Roman" w:hAnsi="Times New Roman" w:cs="Times New Roman"/>
          <w:sz w:val="24"/>
          <w:szCs w:val="24"/>
        </w:rPr>
        <w:t xml:space="preserve"> 10</w:t>
      </w:r>
      <w:r w:rsidR="009E4071" w:rsidRPr="00E15729">
        <w:rPr>
          <w:rFonts w:ascii="Times New Roman" w:hAnsi="Times New Roman" w:cs="Times New Roman"/>
          <w:sz w:val="24"/>
          <w:szCs w:val="24"/>
        </w:rPr>
        <w:t xml:space="preserve"> hours, </w:t>
      </w:r>
      <w:r w:rsidR="0044161A" w:rsidRPr="00E15729">
        <w:rPr>
          <w:rFonts w:ascii="Times New Roman" w:hAnsi="Times New Roman" w:cs="Times New Roman"/>
          <w:sz w:val="24"/>
          <w:szCs w:val="24"/>
        </w:rPr>
        <w:t>33</w:t>
      </w:r>
      <w:r w:rsidR="003953D1" w:rsidRPr="00E15729">
        <w:rPr>
          <w:rFonts w:ascii="Times New Roman" w:hAnsi="Times New Roman" w:cs="Times New Roman"/>
          <w:sz w:val="24"/>
          <w:szCs w:val="24"/>
        </w:rPr>
        <w:t xml:space="preserve"> </w:t>
      </w:r>
      <w:r w:rsidR="009E4071" w:rsidRPr="00E15729">
        <w:rPr>
          <w:rFonts w:ascii="Times New Roman" w:hAnsi="Times New Roman" w:cs="Times New Roman"/>
          <w:sz w:val="24"/>
          <w:szCs w:val="24"/>
        </w:rPr>
        <w:t>minutes</w:t>
      </w:r>
      <w:r w:rsidR="003953D1" w:rsidRPr="00E15729">
        <w:rPr>
          <w:rFonts w:ascii="Times New Roman" w:hAnsi="Times New Roman" w:cs="Times New Roman"/>
          <w:sz w:val="24"/>
          <w:szCs w:val="24"/>
        </w:rPr>
        <w:t>, and</w:t>
      </w:r>
      <w:r w:rsidR="009E4071" w:rsidRPr="00E15729">
        <w:rPr>
          <w:rFonts w:ascii="Times New Roman" w:hAnsi="Times New Roman" w:cs="Times New Roman"/>
          <w:sz w:val="24"/>
          <w:szCs w:val="24"/>
        </w:rPr>
        <w:t xml:space="preserve"> </w:t>
      </w:r>
      <w:r w:rsidR="0044161A" w:rsidRPr="00E15729">
        <w:rPr>
          <w:rFonts w:ascii="Times New Roman" w:hAnsi="Times New Roman" w:cs="Times New Roman"/>
          <w:sz w:val="24"/>
          <w:szCs w:val="24"/>
        </w:rPr>
        <w:t>7</w:t>
      </w:r>
      <w:r w:rsidR="009E4071" w:rsidRPr="00E15729">
        <w:rPr>
          <w:rFonts w:ascii="Times New Roman" w:hAnsi="Times New Roman" w:cs="Times New Roman"/>
          <w:sz w:val="24"/>
          <w:szCs w:val="24"/>
        </w:rPr>
        <w:t xml:space="preserve"> seconds</w:t>
      </w:r>
      <w:r w:rsidR="0044161A" w:rsidRPr="00E15729">
        <w:rPr>
          <w:rFonts w:ascii="Times New Roman" w:hAnsi="Times New Roman" w:cs="Times New Roman"/>
          <w:sz w:val="24"/>
          <w:szCs w:val="24"/>
        </w:rPr>
        <w:t xml:space="preserve"> CPU time to complete</w:t>
      </w:r>
      <w:r w:rsidR="00E10E3D" w:rsidRPr="00E15729">
        <w:rPr>
          <w:rFonts w:ascii="Times New Roman" w:hAnsi="Times New Roman" w:cs="Times New Roman"/>
          <w:sz w:val="24"/>
          <w:szCs w:val="24"/>
        </w:rPr>
        <w:t xml:space="preserve"> a 47,894 by 47,894 search of entire set of representative genomes used by GTDB-tk.</w:t>
      </w:r>
      <w:r w:rsidR="0044161A" w:rsidRPr="00E15729">
        <w:rPr>
          <w:rFonts w:ascii="Times New Roman" w:hAnsi="Times New Roman" w:cs="Times New Roman"/>
          <w:sz w:val="24"/>
          <w:szCs w:val="24"/>
        </w:rPr>
        <w:t xml:space="preserve"> </w:t>
      </w:r>
      <w:r w:rsidR="00E10E3D" w:rsidRPr="00E15729">
        <w:rPr>
          <w:rFonts w:ascii="Times New Roman" w:hAnsi="Times New Roman" w:cs="Times New Roman"/>
          <w:sz w:val="24"/>
          <w:szCs w:val="24"/>
        </w:rPr>
        <w:t xml:space="preserve">Using our average runtimes, we can estimate the CPU time required for just the placement of genomes with </w:t>
      </w:r>
      <w:proofErr w:type="spellStart"/>
      <w:r w:rsidR="00E10E3D" w:rsidRPr="00E15729">
        <w:rPr>
          <w:rFonts w:ascii="Times New Roman" w:hAnsi="Times New Roman" w:cs="Times New Roman"/>
          <w:sz w:val="24"/>
          <w:szCs w:val="24"/>
        </w:rPr>
        <w:t>pplacer</w:t>
      </w:r>
      <w:proofErr w:type="spellEnd"/>
      <w:r w:rsidR="00E10E3D" w:rsidRPr="00E15729">
        <w:rPr>
          <w:rFonts w:ascii="Times New Roman" w:hAnsi="Times New Roman" w:cs="Times New Roman"/>
          <w:sz w:val="24"/>
          <w:szCs w:val="24"/>
        </w:rPr>
        <w:t xml:space="preserve"> for this same </w:t>
      </w:r>
      <w:r w:rsidR="00B41198" w:rsidRPr="00E15729">
        <w:rPr>
          <w:rFonts w:ascii="Times New Roman" w:hAnsi="Times New Roman" w:cs="Times New Roman"/>
          <w:sz w:val="24"/>
          <w:szCs w:val="24"/>
        </w:rPr>
        <w:t>dataset</w:t>
      </w:r>
      <w:r w:rsidR="00E10E3D" w:rsidRPr="00E15729">
        <w:rPr>
          <w:rFonts w:ascii="Times New Roman" w:hAnsi="Times New Roman" w:cs="Times New Roman"/>
          <w:sz w:val="24"/>
          <w:szCs w:val="24"/>
        </w:rPr>
        <w:t>: as there are 45,555 bacterial genomes and 2,339 archaeal genomes in this set, we would estimate</w:t>
      </w:r>
      <w:r w:rsidR="00F40CCB" w:rsidRPr="00E15729">
        <w:rPr>
          <w:rFonts w:ascii="Times New Roman" w:hAnsi="Times New Roman" w:cs="Times New Roman"/>
          <w:sz w:val="24"/>
          <w:szCs w:val="24"/>
        </w:rPr>
        <w:t xml:space="preserve"> a total CPU time of 457 hours, 44 minutes, and 1</w:t>
      </w:r>
      <w:r w:rsidR="002A020A" w:rsidRPr="00E15729">
        <w:rPr>
          <w:rFonts w:ascii="Times New Roman" w:hAnsi="Times New Roman" w:cs="Times New Roman"/>
          <w:sz w:val="24"/>
          <w:szCs w:val="24"/>
        </w:rPr>
        <w:t>1</w:t>
      </w:r>
      <w:r w:rsidR="00F40CCB" w:rsidRPr="00E15729">
        <w:rPr>
          <w:rFonts w:ascii="Times New Roman" w:hAnsi="Times New Roman" w:cs="Times New Roman"/>
          <w:sz w:val="24"/>
          <w:szCs w:val="24"/>
        </w:rPr>
        <w:t xml:space="preserve"> seconds</w:t>
      </w:r>
      <w:r w:rsidR="00683478" w:rsidRPr="00E15729">
        <w:rPr>
          <w:rFonts w:ascii="Times New Roman" w:hAnsi="Times New Roman" w:cs="Times New Roman"/>
          <w:sz w:val="24"/>
          <w:szCs w:val="24"/>
        </w:rPr>
        <w:t xml:space="preserve"> using our averages</w:t>
      </w:r>
      <w:r w:rsidR="00F40CCB" w:rsidRPr="00E15729">
        <w:rPr>
          <w:rFonts w:ascii="Times New Roman" w:hAnsi="Times New Roman" w:cs="Times New Roman"/>
          <w:sz w:val="24"/>
          <w:szCs w:val="24"/>
        </w:rPr>
        <w:t>.</w:t>
      </w:r>
      <w:r w:rsidR="0045088B" w:rsidRPr="00E15729">
        <w:rPr>
          <w:rFonts w:ascii="Times New Roman" w:hAnsi="Times New Roman" w:cs="Times New Roman"/>
          <w:sz w:val="24"/>
          <w:szCs w:val="24"/>
        </w:rPr>
        <w:t xml:space="preserve"> Note that this is not the sole component of GTDB’s runtime, meaning that this figure is a significant underestimate of the total runtime for this task.</w:t>
      </w:r>
    </w:p>
    <w:p w14:paraId="5AA3C12D" w14:textId="3853714C" w:rsidR="00CF091D" w:rsidRPr="00E15729" w:rsidRDefault="00CF091D" w:rsidP="003D4EEC">
      <w:pPr>
        <w:spacing w:line="480" w:lineRule="auto"/>
        <w:ind w:firstLine="720"/>
        <w:jc w:val="both"/>
        <w:rPr>
          <w:rFonts w:ascii="Times New Roman" w:hAnsi="Times New Roman" w:cs="Times New Roman"/>
          <w:sz w:val="24"/>
          <w:szCs w:val="24"/>
        </w:rPr>
      </w:pPr>
    </w:p>
    <w:p w14:paraId="36556BF8" w14:textId="77777777" w:rsidR="00CF091D" w:rsidRPr="00E15729" w:rsidRDefault="00CF091D" w:rsidP="00CF091D">
      <w:pPr>
        <w:spacing w:line="480" w:lineRule="auto"/>
        <w:jc w:val="both"/>
        <w:rPr>
          <w:rFonts w:ascii="Times New Roman" w:hAnsi="Times New Roman" w:cs="Times New Roman"/>
          <w:b/>
          <w:bCs/>
          <w:sz w:val="24"/>
          <w:szCs w:val="24"/>
        </w:rPr>
      </w:pPr>
      <w:r w:rsidRPr="00E15729">
        <w:rPr>
          <w:rFonts w:ascii="Times New Roman" w:hAnsi="Times New Roman" w:cs="Times New Roman"/>
          <w:b/>
          <w:bCs/>
          <w:i/>
          <w:iCs/>
          <w:sz w:val="24"/>
          <w:szCs w:val="24"/>
        </w:rPr>
        <w:t xml:space="preserve">Taxonomic classifications with </w:t>
      </w:r>
      <w:proofErr w:type="spellStart"/>
      <w:r w:rsidRPr="00E15729">
        <w:rPr>
          <w:rFonts w:ascii="Times New Roman" w:hAnsi="Times New Roman" w:cs="Times New Roman"/>
          <w:b/>
          <w:bCs/>
          <w:i/>
          <w:iCs/>
          <w:sz w:val="24"/>
          <w:szCs w:val="24"/>
        </w:rPr>
        <w:t>FastAAI</w:t>
      </w:r>
      <w:proofErr w:type="spellEnd"/>
      <w:r w:rsidRPr="00E15729">
        <w:rPr>
          <w:rFonts w:ascii="Times New Roman" w:hAnsi="Times New Roman" w:cs="Times New Roman"/>
          <w:b/>
          <w:bCs/>
          <w:i/>
          <w:iCs/>
          <w:sz w:val="24"/>
          <w:szCs w:val="24"/>
        </w:rPr>
        <w:t xml:space="preserve"> are robust and reliable from genus to domain levels </w:t>
      </w:r>
    </w:p>
    <w:p w14:paraId="061BEC27" w14:textId="28236E39" w:rsidR="00CF091D" w:rsidRPr="00E15729" w:rsidRDefault="00CF091D" w:rsidP="00CF091D">
      <w:pPr>
        <w:spacing w:line="480" w:lineRule="auto"/>
        <w:ind w:firstLine="720"/>
        <w:jc w:val="both"/>
        <w:rPr>
          <w:rFonts w:ascii="Times New Roman" w:hAnsi="Times New Roman" w:cs="Times New Roman"/>
          <w:sz w:val="24"/>
          <w:szCs w:val="24"/>
        </w:rPr>
      </w:pPr>
      <w:r w:rsidRPr="00E15729">
        <w:rPr>
          <w:rFonts w:ascii="Times New Roman" w:hAnsi="Times New Roman" w:cs="Times New Roman"/>
          <w:sz w:val="24"/>
          <w:szCs w:val="24"/>
        </w:rPr>
        <w:t xml:space="preserve">To further characterize the classification performance of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we classified all </w:t>
      </w:r>
      <w:proofErr w:type="spellStart"/>
      <w:r w:rsidRPr="00E15729">
        <w:rPr>
          <w:rFonts w:ascii="Times New Roman" w:hAnsi="Times New Roman" w:cs="Times New Roman"/>
          <w:sz w:val="24"/>
          <w:szCs w:val="24"/>
        </w:rPr>
        <w:t>RefSeq</w:t>
      </w:r>
      <w:proofErr w:type="spellEnd"/>
      <w:r w:rsidRPr="00E15729">
        <w:rPr>
          <w:rFonts w:ascii="Times New Roman" w:hAnsi="Times New Roman" w:cs="Times New Roman"/>
          <w:sz w:val="24"/>
          <w:szCs w:val="24"/>
        </w:rPr>
        <w:t xml:space="preserve"> genomes using the </w:t>
      </w:r>
      <w:proofErr w:type="spellStart"/>
      <w:r w:rsidRPr="00E15729">
        <w:rPr>
          <w:rFonts w:ascii="Times New Roman" w:hAnsi="Times New Roman" w:cs="Times New Roman"/>
          <w:sz w:val="24"/>
          <w:szCs w:val="24"/>
        </w:rPr>
        <w:t>TypeMat</w:t>
      </w:r>
      <w:proofErr w:type="spellEnd"/>
      <w:r w:rsidRPr="00E15729">
        <w:rPr>
          <w:rFonts w:ascii="Times New Roman" w:hAnsi="Times New Roman" w:cs="Times New Roman"/>
          <w:sz w:val="24"/>
          <w:szCs w:val="24"/>
        </w:rPr>
        <w:t xml:space="preserve"> dataset as reference. Our results indicated that identity thresholds derived from </w:t>
      </w:r>
      <m:oMath>
        <m:acc>
          <m:accPr>
            <m:ctrlPr>
              <w:rPr>
                <w:rFonts w:ascii="Cambria Math" w:hAnsi="Cambria Math" w:cs="Times New Roman"/>
                <w:i/>
                <w:sz w:val="24"/>
                <w:szCs w:val="24"/>
              </w:rPr>
            </m:ctrlPr>
          </m:accPr>
          <m:e>
            <m:r>
              <w:rPr>
                <w:rFonts w:ascii="Cambria Math" w:hAnsi="Cambria Math" w:cs="Times New Roman"/>
                <w:sz w:val="24"/>
                <w:szCs w:val="24"/>
              </w:rPr>
              <m:t>AAI</m:t>
            </m:r>
          </m:e>
        </m:acc>
      </m:oMath>
      <w:r w:rsidRPr="00E15729">
        <w:rPr>
          <w:rFonts w:ascii="Times New Roman" w:hAnsi="Times New Roman" w:cs="Times New Roman"/>
          <w:sz w:val="24"/>
          <w:szCs w:val="24"/>
        </w:rPr>
        <w:t xml:space="preserve"> values can robustly discriminate genomes from domain to genus in most cases (Figure </w:t>
      </w:r>
      <w:r w:rsidR="00BD22E2" w:rsidRPr="00E15729">
        <w:rPr>
          <w:rFonts w:ascii="Times New Roman" w:hAnsi="Times New Roman" w:cs="Times New Roman"/>
          <w:sz w:val="24"/>
          <w:szCs w:val="24"/>
        </w:rPr>
        <w:t>2</w:t>
      </w:r>
      <w:r w:rsidRPr="00E15729">
        <w:rPr>
          <w:rFonts w:ascii="Times New Roman" w:hAnsi="Times New Roman" w:cs="Times New Roman"/>
          <w:sz w:val="24"/>
          <w:szCs w:val="24"/>
        </w:rPr>
        <w:t xml:space="preserve">). Table </w:t>
      </w:r>
      <w:r w:rsidR="002951DD" w:rsidRPr="00E15729">
        <w:rPr>
          <w:rFonts w:ascii="Times New Roman" w:hAnsi="Times New Roman" w:cs="Times New Roman"/>
          <w:sz w:val="24"/>
          <w:szCs w:val="24"/>
        </w:rPr>
        <w:t>S2</w:t>
      </w:r>
      <w:r w:rsidRPr="00E15729">
        <w:rPr>
          <w:rFonts w:ascii="Times New Roman" w:hAnsi="Times New Roman" w:cs="Times New Roman"/>
          <w:sz w:val="24"/>
          <w:szCs w:val="24"/>
        </w:rPr>
        <w:t xml:space="preserve"> shows the average precision, recall, and F1 estimated for each threshold and taxonomic rank as described in the Methods section. As expected, based on the results presented above (e.g., Figure 1),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had a near-perfect F1 score when discriminating between </w:t>
      </w:r>
      <w:r w:rsidRPr="00E15729">
        <w:rPr>
          <w:rFonts w:ascii="Times New Roman" w:hAnsi="Times New Roman" w:cs="Times New Roman"/>
          <w:i/>
          <w:iCs/>
          <w:sz w:val="24"/>
          <w:szCs w:val="24"/>
        </w:rPr>
        <w:t>Bacteria</w:t>
      </w:r>
      <w:r w:rsidRPr="00E15729">
        <w:rPr>
          <w:rFonts w:ascii="Times New Roman" w:hAnsi="Times New Roman" w:cs="Times New Roman"/>
          <w:sz w:val="24"/>
          <w:szCs w:val="24"/>
        </w:rPr>
        <w:t xml:space="preserve"> and </w:t>
      </w:r>
      <w:r w:rsidRPr="00E15729">
        <w:rPr>
          <w:rFonts w:ascii="Times New Roman" w:hAnsi="Times New Roman" w:cs="Times New Roman"/>
          <w:i/>
          <w:iCs/>
          <w:sz w:val="24"/>
          <w:szCs w:val="24"/>
        </w:rPr>
        <w:t>Archaea</w:t>
      </w:r>
      <w:r w:rsidRPr="00E15729">
        <w:rPr>
          <w:rFonts w:ascii="Times New Roman" w:hAnsi="Times New Roman" w:cs="Times New Roman"/>
          <w:sz w:val="24"/>
          <w:szCs w:val="24"/>
        </w:rPr>
        <w:t xml:space="preserve"> (F1 0.99). However, the F1 score continuously decreased at lower taxonomic ranks, reaching 0.41 for genus. For order, family, and genus, we observed the precision values below 0.6 drove the decrease in F1 scores. Given that precision is dependent on false positives, these results indicated that there was a significant fraction of genomes classified in different taxa but with </w:t>
      </w:r>
      <m:oMath>
        <m:acc>
          <m:accPr>
            <m:ctrlPr>
              <w:rPr>
                <w:rFonts w:ascii="Cambria Math" w:hAnsi="Cambria Math" w:cs="Times New Roman"/>
                <w:i/>
                <w:sz w:val="24"/>
                <w:szCs w:val="24"/>
              </w:rPr>
            </m:ctrlPr>
          </m:accPr>
          <m:e>
            <m:r>
              <w:rPr>
                <w:rFonts w:ascii="Cambria Math" w:hAnsi="Cambria Math" w:cs="Times New Roman"/>
                <w:sz w:val="24"/>
                <w:szCs w:val="24"/>
              </w:rPr>
              <m:t>AAI</m:t>
            </m:r>
          </m:e>
        </m:acc>
      </m:oMath>
      <w:r w:rsidRPr="00E15729">
        <w:rPr>
          <w:rFonts w:ascii="Times New Roman" w:eastAsiaTheme="minorEastAsia" w:hAnsi="Times New Roman" w:cs="Times New Roman"/>
          <w:sz w:val="24"/>
          <w:szCs w:val="24"/>
        </w:rPr>
        <w:t xml:space="preserve"> values higher than the threshold to separate the genomes into these different taxa. This was</w:t>
      </w:r>
      <w:r w:rsidRPr="00E15729">
        <w:rPr>
          <w:rFonts w:ascii="Times New Roman" w:hAnsi="Times New Roman" w:cs="Times New Roman"/>
          <w:sz w:val="24"/>
          <w:szCs w:val="24"/>
        </w:rPr>
        <w:t xml:space="preserve"> </w:t>
      </w:r>
      <w:r w:rsidRPr="00E15729">
        <w:rPr>
          <w:rFonts w:ascii="Times New Roman" w:hAnsi="Times New Roman" w:cs="Times New Roman"/>
          <w:sz w:val="24"/>
          <w:szCs w:val="24"/>
        </w:rPr>
        <w:lastRenderedPageBreak/>
        <w:t>expected, considering the large overlaps of adjacent taxonomic ranks (Figure 2C).</w:t>
      </w:r>
      <w:r w:rsidRPr="00E15729">
        <w:rPr>
          <w:rFonts w:ascii="Times New Roman" w:eastAsiaTheme="minorEastAsia" w:hAnsi="Times New Roman" w:cs="Times New Roman"/>
          <w:sz w:val="24"/>
          <w:szCs w:val="24"/>
        </w:rPr>
        <w:t xml:space="preserve"> Thus, lower F1 score is largely </w:t>
      </w:r>
      <w:r w:rsidRPr="00E15729">
        <w:rPr>
          <w:rFonts w:ascii="Times New Roman" w:hAnsi="Times New Roman" w:cs="Times New Roman"/>
          <w:sz w:val="24"/>
          <w:szCs w:val="24"/>
        </w:rPr>
        <w:t xml:space="preserve">attributable to how organisms have been historically classified using other criteria in addition to (or instead of) solely genome relatedness information. For instance, </w:t>
      </w:r>
      <w:r w:rsidRPr="00E15729">
        <w:rPr>
          <w:rFonts w:ascii="Times New Roman" w:hAnsi="Times New Roman" w:cs="Times New Roman"/>
          <w:i/>
          <w:iCs/>
          <w:sz w:val="24"/>
          <w:szCs w:val="24"/>
        </w:rPr>
        <w:t>Escherichia</w:t>
      </w:r>
      <w:r w:rsidRPr="00E15729">
        <w:rPr>
          <w:rFonts w:ascii="Times New Roman" w:hAnsi="Times New Roman" w:cs="Times New Roman"/>
          <w:sz w:val="24"/>
          <w:szCs w:val="24"/>
        </w:rPr>
        <w:t xml:space="preserve"> </w:t>
      </w:r>
      <w:r w:rsidRPr="00E15729">
        <w:rPr>
          <w:rFonts w:ascii="Times New Roman" w:hAnsi="Times New Roman" w:cs="Times New Roman"/>
          <w:i/>
          <w:iCs/>
          <w:sz w:val="24"/>
          <w:szCs w:val="24"/>
        </w:rPr>
        <w:t>coli</w:t>
      </w:r>
      <w:r w:rsidRPr="00E15729">
        <w:rPr>
          <w:rFonts w:ascii="Times New Roman" w:hAnsi="Times New Roman" w:cs="Times New Roman"/>
          <w:sz w:val="24"/>
          <w:szCs w:val="24"/>
        </w:rPr>
        <w:t xml:space="preserve"> and </w:t>
      </w:r>
      <w:r w:rsidRPr="00E15729">
        <w:rPr>
          <w:rFonts w:ascii="Times New Roman" w:hAnsi="Times New Roman" w:cs="Times New Roman"/>
          <w:i/>
          <w:iCs/>
          <w:sz w:val="24"/>
          <w:szCs w:val="24"/>
        </w:rPr>
        <w:t xml:space="preserve">Shigella </w:t>
      </w:r>
      <w:r w:rsidRPr="00E15729">
        <w:rPr>
          <w:rFonts w:ascii="Times New Roman" w:hAnsi="Times New Roman" w:cs="Times New Roman"/>
          <w:sz w:val="24"/>
          <w:szCs w:val="24"/>
        </w:rPr>
        <w:t xml:space="preserve">spp. are assigned to different genera even though their AAI values are above 95% (the species threshold). Similar results can be observed for other bacterial groups such as </w:t>
      </w:r>
      <w:r w:rsidRPr="00E15729">
        <w:rPr>
          <w:rFonts w:ascii="Times New Roman" w:hAnsi="Times New Roman" w:cs="Times New Roman"/>
          <w:i/>
          <w:iCs/>
          <w:sz w:val="24"/>
          <w:szCs w:val="24"/>
        </w:rPr>
        <w:t xml:space="preserve">Prochlorococcus marinus </w:t>
      </w:r>
      <w:r w:rsidRPr="00E15729">
        <w:rPr>
          <w:rFonts w:ascii="Times New Roman" w:hAnsi="Times New Roman" w:cs="Times New Roman"/>
          <w:sz w:val="24"/>
          <w:szCs w:val="24"/>
        </w:rPr>
        <w:t>and members of the SAR11 clade, consistent with what was reported previously for these taxa</w:t>
      </w:r>
      <w:r w:rsidR="00B52CA5">
        <w:rPr>
          <w:rFonts w:ascii="Times New Roman" w:hAnsi="Times New Roman" w:cs="Times New Roman"/>
          <w:sz w:val="24"/>
          <w:szCs w:val="24"/>
          <w:vertAlign w:val="superscript"/>
        </w:rPr>
        <w:t>4, 5</w:t>
      </w:r>
      <w:r w:rsidR="00E232D2">
        <w:rPr>
          <w:rFonts w:ascii="Times New Roman" w:hAnsi="Times New Roman" w:cs="Times New Roman"/>
          <w:sz w:val="24"/>
          <w:szCs w:val="24"/>
          <w:vertAlign w:val="superscript"/>
        </w:rPr>
        <w:t>,</w:t>
      </w:r>
      <w:r w:rsidR="00E232D2" w:rsidRPr="00E232D2">
        <w:rPr>
          <w:rFonts w:ascii="Times New Roman" w:hAnsi="Times New Roman" w:cs="Times New Roman"/>
          <w:sz w:val="24"/>
          <w:szCs w:val="24"/>
          <w:vertAlign w:val="superscript"/>
        </w:rPr>
        <w:t xml:space="preserve"> </w:t>
      </w:r>
      <w:r w:rsidR="00E232D2" w:rsidRPr="00E37DD1">
        <w:rPr>
          <w:rFonts w:ascii="Times New Roman" w:hAnsi="Times New Roman" w:cs="Times New Roman"/>
          <w:sz w:val="24"/>
          <w:szCs w:val="24"/>
          <w:vertAlign w:val="superscript"/>
        </w:rPr>
        <w:t>6</w:t>
      </w:r>
      <w:r w:rsidRPr="00E15729">
        <w:rPr>
          <w:rFonts w:ascii="Times New Roman" w:hAnsi="Times New Roman" w:cs="Times New Roman"/>
          <w:sz w:val="24"/>
          <w:szCs w:val="24"/>
        </w:rPr>
        <w:t xml:space="preserve">. </w:t>
      </w:r>
      <w:r w:rsidRPr="00E15729">
        <w:rPr>
          <w:rFonts w:ascii="Times New Roman" w:eastAsiaTheme="minorEastAsia" w:hAnsi="Times New Roman" w:cs="Times New Roman"/>
          <w:sz w:val="24"/>
          <w:szCs w:val="24"/>
        </w:rPr>
        <w:t xml:space="preserve">Nonetheless, it is encouraging to find that the </w:t>
      </w:r>
      <w:proofErr w:type="spellStart"/>
      <w:r w:rsidRPr="00E15729">
        <w:rPr>
          <w:rFonts w:ascii="Times New Roman" w:eastAsiaTheme="minorEastAsia" w:hAnsi="Times New Roman" w:cs="Times New Roman"/>
          <w:sz w:val="24"/>
          <w:szCs w:val="24"/>
        </w:rPr>
        <w:t>FastAAI</w:t>
      </w:r>
      <w:proofErr w:type="spellEnd"/>
      <w:r w:rsidRPr="00E15729">
        <w:rPr>
          <w:rFonts w:ascii="Times New Roman" w:eastAsiaTheme="minorEastAsia" w:hAnsi="Times New Roman" w:cs="Times New Roman"/>
          <w:sz w:val="24"/>
          <w:szCs w:val="24"/>
        </w:rPr>
        <w:t xml:space="preserve"> rank-specific thresholds were largely consistent with standing microbial nomenclature and thus, these thresholds could be reliably used to obtain preliminary classifications of novel, query genomes in the future.</w:t>
      </w:r>
      <w:r w:rsidRPr="00E15729">
        <w:rPr>
          <w:rFonts w:ascii="Times New Roman" w:hAnsi="Times New Roman" w:cs="Times New Roman"/>
          <w:sz w:val="24"/>
          <w:szCs w:val="24"/>
        </w:rPr>
        <w:t xml:space="preserve"> We also compare the consistency and overlap between genomes in terms of their lowest shared taxonomic rank and the estimated threshold for the rank as determined by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using the GTDB (instead of </w:t>
      </w:r>
      <w:proofErr w:type="spellStart"/>
      <w:r w:rsidRPr="00E15729">
        <w:rPr>
          <w:rFonts w:ascii="Times New Roman" w:hAnsi="Times New Roman" w:cs="Times New Roman"/>
          <w:sz w:val="24"/>
          <w:szCs w:val="24"/>
        </w:rPr>
        <w:t>TypeMat</w:t>
      </w:r>
      <w:proofErr w:type="spellEnd"/>
      <w:r w:rsidRPr="00E15729">
        <w:rPr>
          <w:rFonts w:ascii="Times New Roman" w:hAnsi="Times New Roman" w:cs="Times New Roman"/>
          <w:sz w:val="24"/>
          <w:szCs w:val="24"/>
        </w:rPr>
        <w:t>) taxonomic database against the results obtained with the method of GTDB (</w:t>
      </w:r>
      <w:proofErr w:type="spellStart"/>
      <w:r w:rsidRPr="00E15729">
        <w:rPr>
          <w:rFonts w:ascii="Times New Roman" w:hAnsi="Times New Roman" w:cs="Times New Roman"/>
          <w:sz w:val="24"/>
          <w:szCs w:val="24"/>
        </w:rPr>
        <w:t>GTDBtk</w:t>
      </w:r>
      <w:proofErr w:type="spellEnd"/>
      <w:r w:rsidRPr="00E15729">
        <w:rPr>
          <w:rFonts w:ascii="Times New Roman" w:hAnsi="Times New Roman" w:cs="Times New Roman"/>
          <w:sz w:val="24"/>
          <w:szCs w:val="24"/>
        </w:rPr>
        <w:t xml:space="preserve">). </w:t>
      </w:r>
      <w:proofErr w:type="spellStart"/>
      <w:r w:rsidRPr="00E15729">
        <w:rPr>
          <w:rFonts w:ascii="Times New Roman" w:hAnsi="Times New Roman" w:cs="Times New Roman"/>
          <w:sz w:val="24"/>
          <w:szCs w:val="24"/>
        </w:rPr>
        <w:t>GTDBtk</w:t>
      </w:r>
      <w:proofErr w:type="spellEnd"/>
      <w:r w:rsidRPr="00E15729">
        <w:rPr>
          <w:rFonts w:ascii="Times New Roman" w:hAnsi="Times New Roman" w:cs="Times New Roman"/>
          <w:sz w:val="24"/>
          <w:szCs w:val="24"/>
        </w:rPr>
        <w:t xml:space="preserve"> classifies genomes using a combination of </w:t>
      </w:r>
      <w:proofErr w:type="spellStart"/>
      <w:r w:rsidRPr="00E15729">
        <w:rPr>
          <w:rFonts w:ascii="Times New Roman" w:hAnsi="Times New Roman" w:cs="Times New Roman"/>
          <w:sz w:val="24"/>
          <w:szCs w:val="24"/>
        </w:rPr>
        <w:t>FastANI</w:t>
      </w:r>
      <w:proofErr w:type="spellEnd"/>
      <w:r w:rsidRPr="00E15729">
        <w:rPr>
          <w:rFonts w:ascii="Times New Roman" w:hAnsi="Times New Roman" w:cs="Times New Roman"/>
          <w:sz w:val="24"/>
          <w:szCs w:val="24"/>
        </w:rPr>
        <w:t xml:space="preserve">, phylogenetic placement of the query genome in the pre-computed phylogenetic tree of the database, and Relative Evolutionary Divergence (RED) threshold values. We found that the classification largely (~94% of the cases) agreed for the </w:t>
      </w:r>
      <w:proofErr w:type="spellStart"/>
      <w:r w:rsidRPr="00E15729">
        <w:rPr>
          <w:rFonts w:ascii="Times New Roman" w:hAnsi="Times New Roman" w:cs="Times New Roman"/>
          <w:sz w:val="24"/>
          <w:szCs w:val="24"/>
        </w:rPr>
        <w:t>FastANI</w:t>
      </w:r>
      <w:proofErr w:type="spellEnd"/>
      <w:r w:rsidRPr="00E15729">
        <w:rPr>
          <w:rFonts w:ascii="Times New Roman" w:hAnsi="Times New Roman" w:cs="Times New Roman"/>
          <w:sz w:val="24"/>
          <w:szCs w:val="24"/>
        </w:rPr>
        <w:t xml:space="preserve"> and tree placement classification (</w:t>
      </w:r>
      <w:r w:rsidR="003C6703" w:rsidRPr="00E15729">
        <w:rPr>
          <w:rFonts w:ascii="Times New Roman" w:hAnsi="Times New Roman" w:cs="Times New Roman"/>
          <w:sz w:val="24"/>
          <w:szCs w:val="24"/>
        </w:rPr>
        <w:t>Figure S8</w:t>
      </w:r>
      <w:r w:rsidR="005F31B5" w:rsidRPr="00E15729">
        <w:rPr>
          <w:rFonts w:ascii="Times New Roman" w:hAnsi="Times New Roman" w:cs="Times New Roman"/>
          <w:sz w:val="24"/>
          <w:szCs w:val="24"/>
        </w:rPr>
        <w:t>)</w:t>
      </w:r>
      <w:r w:rsidR="00DB14F4" w:rsidRPr="00E15729">
        <w:rPr>
          <w:rFonts w:ascii="Times New Roman" w:hAnsi="Times New Roman" w:cs="Times New Roman"/>
          <w:sz w:val="24"/>
          <w:szCs w:val="24"/>
        </w:rPr>
        <w:t>.</w:t>
      </w:r>
    </w:p>
    <w:p w14:paraId="783F4C96" w14:textId="77777777" w:rsidR="00CF091D" w:rsidRPr="00E15729" w:rsidRDefault="00CF091D" w:rsidP="00CF091D">
      <w:pPr>
        <w:rPr>
          <w:rFonts w:ascii="Times New Roman" w:eastAsiaTheme="minorEastAsia" w:hAnsi="Times New Roman" w:cs="Times New Roman"/>
          <w:sz w:val="24"/>
          <w:szCs w:val="24"/>
        </w:rPr>
      </w:pPr>
    </w:p>
    <w:tbl>
      <w:tblPr>
        <w:tblStyle w:val="TableGrid"/>
        <w:tblW w:w="9540" w:type="dxa"/>
        <w:tblInd w:w="-95" w:type="dxa"/>
        <w:tblLook w:val="04A0" w:firstRow="1" w:lastRow="0" w:firstColumn="1" w:lastColumn="0" w:noHBand="0" w:noVBand="1"/>
      </w:tblPr>
      <w:tblGrid>
        <w:gridCol w:w="1965"/>
        <w:gridCol w:w="1870"/>
        <w:gridCol w:w="1870"/>
        <w:gridCol w:w="1870"/>
        <w:gridCol w:w="1965"/>
      </w:tblGrid>
      <w:tr w:rsidR="00CF091D" w:rsidRPr="00E15729" w14:paraId="12AAEB36" w14:textId="77777777" w:rsidTr="00CF091D">
        <w:tc>
          <w:tcPr>
            <w:tcW w:w="9540" w:type="dxa"/>
            <w:gridSpan w:val="5"/>
            <w:tcBorders>
              <w:top w:val="single" w:sz="4" w:space="0" w:color="auto"/>
              <w:left w:val="single" w:sz="4" w:space="0" w:color="auto"/>
              <w:bottom w:val="single" w:sz="4" w:space="0" w:color="auto"/>
              <w:right w:val="single" w:sz="4" w:space="0" w:color="auto"/>
            </w:tcBorders>
            <w:hideMark/>
          </w:tcPr>
          <w:p w14:paraId="2F6A0E14" w14:textId="25D18E06" w:rsidR="00CF091D" w:rsidRPr="00E15729" w:rsidRDefault="00CF091D">
            <w:pPr>
              <w:spacing w:line="480" w:lineRule="auto"/>
              <w:jc w:val="center"/>
              <w:rPr>
                <w:rFonts w:ascii="Times New Roman" w:hAnsi="Times New Roman" w:cs="Times New Roman"/>
                <w:b/>
                <w:bCs/>
                <w:sz w:val="24"/>
                <w:szCs w:val="24"/>
              </w:rPr>
            </w:pPr>
            <w:r w:rsidRPr="00E15729">
              <w:rPr>
                <w:rFonts w:ascii="Times New Roman" w:hAnsi="Times New Roman" w:cs="Times New Roman"/>
                <w:b/>
                <w:bCs/>
                <w:sz w:val="24"/>
                <w:szCs w:val="24"/>
              </w:rPr>
              <w:t xml:space="preserve">Table </w:t>
            </w:r>
            <w:r w:rsidR="00FE4F8B" w:rsidRPr="00E15729">
              <w:rPr>
                <w:rFonts w:ascii="Times New Roman" w:hAnsi="Times New Roman" w:cs="Times New Roman"/>
                <w:b/>
                <w:bCs/>
                <w:sz w:val="24"/>
                <w:szCs w:val="24"/>
              </w:rPr>
              <w:t>S</w:t>
            </w:r>
            <w:r w:rsidR="00E37390" w:rsidRPr="00E15729">
              <w:rPr>
                <w:rFonts w:ascii="Times New Roman" w:hAnsi="Times New Roman" w:cs="Times New Roman"/>
                <w:b/>
                <w:bCs/>
                <w:sz w:val="24"/>
                <w:szCs w:val="24"/>
              </w:rPr>
              <w:t>3</w:t>
            </w:r>
            <w:r w:rsidRPr="00E15729">
              <w:rPr>
                <w:rFonts w:ascii="Times New Roman" w:hAnsi="Times New Roman" w:cs="Times New Roman"/>
                <w:b/>
                <w:bCs/>
                <w:sz w:val="24"/>
                <w:szCs w:val="24"/>
              </w:rPr>
              <w:t xml:space="preserve">. Rank threshold, precision, recall, and F1 score for </w:t>
            </w:r>
            <w:proofErr w:type="spellStart"/>
            <w:r w:rsidRPr="00E15729">
              <w:rPr>
                <w:rFonts w:ascii="Times New Roman" w:hAnsi="Times New Roman" w:cs="Times New Roman"/>
                <w:b/>
                <w:bCs/>
                <w:sz w:val="24"/>
                <w:szCs w:val="24"/>
              </w:rPr>
              <w:t>FastAAI</w:t>
            </w:r>
            <w:proofErr w:type="spellEnd"/>
            <w:r w:rsidRPr="00E15729">
              <w:rPr>
                <w:rFonts w:ascii="Times New Roman" w:hAnsi="Times New Roman" w:cs="Times New Roman"/>
                <w:b/>
                <w:bCs/>
                <w:sz w:val="24"/>
                <w:szCs w:val="24"/>
              </w:rPr>
              <w:t xml:space="preserve"> classification at different taxonomic ranks using the </w:t>
            </w:r>
            <w:proofErr w:type="spellStart"/>
            <w:r w:rsidRPr="00E15729">
              <w:rPr>
                <w:rFonts w:ascii="Times New Roman" w:hAnsi="Times New Roman" w:cs="Times New Roman"/>
                <w:b/>
                <w:bCs/>
                <w:sz w:val="24"/>
                <w:szCs w:val="24"/>
              </w:rPr>
              <w:t>RefSeq</w:t>
            </w:r>
            <w:proofErr w:type="spellEnd"/>
            <w:r w:rsidRPr="00E15729">
              <w:rPr>
                <w:rFonts w:ascii="Times New Roman" w:hAnsi="Times New Roman" w:cs="Times New Roman"/>
                <w:b/>
                <w:bCs/>
                <w:sz w:val="24"/>
                <w:szCs w:val="24"/>
              </w:rPr>
              <w:t xml:space="preserve"> and the </w:t>
            </w:r>
            <w:proofErr w:type="spellStart"/>
            <w:r w:rsidRPr="00E15729">
              <w:rPr>
                <w:rFonts w:ascii="Times New Roman" w:hAnsi="Times New Roman" w:cs="Times New Roman"/>
                <w:b/>
                <w:bCs/>
                <w:sz w:val="24"/>
                <w:szCs w:val="24"/>
              </w:rPr>
              <w:t>TypeMat</w:t>
            </w:r>
            <w:proofErr w:type="spellEnd"/>
            <w:r w:rsidRPr="00E15729">
              <w:rPr>
                <w:rFonts w:ascii="Times New Roman" w:hAnsi="Times New Roman" w:cs="Times New Roman"/>
                <w:b/>
                <w:bCs/>
                <w:sz w:val="24"/>
                <w:szCs w:val="24"/>
              </w:rPr>
              <w:t xml:space="preserve"> datasets as queries and references, respectively.</w:t>
            </w:r>
          </w:p>
        </w:tc>
      </w:tr>
      <w:tr w:rsidR="00CF091D" w:rsidRPr="00E15729" w14:paraId="1D9A49DA" w14:textId="77777777" w:rsidTr="00CF091D">
        <w:tc>
          <w:tcPr>
            <w:tcW w:w="1965" w:type="dxa"/>
            <w:tcBorders>
              <w:top w:val="single" w:sz="4" w:space="0" w:color="auto"/>
              <w:left w:val="single" w:sz="4" w:space="0" w:color="auto"/>
              <w:bottom w:val="single" w:sz="4" w:space="0" w:color="auto"/>
              <w:right w:val="single" w:sz="4" w:space="0" w:color="auto"/>
            </w:tcBorders>
            <w:vAlign w:val="center"/>
            <w:hideMark/>
          </w:tcPr>
          <w:p w14:paraId="420E373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b/>
                <w:bCs/>
                <w:color w:val="000000"/>
                <w:sz w:val="24"/>
                <w:szCs w:val="24"/>
              </w:rPr>
              <w:t>Taxon</w:t>
            </w:r>
          </w:p>
        </w:tc>
        <w:tc>
          <w:tcPr>
            <w:tcW w:w="1870" w:type="dxa"/>
            <w:tcBorders>
              <w:top w:val="single" w:sz="4" w:space="0" w:color="auto"/>
              <w:left w:val="single" w:sz="4" w:space="0" w:color="auto"/>
              <w:bottom w:val="single" w:sz="4" w:space="0" w:color="auto"/>
              <w:right w:val="single" w:sz="4" w:space="0" w:color="auto"/>
            </w:tcBorders>
            <w:vAlign w:val="center"/>
            <w:hideMark/>
          </w:tcPr>
          <w:p w14:paraId="3668B5C2"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b/>
                <w:bCs/>
                <w:color w:val="000000"/>
                <w:sz w:val="24"/>
                <w:szCs w:val="24"/>
              </w:rPr>
              <w:t>Threshold %</w:t>
            </w:r>
          </w:p>
        </w:tc>
        <w:tc>
          <w:tcPr>
            <w:tcW w:w="1870" w:type="dxa"/>
            <w:tcBorders>
              <w:top w:val="single" w:sz="4" w:space="0" w:color="auto"/>
              <w:left w:val="single" w:sz="4" w:space="0" w:color="auto"/>
              <w:bottom w:val="single" w:sz="4" w:space="0" w:color="auto"/>
              <w:right w:val="single" w:sz="4" w:space="0" w:color="auto"/>
            </w:tcBorders>
            <w:vAlign w:val="center"/>
            <w:hideMark/>
          </w:tcPr>
          <w:p w14:paraId="6A11B49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b/>
                <w:bCs/>
                <w:color w:val="000000"/>
                <w:sz w:val="24"/>
                <w:szCs w:val="24"/>
              </w:rPr>
              <w:t xml:space="preserve">Precision </w:t>
            </w:r>
          </w:p>
        </w:tc>
        <w:tc>
          <w:tcPr>
            <w:tcW w:w="1870" w:type="dxa"/>
            <w:tcBorders>
              <w:top w:val="single" w:sz="4" w:space="0" w:color="auto"/>
              <w:left w:val="single" w:sz="4" w:space="0" w:color="auto"/>
              <w:bottom w:val="single" w:sz="4" w:space="0" w:color="auto"/>
              <w:right w:val="single" w:sz="4" w:space="0" w:color="auto"/>
            </w:tcBorders>
            <w:vAlign w:val="center"/>
            <w:hideMark/>
          </w:tcPr>
          <w:p w14:paraId="4449A18E"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b/>
                <w:bCs/>
                <w:color w:val="000000"/>
                <w:sz w:val="24"/>
                <w:szCs w:val="24"/>
              </w:rPr>
              <w:t>Recall</w:t>
            </w:r>
          </w:p>
        </w:tc>
        <w:tc>
          <w:tcPr>
            <w:tcW w:w="1965" w:type="dxa"/>
            <w:tcBorders>
              <w:top w:val="single" w:sz="4" w:space="0" w:color="auto"/>
              <w:left w:val="single" w:sz="4" w:space="0" w:color="auto"/>
              <w:bottom w:val="single" w:sz="4" w:space="0" w:color="auto"/>
              <w:right w:val="single" w:sz="4" w:space="0" w:color="auto"/>
            </w:tcBorders>
            <w:vAlign w:val="center"/>
            <w:hideMark/>
          </w:tcPr>
          <w:p w14:paraId="57C78DDD"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b/>
                <w:bCs/>
                <w:color w:val="000000"/>
                <w:sz w:val="24"/>
                <w:szCs w:val="24"/>
              </w:rPr>
              <w:t>F1</w:t>
            </w:r>
          </w:p>
        </w:tc>
      </w:tr>
      <w:tr w:rsidR="00CF091D" w:rsidRPr="00E15729" w14:paraId="062B8758" w14:textId="77777777" w:rsidTr="00CF091D">
        <w:tc>
          <w:tcPr>
            <w:tcW w:w="1965" w:type="dxa"/>
            <w:tcBorders>
              <w:top w:val="single" w:sz="4" w:space="0" w:color="auto"/>
              <w:left w:val="single" w:sz="4" w:space="0" w:color="auto"/>
              <w:bottom w:val="single" w:sz="4" w:space="0" w:color="auto"/>
              <w:right w:val="single" w:sz="4" w:space="0" w:color="auto"/>
            </w:tcBorders>
            <w:vAlign w:val="center"/>
            <w:hideMark/>
          </w:tcPr>
          <w:p w14:paraId="430FFF9F"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Domain</w:t>
            </w:r>
          </w:p>
        </w:tc>
        <w:tc>
          <w:tcPr>
            <w:tcW w:w="1870" w:type="dxa"/>
            <w:tcBorders>
              <w:top w:val="single" w:sz="4" w:space="0" w:color="auto"/>
              <w:left w:val="single" w:sz="4" w:space="0" w:color="auto"/>
              <w:bottom w:val="single" w:sz="4" w:space="0" w:color="auto"/>
              <w:right w:val="single" w:sz="4" w:space="0" w:color="auto"/>
            </w:tcBorders>
            <w:vAlign w:val="center"/>
            <w:hideMark/>
          </w:tcPr>
          <w:p w14:paraId="57CE3EEB"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35.3</w:t>
            </w:r>
          </w:p>
        </w:tc>
        <w:tc>
          <w:tcPr>
            <w:tcW w:w="1870" w:type="dxa"/>
            <w:tcBorders>
              <w:top w:val="single" w:sz="4" w:space="0" w:color="auto"/>
              <w:left w:val="single" w:sz="4" w:space="0" w:color="auto"/>
              <w:bottom w:val="single" w:sz="4" w:space="0" w:color="auto"/>
              <w:right w:val="single" w:sz="4" w:space="0" w:color="auto"/>
            </w:tcBorders>
            <w:vAlign w:val="center"/>
            <w:hideMark/>
          </w:tcPr>
          <w:p w14:paraId="1E509424"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0.99</w:t>
            </w:r>
          </w:p>
        </w:tc>
        <w:tc>
          <w:tcPr>
            <w:tcW w:w="1870" w:type="dxa"/>
            <w:tcBorders>
              <w:top w:val="single" w:sz="4" w:space="0" w:color="auto"/>
              <w:left w:val="single" w:sz="4" w:space="0" w:color="auto"/>
              <w:bottom w:val="single" w:sz="4" w:space="0" w:color="auto"/>
              <w:right w:val="single" w:sz="4" w:space="0" w:color="auto"/>
            </w:tcBorders>
            <w:vAlign w:val="center"/>
            <w:hideMark/>
          </w:tcPr>
          <w:p w14:paraId="144FE998"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0.99</w:t>
            </w:r>
          </w:p>
        </w:tc>
        <w:tc>
          <w:tcPr>
            <w:tcW w:w="1965" w:type="dxa"/>
            <w:tcBorders>
              <w:top w:val="single" w:sz="4" w:space="0" w:color="auto"/>
              <w:left w:val="single" w:sz="4" w:space="0" w:color="auto"/>
              <w:bottom w:val="single" w:sz="4" w:space="0" w:color="auto"/>
              <w:right w:val="single" w:sz="4" w:space="0" w:color="auto"/>
            </w:tcBorders>
            <w:vAlign w:val="center"/>
            <w:hideMark/>
          </w:tcPr>
          <w:p w14:paraId="58C12EC1"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0.99</w:t>
            </w:r>
          </w:p>
        </w:tc>
      </w:tr>
      <w:tr w:rsidR="00CF091D" w:rsidRPr="00E15729" w14:paraId="069C0696" w14:textId="77777777" w:rsidTr="00CF091D">
        <w:tc>
          <w:tcPr>
            <w:tcW w:w="1965" w:type="dxa"/>
            <w:tcBorders>
              <w:top w:val="single" w:sz="4" w:space="0" w:color="auto"/>
              <w:left w:val="single" w:sz="4" w:space="0" w:color="auto"/>
              <w:bottom w:val="single" w:sz="4" w:space="0" w:color="auto"/>
              <w:right w:val="single" w:sz="4" w:space="0" w:color="auto"/>
            </w:tcBorders>
            <w:vAlign w:val="center"/>
            <w:hideMark/>
          </w:tcPr>
          <w:p w14:paraId="4EF3FDA8"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Phylum</w:t>
            </w:r>
          </w:p>
        </w:tc>
        <w:tc>
          <w:tcPr>
            <w:tcW w:w="1870" w:type="dxa"/>
            <w:tcBorders>
              <w:top w:val="single" w:sz="4" w:space="0" w:color="auto"/>
              <w:left w:val="single" w:sz="4" w:space="0" w:color="auto"/>
              <w:bottom w:val="single" w:sz="4" w:space="0" w:color="auto"/>
              <w:right w:val="single" w:sz="4" w:space="0" w:color="auto"/>
            </w:tcBorders>
            <w:vAlign w:val="center"/>
            <w:hideMark/>
          </w:tcPr>
          <w:p w14:paraId="0156E2D6"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40.5</w:t>
            </w:r>
          </w:p>
        </w:tc>
        <w:tc>
          <w:tcPr>
            <w:tcW w:w="1870" w:type="dxa"/>
            <w:tcBorders>
              <w:top w:val="single" w:sz="4" w:space="0" w:color="auto"/>
              <w:left w:val="single" w:sz="4" w:space="0" w:color="auto"/>
              <w:bottom w:val="single" w:sz="4" w:space="0" w:color="auto"/>
              <w:right w:val="single" w:sz="4" w:space="0" w:color="auto"/>
            </w:tcBorders>
            <w:vAlign w:val="center"/>
            <w:hideMark/>
          </w:tcPr>
          <w:p w14:paraId="7D48E62F"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0.87</w:t>
            </w:r>
          </w:p>
        </w:tc>
        <w:tc>
          <w:tcPr>
            <w:tcW w:w="1870" w:type="dxa"/>
            <w:tcBorders>
              <w:top w:val="single" w:sz="4" w:space="0" w:color="auto"/>
              <w:left w:val="single" w:sz="4" w:space="0" w:color="auto"/>
              <w:bottom w:val="single" w:sz="4" w:space="0" w:color="auto"/>
              <w:right w:val="single" w:sz="4" w:space="0" w:color="auto"/>
            </w:tcBorders>
            <w:vAlign w:val="center"/>
            <w:hideMark/>
          </w:tcPr>
          <w:p w14:paraId="70B38CFD"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0.85</w:t>
            </w:r>
          </w:p>
        </w:tc>
        <w:tc>
          <w:tcPr>
            <w:tcW w:w="1965" w:type="dxa"/>
            <w:tcBorders>
              <w:top w:val="single" w:sz="4" w:space="0" w:color="auto"/>
              <w:left w:val="single" w:sz="4" w:space="0" w:color="auto"/>
              <w:bottom w:val="single" w:sz="4" w:space="0" w:color="auto"/>
              <w:right w:val="single" w:sz="4" w:space="0" w:color="auto"/>
            </w:tcBorders>
            <w:vAlign w:val="center"/>
            <w:hideMark/>
          </w:tcPr>
          <w:p w14:paraId="3334AB4A"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0.86</w:t>
            </w:r>
          </w:p>
        </w:tc>
      </w:tr>
      <w:tr w:rsidR="00CF091D" w:rsidRPr="00E15729" w14:paraId="0D132E58" w14:textId="77777777" w:rsidTr="00CF091D">
        <w:tc>
          <w:tcPr>
            <w:tcW w:w="1965" w:type="dxa"/>
            <w:tcBorders>
              <w:top w:val="single" w:sz="4" w:space="0" w:color="auto"/>
              <w:left w:val="single" w:sz="4" w:space="0" w:color="auto"/>
              <w:bottom w:val="single" w:sz="4" w:space="0" w:color="auto"/>
              <w:right w:val="single" w:sz="4" w:space="0" w:color="auto"/>
            </w:tcBorders>
            <w:vAlign w:val="center"/>
            <w:hideMark/>
          </w:tcPr>
          <w:p w14:paraId="2AB54DA9"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lastRenderedPageBreak/>
              <w:t>Class</w:t>
            </w:r>
          </w:p>
        </w:tc>
        <w:tc>
          <w:tcPr>
            <w:tcW w:w="1870" w:type="dxa"/>
            <w:tcBorders>
              <w:top w:val="single" w:sz="4" w:space="0" w:color="auto"/>
              <w:left w:val="single" w:sz="4" w:space="0" w:color="auto"/>
              <w:bottom w:val="single" w:sz="4" w:space="0" w:color="auto"/>
              <w:right w:val="single" w:sz="4" w:space="0" w:color="auto"/>
            </w:tcBorders>
            <w:vAlign w:val="center"/>
            <w:hideMark/>
          </w:tcPr>
          <w:p w14:paraId="08710378"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45.0</w:t>
            </w:r>
          </w:p>
        </w:tc>
        <w:tc>
          <w:tcPr>
            <w:tcW w:w="1870" w:type="dxa"/>
            <w:tcBorders>
              <w:top w:val="single" w:sz="4" w:space="0" w:color="auto"/>
              <w:left w:val="single" w:sz="4" w:space="0" w:color="auto"/>
              <w:bottom w:val="single" w:sz="4" w:space="0" w:color="auto"/>
              <w:right w:val="single" w:sz="4" w:space="0" w:color="auto"/>
            </w:tcBorders>
            <w:vAlign w:val="center"/>
            <w:hideMark/>
          </w:tcPr>
          <w:p w14:paraId="729ED979"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0.84</w:t>
            </w:r>
          </w:p>
        </w:tc>
        <w:tc>
          <w:tcPr>
            <w:tcW w:w="1870" w:type="dxa"/>
            <w:tcBorders>
              <w:top w:val="single" w:sz="4" w:space="0" w:color="auto"/>
              <w:left w:val="single" w:sz="4" w:space="0" w:color="auto"/>
              <w:bottom w:val="single" w:sz="4" w:space="0" w:color="auto"/>
              <w:right w:val="single" w:sz="4" w:space="0" w:color="auto"/>
            </w:tcBorders>
            <w:vAlign w:val="center"/>
            <w:hideMark/>
          </w:tcPr>
          <w:p w14:paraId="5309F0B7"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0.93</w:t>
            </w:r>
          </w:p>
        </w:tc>
        <w:tc>
          <w:tcPr>
            <w:tcW w:w="1965" w:type="dxa"/>
            <w:tcBorders>
              <w:top w:val="single" w:sz="4" w:space="0" w:color="auto"/>
              <w:left w:val="single" w:sz="4" w:space="0" w:color="auto"/>
              <w:bottom w:val="single" w:sz="4" w:space="0" w:color="auto"/>
              <w:right w:val="single" w:sz="4" w:space="0" w:color="auto"/>
            </w:tcBorders>
            <w:vAlign w:val="center"/>
            <w:hideMark/>
          </w:tcPr>
          <w:p w14:paraId="3F647CC4"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0.88</w:t>
            </w:r>
          </w:p>
        </w:tc>
      </w:tr>
      <w:tr w:rsidR="00CF091D" w:rsidRPr="00E15729" w14:paraId="0FF54786" w14:textId="77777777" w:rsidTr="00CF091D">
        <w:tc>
          <w:tcPr>
            <w:tcW w:w="1965" w:type="dxa"/>
            <w:tcBorders>
              <w:top w:val="single" w:sz="4" w:space="0" w:color="auto"/>
              <w:left w:val="single" w:sz="4" w:space="0" w:color="auto"/>
              <w:bottom w:val="single" w:sz="4" w:space="0" w:color="auto"/>
              <w:right w:val="single" w:sz="4" w:space="0" w:color="auto"/>
            </w:tcBorders>
            <w:vAlign w:val="center"/>
            <w:hideMark/>
          </w:tcPr>
          <w:p w14:paraId="33E58FDB"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Order</w:t>
            </w:r>
          </w:p>
        </w:tc>
        <w:tc>
          <w:tcPr>
            <w:tcW w:w="1870" w:type="dxa"/>
            <w:tcBorders>
              <w:top w:val="single" w:sz="4" w:space="0" w:color="auto"/>
              <w:left w:val="single" w:sz="4" w:space="0" w:color="auto"/>
              <w:bottom w:val="single" w:sz="4" w:space="0" w:color="auto"/>
              <w:right w:val="single" w:sz="4" w:space="0" w:color="auto"/>
            </w:tcBorders>
            <w:vAlign w:val="center"/>
            <w:hideMark/>
          </w:tcPr>
          <w:p w14:paraId="08CC8CA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50.0</w:t>
            </w:r>
          </w:p>
        </w:tc>
        <w:tc>
          <w:tcPr>
            <w:tcW w:w="1870" w:type="dxa"/>
            <w:tcBorders>
              <w:top w:val="single" w:sz="4" w:space="0" w:color="auto"/>
              <w:left w:val="single" w:sz="4" w:space="0" w:color="auto"/>
              <w:bottom w:val="single" w:sz="4" w:space="0" w:color="auto"/>
              <w:right w:val="single" w:sz="4" w:space="0" w:color="auto"/>
            </w:tcBorders>
            <w:vAlign w:val="center"/>
            <w:hideMark/>
          </w:tcPr>
          <w:p w14:paraId="2A3C3F61"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0.57</w:t>
            </w:r>
          </w:p>
        </w:tc>
        <w:tc>
          <w:tcPr>
            <w:tcW w:w="1870" w:type="dxa"/>
            <w:tcBorders>
              <w:top w:val="single" w:sz="4" w:space="0" w:color="auto"/>
              <w:left w:val="single" w:sz="4" w:space="0" w:color="auto"/>
              <w:bottom w:val="single" w:sz="4" w:space="0" w:color="auto"/>
              <w:right w:val="single" w:sz="4" w:space="0" w:color="auto"/>
            </w:tcBorders>
            <w:vAlign w:val="center"/>
            <w:hideMark/>
          </w:tcPr>
          <w:p w14:paraId="645830DF"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0.70</w:t>
            </w:r>
          </w:p>
        </w:tc>
        <w:tc>
          <w:tcPr>
            <w:tcW w:w="1965" w:type="dxa"/>
            <w:tcBorders>
              <w:top w:val="single" w:sz="4" w:space="0" w:color="auto"/>
              <w:left w:val="single" w:sz="4" w:space="0" w:color="auto"/>
              <w:bottom w:val="single" w:sz="4" w:space="0" w:color="auto"/>
              <w:right w:val="single" w:sz="4" w:space="0" w:color="auto"/>
            </w:tcBorders>
            <w:vAlign w:val="center"/>
            <w:hideMark/>
          </w:tcPr>
          <w:p w14:paraId="2657C38A"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0.63</w:t>
            </w:r>
          </w:p>
        </w:tc>
      </w:tr>
      <w:tr w:rsidR="00CF091D" w:rsidRPr="00E15729" w14:paraId="5EF1AE4A" w14:textId="77777777" w:rsidTr="00CF091D">
        <w:tc>
          <w:tcPr>
            <w:tcW w:w="1965" w:type="dxa"/>
            <w:tcBorders>
              <w:top w:val="single" w:sz="4" w:space="0" w:color="auto"/>
              <w:left w:val="single" w:sz="4" w:space="0" w:color="auto"/>
              <w:bottom w:val="single" w:sz="4" w:space="0" w:color="auto"/>
              <w:right w:val="single" w:sz="4" w:space="0" w:color="auto"/>
            </w:tcBorders>
            <w:vAlign w:val="center"/>
            <w:hideMark/>
          </w:tcPr>
          <w:p w14:paraId="4FC5909B"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Family</w:t>
            </w:r>
          </w:p>
        </w:tc>
        <w:tc>
          <w:tcPr>
            <w:tcW w:w="1870" w:type="dxa"/>
            <w:tcBorders>
              <w:top w:val="single" w:sz="4" w:space="0" w:color="auto"/>
              <w:left w:val="single" w:sz="4" w:space="0" w:color="auto"/>
              <w:bottom w:val="single" w:sz="4" w:space="0" w:color="auto"/>
              <w:right w:val="single" w:sz="4" w:space="0" w:color="auto"/>
            </w:tcBorders>
            <w:vAlign w:val="center"/>
            <w:hideMark/>
          </w:tcPr>
          <w:p w14:paraId="69497B99"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53.0</w:t>
            </w:r>
          </w:p>
        </w:tc>
        <w:tc>
          <w:tcPr>
            <w:tcW w:w="1870" w:type="dxa"/>
            <w:tcBorders>
              <w:top w:val="single" w:sz="4" w:space="0" w:color="auto"/>
              <w:left w:val="single" w:sz="4" w:space="0" w:color="auto"/>
              <w:bottom w:val="single" w:sz="4" w:space="0" w:color="auto"/>
              <w:right w:val="single" w:sz="4" w:space="0" w:color="auto"/>
            </w:tcBorders>
            <w:vAlign w:val="center"/>
            <w:hideMark/>
          </w:tcPr>
          <w:p w14:paraId="43178EFF"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0.35</w:t>
            </w:r>
          </w:p>
        </w:tc>
        <w:tc>
          <w:tcPr>
            <w:tcW w:w="1870" w:type="dxa"/>
            <w:tcBorders>
              <w:top w:val="single" w:sz="4" w:space="0" w:color="auto"/>
              <w:left w:val="single" w:sz="4" w:space="0" w:color="auto"/>
              <w:bottom w:val="single" w:sz="4" w:space="0" w:color="auto"/>
              <w:right w:val="single" w:sz="4" w:space="0" w:color="auto"/>
            </w:tcBorders>
            <w:vAlign w:val="center"/>
            <w:hideMark/>
          </w:tcPr>
          <w:p w14:paraId="79D5B47C"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0.84</w:t>
            </w:r>
          </w:p>
        </w:tc>
        <w:tc>
          <w:tcPr>
            <w:tcW w:w="1965" w:type="dxa"/>
            <w:tcBorders>
              <w:top w:val="single" w:sz="4" w:space="0" w:color="auto"/>
              <w:left w:val="single" w:sz="4" w:space="0" w:color="auto"/>
              <w:bottom w:val="single" w:sz="4" w:space="0" w:color="auto"/>
              <w:right w:val="single" w:sz="4" w:space="0" w:color="auto"/>
            </w:tcBorders>
            <w:vAlign w:val="center"/>
            <w:hideMark/>
          </w:tcPr>
          <w:p w14:paraId="1679EFD0"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0.49</w:t>
            </w:r>
          </w:p>
        </w:tc>
      </w:tr>
      <w:tr w:rsidR="00CF091D" w:rsidRPr="00E15729" w14:paraId="428653B4" w14:textId="77777777" w:rsidTr="00CF091D">
        <w:trPr>
          <w:trHeight w:val="368"/>
        </w:trPr>
        <w:tc>
          <w:tcPr>
            <w:tcW w:w="1965" w:type="dxa"/>
            <w:tcBorders>
              <w:top w:val="single" w:sz="4" w:space="0" w:color="auto"/>
              <w:left w:val="single" w:sz="4" w:space="0" w:color="auto"/>
              <w:bottom w:val="single" w:sz="4" w:space="0" w:color="auto"/>
              <w:right w:val="single" w:sz="4" w:space="0" w:color="auto"/>
            </w:tcBorders>
            <w:vAlign w:val="center"/>
            <w:hideMark/>
          </w:tcPr>
          <w:p w14:paraId="78B841C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Genus</w:t>
            </w:r>
          </w:p>
        </w:tc>
        <w:tc>
          <w:tcPr>
            <w:tcW w:w="1870" w:type="dxa"/>
            <w:tcBorders>
              <w:top w:val="single" w:sz="4" w:space="0" w:color="auto"/>
              <w:left w:val="single" w:sz="4" w:space="0" w:color="auto"/>
              <w:bottom w:val="single" w:sz="4" w:space="0" w:color="auto"/>
              <w:right w:val="single" w:sz="4" w:space="0" w:color="auto"/>
            </w:tcBorders>
            <w:vAlign w:val="center"/>
            <w:hideMark/>
          </w:tcPr>
          <w:p w14:paraId="4FC00A31"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62.3</w:t>
            </w:r>
          </w:p>
        </w:tc>
        <w:tc>
          <w:tcPr>
            <w:tcW w:w="1870" w:type="dxa"/>
            <w:tcBorders>
              <w:top w:val="single" w:sz="4" w:space="0" w:color="auto"/>
              <w:left w:val="single" w:sz="4" w:space="0" w:color="auto"/>
              <w:bottom w:val="single" w:sz="4" w:space="0" w:color="auto"/>
              <w:right w:val="single" w:sz="4" w:space="0" w:color="auto"/>
            </w:tcBorders>
            <w:vAlign w:val="center"/>
            <w:hideMark/>
          </w:tcPr>
          <w:p w14:paraId="1553DBBC"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0.29</w:t>
            </w:r>
          </w:p>
        </w:tc>
        <w:tc>
          <w:tcPr>
            <w:tcW w:w="1870" w:type="dxa"/>
            <w:tcBorders>
              <w:top w:val="single" w:sz="4" w:space="0" w:color="auto"/>
              <w:left w:val="single" w:sz="4" w:space="0" w:color="auto"/>
              <w:bottom w:val="single" w:sz="4" w:space="0" w:color="auto"/>
              <w:right w:val="single" w:sz="4" w:space="0" w:color="auto"/>
            </w:tcBorders>
            <w:vAlign w:val="center"/>
            <w:hideMark/>
          </w:tcPr>
          <w:p w14:paraId="4D217E48"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0.67</w:t>
            </w:r>
          </w:p>
        </w:tc>
        <w:tc>
          <w:tcPr>
            <w:tcW w:w="1965" w:type="dxa"/>
            <w:tcBorders>
              <w:top w:val="single" w:sz="4" w:space="0" w:color="auto"/>
              <w:left w:val="single" w:sz="4" w:space="0" w:color="auto"/>
              <w:bottom w:val="single" w:sz="4" w:space="0" w:color="auto"/>
              <w:right w:val="single" w:sz="4" w:space="0" w:color="auto"/>
            </w:tcBorders>
            <w:vAlign w:val="center"/>
            <w:hideMark/>
          </w:tcPr>
          <w:p w14:paraId="18F678D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eastAsia="Times New Roman" w:hAnsi="Times New Roman" w:cs="Times New Roman"/>
                <w:color w:val="000000"/>
                <w:sz w:val="24"/>
                <w:szCs w:val="24"/>
              </w:rPr>
              <w:t>0.41</w:t>
            </w:r>
          </w:p>
        </w:tc>
      </w:tr>
    </w:tbl>
    <w:p w14:paraId="3645EF71" w14:textId="77777777" w:rsidR="00CF091D" w:rsidRPr="00E15729" w:rsidRDefault="00CF091D" w:rsidP="00CF091D">
      <w:pPr>
        <w:spacing w:line="480" w:lineRule="auto"/>
        <w:jc w:val="both"/>
        <w:rPr>
          <w:rFonts w:ascii="Times New Roman" w:hAnsi="Times New Roman" w:cs="Times New Roman"/>
          <w:sz w:val="24"/>
          <w:szCs w:val="24"/>
        </w:rPr>
      </w:pPr>
    </w:p>
    <w:p w14:paraId="33FF8DBB" w14:textId="77777777" w:rsidR="00CF091D" w:rsidRPr="00E15729" w:rsidRDefault="00CF091D" w:rsidP="00CF091D">
      <w:pPr>
        <w:spacing w:line="480" w:lineRule="auto"/>
        <w:jc w:val="both"/>
        <w:rPr>
          <w:rFonts w:ascii="Times New Roman" w:hAnsi="Times New Roman" w:cs="Times New Roman"/>
          <w:b/>
          <w:bCs/>
          <w:i/>
          <w:iCs/>
          <w:sz w:val="24"/>
          <w:szCs w:val="24"/>
        </w:rPr>
      </w:pPr>
      <w:proofErr w:type="spellStart"/>
      <w:r w:rsidRPr="00E15729">
        <w:rPr>
          <w:rFonts w:ascii="Times New Roman" w:hAnsi="Times New Roman" w:cs="Times New Roman"/>
          <w:b/>
          <w:bCs/>
          <w:i/>
          <w:iCs/>
          <w:sz w:val="24"/>
          <w:szCs w:val="24"/>
        </w:rPr>
        <w:t>FastAAI</w:t>
      </w:r>
      <w:proofErr w:type="spellEnd"/>
      <w:r w:rsidRPr="00E15729">
        <w:rPr>
          <w:rFonts w:ascii="Times New Roman" w:hAnsi="Times New Roman" w:cs="Times New Roman"/>
          <w:b/>
          <w:bCs/>
          <w:i/>
          <w:iCs/>
          <w:sz w:val="24"/>
          <w:szCs w:val="24"/>
        </w:rPr>
        <w:t xml:space="preserve"> can find best-matching genomes at various distances</w:t>
      </w:r>
    </w:p>
    <w:p w14:paraId="6DED03F1" w14:textId="3A7FBDD8" w:rsidR="00CF091D" w:rsidRPr="00E15729" w:rsidRDefault="00CF091D" w:rsidP="00CF091D">
      <w:pPr>
        <w:spacing w:line="480" w:lineRule="auto"/>
        <w:ind w:firstLine="720"/>
        <w:jc w:val="both"/>
        <w:rPr>
          <w:rFonts w:ascii="Times New Roman" w:eastAsiaTheme="minorEastAsia" w:hAnsi="Times New Roman" w:cs="Times New Roman"/>
          <w:sz w:val="24"/>
          <w:szCs w:val="24"/>
        </w:rPr>
      </w:pPr>
      <w:r w:rsidRPr="00E15729">
        <w:rPr>
          <w:rFonts w:ascii="Times New Roman" w:hAnsi="Times New Roman" w:cs="Times New Roman"/>
          <w:sz w:val="24"/>
          <w:szCs w:val="24"/>
        </w:rPr>
        <w:t xml:space="preserve">An important question often asked when using a classification tool is whether or not it can correctly find the closest relative in a database for a query genome, including novel genomes without close relatives in the reference database. This is especially relevant for MAGs and SAGs derived from environmental sources. To assess this issue for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we leveraged the use of a manually curated, reduced database, </w:t>
      </w:r>
      <w:proofErr w:type="spellStart"/>
      <w:r w:rsidRPr="00E15729">
        <w:rPr>
          <w:rFonts w:ascii="Times New Roman" w:hAnsi="Times New Roman" w:cs="Times New Roman"/>
          <w:sz w:val="24"/>
          <w:szCs w:val="24"/>
        </w:rPr>
        <w:t>PhylaLite</w:t>
      </w:r>
      <w:proofErr w:type="spellEnd"/>
      <w:r w:rsidRPr="00E15729">
        <w:rPr>
          <w:rFonts w:ascii="Times New Roman" w:hAnsi="Times New Roman" w:cs="Times New Roman"/>
          <w:sz w:val="24"/>
          <w:szCs w:val="24"/>
        </w:rPr>
        <w:t xml:space="preserve">, which contains only one genome representative per Phylum. For each reference genome and each taxonomic rank in this test, we selected a subset of genomes from the </w:t>
      </w:r>
      <w:proofErr w:type="spellStart"/>
      <w:r w:rsidRPr="00E15729">
        <w:rPr>
          <w:rFonts w:ascii="Times New Roman" w:hAnsi="Times New Roman" w:cs="Times New Roman"/>
          <w:sz w:val="24"/>
          <w:szCs w:val="24"/>
        </w:rPr>
        <w:t>TypeMat</w:t>
      </w:r>
      <w:proofErr w:type="spellEnd"/>
      <w:r w:rsidRPr="00E15729">
        <w:rPr>
          <w:rFonts w:ascii="Times New Roman" w:hAnsi="Times New Roman" w:cs="Times New Roman"/>
          <w:sz w:val="24"/>
          <w:szCs w:val="24"/>
        </w:rPr>
        <w:t xml:space="preserve"> database with the same taxonomy as the reference at the taxonomic rank under consideration but not lower. For example, we would select an </w:t>
      </w:r>
      <w:r w:rsidRPr="00E15729">
        <w:rPr>
          <w:rFonts w:ascii="Times New Roman" w:hAnsi="Times New Roman" w:cs="Times New Roman"/>
          <w:i/>
          <w:iCs/>
          <w:sz w:val="24"/>
          <w:szCs w:val="24"/>
        </w:rPr>
        <w:t>Escherichia</w:t>
      </w:r>
      <w:r w:rsidRPr="00E15729">
        <w:rPr>
          <w:rFonts w:ascii="Times New Roman" w:hAnsi="Times New Roman" w:cs="Times New Roman"/>
          <w:sz w:val="24"/>
          <w:szCs w:val="24"/>
        </w:rPr>
        <w:t xml:space="preserve"> sp. genome as a query genome, but we would remove all instances of </w:t>
      </w:r>
      <w:r w:rsidRPr="00E15729">
        <w:rPr>
          <w:rFonts w:ascii="Times New Roman" w:hAnsi="Times New Roman" w:cs="Times New Roman"/>
          <w:i/>
          <w:iCs/>
          <w:sz w:val="24"/>
          <w:szCs w:val="24"/>
        </w:rPr>
        <w:t>Escherichia coli</w:t>
      </w:r>
      <w:r w:rsidRPr="00E15729">
        <w:rPr>
          <w:rFonts w:ascii="Times New Roman" w:hAnsi="Times New Roman" w:cs="Times New Roman"/>
          <w:sz w:val="24"/>
          <w:szCs w:val="24"/>
        </w:rPr>
        <w:t xml:space="preserve"> from the reference genomes so that the query and best-matching reference could be related only at or above the genus level, as no species level matches were present. We then evaluated if the best match provided by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had the expected taxonomy for the query genome based on the available taxonomy for the reference genomes; that is, whether the best match would classify the query accurately at the lowest shared taxonomic rank possible. As shown in Table </w:t>
      </w:r>
      <w:r w:rsidR="0062225D" w:rsidRPr="00E15729">
        <w:rPr>
          <w:rFonts w:ascii="Times New Roman" w:hAnsi="Times New Roman" w:cs="Times New Roman"/>
          <w:sz w:val="24"/>
          <w:szCs w:val="24"/>
        </w:rPr>
        <w:t>S</w:t>
      </w:r>
      <w:r w:rsidR="00E37390" w:rsidRPr="00E15729">
        <w:rPr>
          <w:rFonts w:ascii="Times New Roman" w:hAnsi="Times New Roman" w:cs="Times New Roman"/>
          <w:sz w:val="24"/>
          <w:szCs w:val="24"/>
        </w:rPr>
        <w:t>4</w:t>
      </w:r>
      <w:r w:rsidR="0062225D" w:rsidRPr="00E15729">
        <w:rPr>
          <w:rFonts w:ascii="Times New Roman" w:hAnsi="Times New Roman" w:cs="Times New Roman"/>
          <w:sz w:val="24"/>
          <w:szCs w:val="24"/>
        </w:rPr>
        <w:t>,</w:t>
      </w:r>
      <w:r w:rsidRPr="00E15729">
        <w:rPr>
          <w:rFonts w:ascii="Times New Roman" w:hAnsi="Times New Roman" w:cs="Times New Roman"/>
          <w:sz w:val="24"/>
          <w:szCs w:val="24"/>
        </w:rPr>
        <w:t xml:space="preserve"> the results demonstrated that </w:t>
      </w:r>
      <w:proofErr w:type="spellStart"/>
      <w:r w:rsidRPr="00E15729">
        <w:rPr>
          <w:rFonts w:ascii="Times New Roman" w:hAnsi="Times New Roman" w:cs="Times New Roman"/>
          <w:sz w:val="24"/>
          <w:szCs w:val="24"/>
        </w:rPr>
        <w:t>FastAAI</w:t>
      </w:r>
      <w:proofErr w:type="spellEnd"/>
      <w:r w:rsidRPr="00E15729">
        <w:rPr>
          <w:rFonts w:ascii="Times New Roman" w:hAnsi="Times New Roman" w:cs="Times New Roman"/>
          <w:sz w:val="24"/>
          <w:szCs w:val="24"/>
        </w:rPr>
        <w:t xml:space="preserve"> can accurately find the closest relative for a query genome since its best match agreed in more than 95% of the cases with the expected taxonomy of the query, except for the phylum level</w:t>
      </w:r>
      <w:r w:rsidRPr="00E15729">
        <w:rPr>
          <w:rFonts w:ascii="Times New Roman" w:eastAsiaTheme="minorEastAsia" w:hAnsi="Times New Roman" w:cs="Times New Roman"/>
          <w:sz w:val="24"/>
          <w:szCs w:val="24"/>
        </w:rPr>
        <w:t xml:space="preserve">. The increased percentage of misclassified queries at the phylum level was primarily related to the </w:t>
      </w:r>
      <w:r w:rsidRPr="00E15729">
        <w:rPr>
          <w:rFonts w:ascii="Times New Roman" w:eastAsiaTheme="minorEastAsia" w:hAnsi="Times New Roman" w:cs="Times New Roman"/>
          <w:sz w:val="24"/>
          <w:szCs w:val="24"/>
        </w:rPr>
        <w:lastRenderedPageBreak/>
        <w:t xml:space="preserve">significant overlaps observed in the intra- and inter-phylum identity thresholds (so, it is an issue of how phyla have been designated, rather than the accuracy of the tool; discussed above). These results were also consistent with the high correlation between </w:t>
      </w:r>
      <m:oMath>
        <m:acc>
          <m:accPr>
            <m:ctrlPr>
              <w:rPr>
                <w:rFonts w:ascii="Cambria Math" w:hAnsi="Cambria Math" w:cs="Times New Roman"/>
                <w:i/>
                <w:sz w:val="24"/>
                <w:szCs w:val="24"/>
              </w:rPr>
            </m:ctrlPr>
          </m:accPr>
          <m:e>
            <m:r>
              <w:rPr>
                <w:rFonts w:ascii="Cambria Math" w:hAnsi="Cambria Math" w:cs="Times New Roman"/>
                <w:sz w:val="24"/>
                <w:szCs w:val="24"/>
              </w:rPr>
              <m:t>AAI</m:t>
            </m:r>
          </m:e>
        </m:acc>
      </m:oMath>
      <w:r w:rsidRPr="00E15729">
        <w:rPr>
          <w:rFonts w:ascii="Times New Roman" w:eastAsiaTheme="minorEastAsia" w:hAnsi="Times New Roman" w:cs="Times New Roman"/>
          <w:sz w:val="24"/>
          <w:szCs w:val="24"/>
        </w:rPr>
        <w:t xml:space="preserve"> and 16S rRNA gene identity observed (Fig</w:t>
      </w:r>
      <w:r w:rsidR="000455D3" w:rsidRPr="00E15729">
        <w:rPr>
          <w:rFonts w:ascii="Times New Roman" w:eastAsiaTheme="minorEastAsia" w:hAnsi="Times New Roman" w:cs="Times New Roman"/>
          <w:sz w:val="24"/>
          <w:szCs w:val="24"/>
        </w:rPr>
        <w:t>ure</w:t>
      </w:r>
      <w:r w:rsidRPr="00E15729">
        <w:rPr>
          <w:rFonts w:ascii="Times New Roman" w:eastAsiaTheme="minorEastAsia" w:hAnsi="Times New Roman" w:cs="Times New Roman"/>
          <w:sz w:val="24"/>
          <w:szCs w:val="24"/>
        </w:rPr>
        <w:t xml:space="preserve"> </w:t>
      </w:r>
      <w:r w:rsidR="000455D3" w:rsidRPr="00E15729">
        <w:rPr>
          <w:rFonts w:ascii="Times New Roman" w:eastAsiaTheme="minorEastAsia" w:hAnsi="Times New Roman" w:cs="Times New Roman"/>
          <w:sz w:val="24"/>
          <w:szCs w:val="24"/>
        </w:rPr>
        <w:t>S2</w:t>
      </w:r>
      <w:r w:rsidRPr="00E15729">
        <w:rPr>
          <w:rFonts w:ascii="Times New Roman" w:eastAsiaTheme="minorEastAsia" w:hAnsi="Times New Roman" w:cs="Times New Roman"/>
          <w:sz w:val="24"/>
          <w:szCs w:val="24"/>
        </w:rPr>
        <w:t>), given also that the 16S rRNA gene phylogeny represents the backbone of prokaryotic classification.</w:t>
      </w:r>
    </w:p>
    <w:p w14:paraId="38BD198E" w14:textId="77777777" w:rsidR="00CF091D" w:rsidRPr="00E15729" w:rsidRDefault="00CF091D" w:rsidP="00CF091D">
      <w:pPr>
        <w:spacing w:line="480" w:lineRule="auto"/>
        <w:ind w:firstLine="720"/>
        <w:jc w:val="both"/>
        <w:rPr>
          <w:rFonts w:ascii="Times New Roman" w:eastAsiaTheme="minorEastAsia" w:hAnsi="Times New Roman" w:cs="Times New Roman"/>
          <w:sz w:val="24"/>
          <w:szCs w:val="24"/>
        </w:rPr>
      </w:pPr>
    </w:p>
    <w:tbl>
      <w:tblPr>
        <w:tblStyle w:val="TableGrid"/>
        <w:tblW w:w="0" w:type="auto"/>
        <w:tblInd w:w="0" w:type="dxa"/>
        <w:tblLook w:val="04A0" w:firstRow="1" w:lastRow="0" w:firstColumn="1" w:lastColumn="0" w:noHBand="0" w:noVBand="1"/>
      </w:tblPr>
      <w:tblGrid>
        <w:gridCol w:w="1435"/>
        <w:gridCol w:w="1620"/>
        <w:gridCol w:w="2790"/>
        <w:gridCol w:w="2340"/>
        <w:gridCol w:w="1165"/>
      </w:tblGrid>
      <w:tr w:rsidR="00CF091D" w:rsidRPr="00E15729" w14:paraId="557C4F19" w14:textId="77777777" w:rsidTr="00CF091D">
        <w:tc>
          <w:tcPr>
            <w:tcW w:w="9350" w:type="dxa"/>
            <w:gridSpan w:val="5"/>
            <w:tcBorders>
              <w:top w:val="single" w:sz="4" w:space="0" w:color="auto"/>
              <w:left w:val="single" w:sz="4" w:space="0" w:color="auto"/>
              <w:bottom w:val="single" w:sz="4" w:space="0" w:color="auto"/>
              <w:right w:val="single" w:sz="4" w:space="0" w:color="auto"/>
            </w:tcBorders>
            <w:hideMark/>
          </w:tcPr>
          <w:p w14:paraId="498A30BB" w14:textId="329B4FB1" w:rsidR="00CF091D" w:rsidRPr="00E15729" w:rsidRDefault="00CF091D">
            <w:pPr>
              <w:spacing w:line="480" w:lineRule="auto"/>
              <w:jc w:val="center"/>
              <w:rPr>
                <w:rFonts w:ascii="Times New Roman" w:hAnsi="Times New Roman" w:cs="Times New Roman"/>
                <w:sz w:val="24"/>
                <w:szCs w:val="24"/>
              </w:rPr>
            </w:pPr>
            <w:r w:rsidRPr="00E15729">
              <w:rPr>
                <w:rFonts w:ascii="Times New Roman" w:hAnsi="Times New Roman" w:cs="Times New Roman"/>
                <w:b/>
                <w:bCs/>
                <w:sz w:val="24"/>
                <w:szCs w:val="24"/>
              </w:rPr>
              <w:t xml:space="preserve">Table </w:t>
            </w:r>
            <w:r w:rsidR="007B739E" w:rsidRPr="00E15729">
              <w:rPr>
                <w:rFonts w:ascii="Times New Roman" w:hAnsi="Times New Roman" w:cs="Times New Roman"/>
                <w:b/>
                <w:bCs/>
                <w:sz w:val="24"/>
                <w:szCs w:val="24"/>
              </w:rPr>
              <w:t>S</w:t>
            </w:r>
            <w:r w:rsidR="00F51483" w:rsidRPr="00E15729">
              <w:rPr>
                <w:rFonts w:ascii="Times New Roman" w:hAnsi="Times New Roman" w:cs="Times New Roman"/>
                <w:b/>
                <w:bCs/>
                <w:sz w:val="24"/>
                <w:szCs w:val="24"/>
              </w:rPr>
              <w:t>4</w:t>
            </w:r>
            <w:r w:rsidRPr="00E15729">
              <w:rPr>
                <w:rFonts w:ascii="Times New Roman" w:hAnsi="Times New Roman" w:cs="Times New Roman"/>
                <w:b/>
                <w:bCs/>
                <w:sz w:val="24"/>
                <w:szCs w:val="24"/>
              </w:rPr>
              <w:t xml:space="preserve">. Classification accuracy using the reduced </w:t>
            </w:r>
            <w:proofErr w:type="spellStart"/>
            <w:r w:rsidRPr="00E15729">
              <w:rPr>
                <w:rFonts w:ascii="Times New Roman" w:hAnsi="Times New Roman" w:cs="Times New Roman"/>
                <w:b/>
                <w:bCs/>
                <w:sz w:val="24"/>
                <w:szCs w:val="24"/>
              </w:rPr>
              <w:t>PhylaLite</w:t>
            </w:r>
            <w:proofErr w:type="spellEnd"/>
            <w:r w:rsidRPr="00E15729">
              <w:rPr>
                <w:rFonts w:ascii="Times New Roman" w:hAnsi="Times New Roman" w:cs="Times New Roman"/>
                <w:b/>
                <w:bCs/>
                <w:sz w:val="24"/>
                <w:szCs w:val="24"/>
              </w:rPr>
              <w:t xml:space="preserve"> database</w:t>
            </w:r>
          </w:p>
        </w:tc>
      </w:tr>
      <w:tr w:rsidR="00CF091D" w:rsidRPr="00E15729" w14:paraId="6BEAF130" w14:textId="77777777" w:rsidTr="00CF091D">
        <w:tc>
          <w:tcPr>
            <w:tcW w:w="1435" w:type="dxa"/>
            <w:tcBorders>
              <w:top w:val="single" w:sz="4" w:space="0" w:color="auto"/>
              <w:left w:val="single" w:sz="4" w:space="0" w:color="auto"/>
              <w:bottom w:val="single" w:sz="4" w:space="0" w:color="auto"/>
              <w:right w:val="single" w:sz="4" w:space="0" w:color="auto"/>
            </w:tcBorders>
            <w:vAlign w:val="center"/>
            <w:hideMark/>
          </w:tcPr>
          <w:p w14:paraId="1CF351C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b/>
                <w:bCs/>
                <w:sz w:val="24"/>
                <w:szCs w:val="24"/>
              </w:rPr>
              <w:t>Rank</w:t>
            </w:r>
          </w:p>
        </w:tc>
        <w:tc>
          <w:tcPr>
            <w:tcW w:w="1620" w:type="dxa"/>
            <w:tcBorders>
              <w:top w:val="single" w:sz="4" w:space="0" w:color="auto"/>
              <w:left w:val="single" w:sz="4" w:space="0" w:color="auto"/>
              <w:bottom w:val="single" w:sz="4" w:space="0" w:color="auto"/>
              <w:right w:val="single" w:sz="4" w:space="0" w:color="auto"/>
            </w:tcBorders>
            <w:vAlign w:val="center"/>
            <w:hideMark/>
          </w:tcPr>
          <w:p w14:paraId="3D94A452"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b/>
                <w:bCs/>
                <w:sz w:val="24"/>
                <w:szCs w:val="24"/>
              </w:rPr>
              <w:t>No. of Queries</w:t>
            </w:r>
          </w:p>
        </w:tc>
        <w:tc>
          <w:tcPr>
            <w:tcW w:w="2790" w:type="dxa"/>
            <w:tcBorders>
              <w:top w:val="single" w:sz="4" w:space="0" w:color="auto"/>
              <w:left w:val="single" w:sz="4" w:space="0" w:color="auto"/>
              <w:bottom w:val="single" w:sz="4" w:space="0" w:color="auto"/>
              <w:right w:val="single" w:sz="4" w:space="0" w:color="auto"/>
            </w:tcBorders>
            <w:vAlign w:val="center"/>
            <w:hideMark/>
          </w:tcPr>
          <w:p w14:paraId="0A70A8A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b/>
                <w:bCs/>
                <w:sz w:val="24"/>
                <w:szCs w:val="24"/>
              </w:rPr>
              <w:t>Correct Classifications (%)</w:t>
            </w:r>
          </w:p>
        </w:tc>
        <w:tc>
          <w:tcPr>
            <w:tcW w:w="2340" w:type="dxa"/>
            <w:tcBorders>
              <w:top w:val="single" w:sz="4" w:space="0" w:color="auto"/>
              <w:left w:val="single" w:sz="4" w:space="0" w:color="auto"/>
              <w:bottom w:val="single" w:sz="4" w:space="0" w:color="auto"/>
              <w:right w:val="single" w:sz="4" w:space="0" w:color="auto"/>
            </w:tcBorders>
            <w:vAlign w:val="center"/>
            <w:hideMark/>
          </w:tcPr>
          <w:p w14:paraId="1F028707"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b/>
                <w:bCs/>
                <w:sz w:val="24"/>
                <w:szCs w:val="24"/>
              </w:rPr>
              <w:t>Misclassifications (%)</w:t>
            </w:r>
          </w:p>
        </w:tc>
        <w:tc>
          <w:tcPr>
            <w:tcW w:w="1165" w:type="dxa"/>
            <w:tcBorders>
              <w:top w:val="single" w:sz="4" w:space="0" w:color="auto"/>
              <w:left w:val="single" w:sz="4" w:space="0" w:color="auto"/>
              <w:bottom w:val="single" w:sz="4" w:space="0" w:color="auto"/>
              <w:right w:val="single" w:sz="4" w:space="0" w:color="auto"/>
            </w:tcBorders>
            <w:vAlign w:val="center"/>
            <w:hideMark/>
          </w:tcPr>
          <w:p w14:paraId="3F02DD27"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b/>
                <w:bCs/>
                <w:sz w:val="24"/>
                <w:szCs w:val="24"/>
              </w:rPr>
              <w:t>Rank</w:t>
            </w:r>
          </w:p>
        </w:tc>
      </w:tr>
      <w:tr w:rsidR="00CF091D" w:rsidRPr="00E15729" w14:paraId="0950825C" w14:textId="77777777" w:rsidTr="00CF091D">
        <w:tc>
          <w:tcPr>
            <w:tcW w:w="1435" w:type="dxa"/>
            <w:tcBorders>
              <w:top w:val="single" w:sz="4" w:space="0" w:color="auto"/>
              <w:left w:val="single" w:sz="4" w:space="0" w:color="auto"/>
              <w:bottom w:val="single" w:sz="4" w:space="0" w:color="auto"/>
              <w:right w:val="single" w:sz="4" w:space="0" w:color="auto"/>
            </w:tcBorders>
            <w:vAlign w:val="center"/>
            <w:hideMark/>
          </w:tcPr>
          <w:p w14:paraId="2F33BE57"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Domain</w:t>
            </w:r>
          </w:p>
        </w:tc>
        <w:tc>
          <w:tcPr>
            <w:tcW w:w="1620" w:type="dxa"/>
            <w:tcBorders>
              <w:top w:val="single" w:sz="4" w:space="0" w:color="auto"/>
              <w:left w:val="single" w:sz="4" w:space="0" w:color="auto"/>
              <w:bottom w:val="single" w:sz="4" w:space="0" w:color="auto"/>
              <w:right w:val="single" w:sz="4" w:space="0" w:color="auto"/>
            </w:tcBorders>
            <w:vAlign w:val="center"/>
            <w:hideMark/>
          </w:tcPr>
          <w:p w14:paraId="6F19EBD7"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10,573</w:t>
            </w:r>
          </w:p>
        </w:tc>
        <w:tc>
          <w:tcPr>
            <w:tcW w:w="2790" w:type="dxa"/>
            <w:tcBorders>
              <w:top w:val="single" w:sz="4" w:space="0" w:color="auto"/>
              <w:left w:val="single" w:sz="4" w:space="0" w:color="auto"/>
              <w:bottom w:val="single" w:sz="4" w:space="0" w:color="auto"/>
              <w:right w:val="single" w:sz="4" w:space="0" w:color="auto"/>
            </w:tcBorders>
            <w:vAlign w:val="center"/>
            <w:hideMark/>
          </w:tcPr>
          <w:p w14:paraId="507987F2"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100</w:t>
            </w:r>
          </w:p>
        </w:tc>
        <w:tc>
          <w:tcPr>
            <w:tcW w:w="2340" w:type="dxa"/>
            <w:tcBorders>
              <w:top w:val="single" w:sz="4" w:space="0" w:color="auto"/>
              <w:left w:val="single" w:sz="4" w:space="0" w:color="auto"/>
              <w:bottom w:val="single" w:sz="4" w:space="0" w:color="auto"/>
              <w:right w:val="single" w:sz="4" w:space="0" w:color="auto"/>
            </w:tcBorders>
            <w:vAlign w:val="center"/>
            <w:hideMark/>
          </w:tcPr>
          <w:p w14:paraId="61613E08"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0</w:t>
            </w:r>
          </w:p>
        </w:tc>
        <w:tc>
          <w:tcPr>
            <w:tcW w:w="1165" w:type="dxa"/>
            <w:tcBorders>
              <w:top w:val="single" w:sz="4" w:space="0" w:color="auto"/>
              <w:left w:val="single" w:sz="4" w:space="0" w:color="auto"/>
              <w:bottom w:val="single" w:sz="4" w:space="0" w:color="auto"/>
              <w:right w:val="single" w:sz="4" w:space="0" w:color="auto"/>
            </w:tcBorders>
            <w:vAlign w:val="center"/>
            <w:hideMark/>
          </w:tcPr>
          <w:p w14:paraId="6A95A10E"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Domain</w:t>
            </w:r>
          </w:p>
        </w:tc>
      </w:tr>
      <w:tr w:rsidR="00CF091D" w:rsidRPr="00E15729" w14:paraId="3AFC7C97" w14:textId="77777777" w:rsidTr="00CF091D">
        <w:tc>
          <w:tcPr>
            <w:tcW w:w="1435" w:type="dxa"/>
            <w:tcBorders>
              <w:top w:val="single" w:sz="4" w:space="0" w:color="auto"/>
              <w:left w:val="single" w:sz="4" w:space="0" w:color="auto"/>
              <w:bottom w:val="single" w:sz="4" w:space="0" w:color="auto"/>
              <w:right w:val="single" w:sz="4" w:space="0" w:color="auto"/>
            </w:tcBorders>
            <w:vAlign w:val="center"/>
            <w:hideMark/>
          </w:tcPr>
          <w:p w14:paraId="70A5C8F4"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Phylum</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31B2810"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5769</w:t>
            </w:r>
          </w:p>
        </w:tc>
        <w:tc>
          <w:tcPr>
            <w:tcW w:w="2790" w:type="dxa"/>
            <w:tcBorders>
              <w:top w:val="single" w:sz="4" w:space="0" w:color="auto"/>
              <w:left w:val="single" w:sz="4" w:space="0" w:color="auto"/>
              <w:bottom w:val="single" w:sz="4" w:space="0" w:color="auto"/>
              <w:right w:val="single" w:sz="4" w:space="0" w:color="auto"/>
            </w:tcBorders>
            <w:vAlign w:val="center"/>
            <w:hideMark/>
          </w:tcPr>
          <w:p w14:paraId="63DCA52F"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77.3</w:t>
            </w:r>
          </w:p>
        </w:tc>
        <w:tc>
          <w:tcPr>
            <w:tcW w:w="2340" w:type="dxa"/>
            <w:tcBorders>
              <w:top w:val="single" w:sz="4" w:space="0" w:color="auto"/>
              <w:left w:val="single" w:sz="4" w:space="0" w:color="auto"/>
              <w:bottom w:val="single" w:sz="4" w:space="0" w:color="auto"/>
              <w:right w:val="single" w:sz="4" w:space="0" w:color="auto"/>
            </w:tcBorders>
            <w:vAlign w:val="center"/>
            <w:hideMark/>
          </w:tcPr>
          <w:p w14:paraId="22B9DED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22.7</w:t>
            </w:r>
          </w:p>
        </w:tc>
        <w:tc>
          <w:tcPr>
            <w:tcW w:w="1165" w:type="dxa"/>
            <w:tcBorders>
              <w:top w:val="single" w:sz="4" w:space="0" w:color="auto"/>
              <w:left w:val="single" w:sz="4" w:space="0" w:color="auto"/>
              <w:bottom w:val="single" w:sz="4" w:space="0" w:color="auto"/>
              <w:right w:val="single" w:sz="4" w:space="0" w:color="auto"/>
            </w:tcBorders>
            <w:vAlign w:val="center"/>
            <w:hideMark/>
          </w:tcPr>
          <w:p w14:paraId="4FA6544A"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Phylum</w:t>
            </w:r>
          </w:p>
        </w:tc>
      </w:tr>
      <w:tr w:rsidR="00CF091D" w:rsidRPr="00E15729" w14:paraId="57646AD5" w14:textId="77777777" w:rsidTr="00CF091D">
        <w:tc>
          <w:tcPr>
            <w:tcW w:w="1435" w:type="dxa"/>
            <w:tcBorders>
              <w:top w:val="single" w:sz="4" w:space="0" w:color="auto"/>
              <w:left w:val="single" w:sz="4" w:space="0" w:color="auto"/>
              <w:bottom w:val="single" w:sz="4" w:space="0" w:color="auto"/>
              <w:right w:val="single" w:sz="4" w:space="0" w:color="auto"/>
            </w:tcBorders>
            <w:vAlign w:val="center"/>
            <w:hideMark/>
          </w:tcPr>
          <w:p w14:paraId="0344814E"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Class</w:t>
            </w:r>
          </w:p>
        </w:tc>
        <w:tc>
          <w:tcPr>
            <w:tcW w:w="1620" w:type="dxa"/>
            <w:tcBorders>
              <w:top w:val="single" w:sz="4" w:space="0" w:color="auto"/>
              <w:left w:val="single" w:sz="4" w:space="0" w:color="auto"/>
              <w:bottom w:val="single" w:sz="4" w:space="0" w:color="auto"/>
              <w:right w:val="single" w:sz="4" w:space="0" w:color="auto"/>
            </w:tcBorders>
            <w:vAlign w:val="center"/>
            <w:hideMark/>
          </w:tcPr>
          <w:p w14:paraId="762135A5"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3846</w:t>
            </w:r>
          </w:p>
        </w:tc>
        <w:tc>
          <w:tcPr>
            <w:tcW w:w="2790" w:type="dxa"/>
            <w:tcBorders>
              <w:top w:val="single" w:sz="4" w:space="0" w:color="auto"/>
              <w:left w:val="single" w:sz="4" w:space="0" w:color="auto"/>
              <w:bottom w:val="single" w:sz="4" w:space="0" w:color="auto"/>
              <w:right w:val="single" w:sz="4" w:space="0" w:color="auto"/>
            </w:tcBorders>
            <w:vAlign w:val="center"/>
            <w:hideMark/>
          </w:tcPr>
          <w:p w14:paraId="7313F081"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97.1</w:t>
            </w:r>
          </w:p>
        </w:tc>
        <w:tc>
          <w:tcPr>
            <w:tcW w:w="2340" w:type="dxa"/>
            <w:tcBorders>
              <w:top w:val="single" w:sz="4" w:space="0" w:color="auto"/>
              <w:left w:val="single" w:sz="4" w:space="0" w:color="auto"/>
              <w:bottom w:val="single" w:sz="4" w:space="0" w:color="auto"/>
              <w:right w:val="single" w:sz="4" w:space="0" w:color="auto"/>
            </w:tcBorders>
            <w:vAlign w:val="center"/>
            <w:hideMark/>
          </w:tcPr>
          <w:p w14:paraId="5EFE757B"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2.9</w:t>
            </w:r>
          </w:p>
        </w:tc>
        <w:tc>
          <w:tcPr>
            <w:tcW w:w="1165" w:type="dxa"/>
            <w:tcBorders>
              <w:top w:val="single" w:sz="4" w:space="0" w:color="auto"/>
              <w:left w:val="single" w:sz="4" w:space="0" w:color="auto"/>
              <w:bottom w:val="single" w:sz="4" w:space="0" w:color="auto"/>
              <w:right w:val="single" w:sz="4" w:space="0" w:color="auto"/>
            </w:tcBorders>
            <w:vAlign w:val="center"/>
            <w:hideMark/>
          </w:tcPr>
          <w:p w14:paraId="62EDC9D2"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Class</w:t>
            </w:r>
          </w:p>
        </w:tc>
      </w:tr>
      <w:tr w:rsidR="00CF091D" w:rsidRPr="00E15729" w14:paraId="2C272CFC" w14:textId="77777777" w:rsidTr="00CF091D">
        <w:tc>
          <w:tcPr>
            <w:tcW w:w="1435" w:type="dxa"/>
            <w:tcBorders>
              <w:top w:val="single" w:sz="4" w:space="0" w:color="auto"/>
              <w:left w:val="single" w:sz="4" w:space="0" w:color="auto"/>
              <w:bottom w:val="single" w:sz="4" w:space="0" w:color="auto"/>
              <w:right w:val="single" w:sz="4" w:space="0" w:color="auto"/>
            </w:tcBorders>
            <w:vAlign w:val="center"/>
            <w:hideMark/>
          </w:tcPr>
          <w:p w14:paraId="42635CA6"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Order</w:t>
            </w:r>
          </w:p>
        </w:tc>
        <w:tc>
          <w:tcPr>
            <w:tcW w:w="1620" w:type="dxa"/>
            <w:tcBorders>
              <w:top w:val="single" w:sz="4" w:space="0" w:color="auto"/>
              <w:left w:val="single" w:sz="4" w:space="0" w:color="auto"/>
              <w:bottom w:val="single" w:sz="4" w:space="0" w:color="auto"/>
              <w:right w:val="single" w:sz="4" w:space="0" w:color="auto"/>
            </w:tcBorders>
            <w:vAlign w:val="center"/>
            <w:hideMark/>
          </w:tcPr>
          <w:p w14:paraId="78E61C06"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596</w:t>
            </w:r>
          </w:p>
        </w:tc>
        <w:tc>
          <w:tcPr>
            <w:tcW w:w="2790" w:type="dxa"/>
            <w:tcBorders>
              <w:top w:val="single" w:sz="4" w:space="0" w:color="auto"/>
              <w:left w:val="single" w:sz="4" w:space="0" w:color="auto"/>
              <w:bottom w:val="single" w:sz="4" w:space="0" w:color="auto"/>
              <w:right w:val="single" w:sz="4" w:space="0" w:color="auto"/>
            </w:tcBorders>
            <w:vAlign w:val="center"/>
            <w:hideMark/>
          </w:tcPr>
          <w:p w14:paraId="2ECE1C93"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98.9</w:t>
            </w:r>
          </w:p>
        </w:tc>
        <w:tc>
          <w:tcPr>
            <w:tcW w:w="2340" w:type="dxa"/>
            <w:tcBorders>
              <w:top w:val="single" w:sz="4" w:space="0" w:color="auto"/>
              <w:left w:val="single" w:sz="4" w:space="0" w:color="auto"/>
              <w:bottom w:val="single" w:sz="4" w:space="0" w:color="auto"/>
              <w:right w:val="single" w:sz="4" w:space="0" w:color="auto"/>
            </w:tcBorders>
            <w:vAlign w:val="center"/>
            <w:hideMark/>
          </w:tcPr>
          <w:p w14:paraId="342AF9C3"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1.1</w:t>
            </w:r>
          </w:p>
        </w:tc>
        <w:tc>
          <w:tcPr>
            <w:tcW w:w="1165" w:type="dxa"/>
            <w:tcBorders>
              <w:top w:val="single" w:sz="4" w:space="0" w:color="auto"/>
              <w:left w:val="single" w:sz="4" w:space="0" w:color="auto"/>
              <w:bottom w:val="single" w:sz="4" w:space="0" w:color="auto"/>
              <w:right w:val="single" w:sz="4" w:space="0" w:color="auto"/>
            </w:tcBorders>
            <w:vAlign w:val="center"/>
            <w:hideMark/>
          </w:tcPr>
          <w:p w14:paraId="6FBC76D1"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Order</w:t>
            </w:r>
          </w:p>
        </w:tc>
      </w:tr>
      <w:tr w:rsidR="00CF091D" w:rsidRPr="00E15729" w14:paraId="36EB07A1" w14:textId="77777777" w:rsidTr="00CF091D">
        <w:tc>
          <w:tcPr>
            <w:tcW w:w="1435" w:type="dxa"/>
            <w:tcBorders>
              <w:top w:val="single" w:sz="4" w:space="0" w:color="auto"/>
              <w:left w:val="single" w:sz="4" w:space="0" w:color="auto"/>
              <w:bottom w:val="single" w:sz="4" w:space="0" w:color="auto"/>
              <w:right w:val="single" w:sz="4" w:space="0" w:color="auto"/>
            </w:tcBorders>
            <w:vAlign w:val="center"/>
            <w:hideMark/>
          </w:tcPr>
          <w:p w14:paraId="75F5792A"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Family</w:t>
            </w:r>
          </w:p>
        </w:tc>
        <w:tc>
          <w:tcPr>
            <w:tcW w:w="1620" w:type="dxa"/>
            <w:tcBorders>
              <w:top w:val="single" w:sz="4" w:space="0" w:color="auto"/>
              <w:left w:val="single" w:sz="4" w:space="0" w:color="auto"/>
              <w:bottom w:val="single" w:sz="4" w:space="0" w:color="auto"/>
              <w:right w:val="single" w:sz="4" w:space="0" w:color="auto"/>
            </w:tcBorders>
            <w:vAlign w:val="center"/>
            <w:hideMark/>
          </w:tcPr>
          <w:p w14:paraId="6536343F"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267</w:t>
            </w:r>
          </w:p>
        </w:tc>
        <w:tc>
          <w:tcPr>
            <w:tcW w:w="2790" w:type="dxa"/>
            <w:tcBorders>
              <w:top w:val="single" w:sz="4" w:space="0" w:color="auto"/>
              <w:left w:val="single" w:sz="4" w:space="0" w:color="auto"/>
              <w:bottom w:val="single" w:sz="4" w:space="0" w:color="auto"/>
              <w:right w:val="single" w:sz="4" w:space="0" w:color="auto"/>
            </w:tcBorders>
            <w:vAlign w:val="center"/>
            <w:hideMark/>
          </w:tcPr>
          <w:p w14:paraId="6B7F359E"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97.7</w:t>
            </w:r>
          </w:p>
        </w:tc>
        <w:tc>
          <w:tcPr>
            <w:tcW w:w="2340" w:type="dxa"/>
            <w:tcBorders>
              <w:top w:val="single" w:sz="4" w:space="0" w:color="auto"/>
              <w:left w:val="single" w:sz="4" w:space="0" w:color="auto"/>
              <w:bottom w:val="single" w:sz="4" w:space="0" w:color="auto"/>
              <w:right w:val="single" w:sz="4" w:space="0" w:color="auto"/>
            </w:tcBorders>
            <w:vAlign w:val="center"/>
            <w:hideMark/>
          </w:tcPr>
          <w:p w14:paraId="0A38DB59"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2.3</w:t>
            </w:r>
          </w:p>
        </w:tc>
        <w:tc>
          <w:tcPr>
            <w:tcW w:w="1165" w:type="dxa"/>
            <w:tcBorders>
              <w:top w:val="single" w:sz="4" w:space="0" w:color="auto"/>
              <w:left w:val="single" w:sz="4" w:space="0" w:color="auto"/>
              <w:bottom w:val="single" w:sz="4" w:space="0" w:color="auto"/>
              <w:right w:val="single" w:sz="4" w:space="0" w:color="auto"/>
            </w:tcBorders>
            <w:vAlign w:val="center"/>
            <w:hideMark/>
          </w:tcPr>
          <w:p w14:paraId="42439D01"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Family</w:t>
            </w:r>
          </w:p>
        </w:tc>
      </w:tr>
      <w:tr w:rsidR="00CF091D" w:rsidRPr="00E15729" w14:paraId="1F916B15" w14:textId="77777777" w:rsidTr="00CF091D">
        <w:tc>
          <w:tcPr>
            <w:tcW w:w="1435" w:type="dxa"/>
            <w:tcBorders>
              <w:top w:val="single" w:sz="4" w:space="0" w:color="auto"/>
              <w:left w:val="single" w:sz="4" w:space="0" w:color="auto"/>
              <w:bottom w:val="single" w:sz="4" w:space="0" w:color="auto"/>
              <w:right w:val="single" w:sz="4" w:space="0" w:color="auto"/>
            </w:tcBorders>
            <w:vAlign w:val="center"/>
            <w:hideMark/>
          </w:tcPr>
          <w:p w14:paraId="71908447"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Genus</w:t>
            </w:r>
          </w:p>
        </w:tc>
        <w:tc>
          <w:tcPr>
            <w:tcW w:w="1620" w:type="dxa"/>
            <w:tcBorders>
              <w:top w:val="single" w:sz="4" w:space="0" w:color="auto"/>
              <w:left w:val="single" w:sz="4" w:space="0" w:color="auto"/>
              <w:bottom w:val="single" w:sz="4" w:space="0" w:color="auto"/>
              <w:right w:val="single" w:sz="4" w:space="0" w:color="auto"/>
            </w:tcBorders>
            <w:vAlign w:val="center"/>
            <w:hideMark/>
          </w:tcPr>
          <w:p w14:paraId="502F7AFF"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60</w:t>
            </w:r>
          </w:p>
        </w:tc>
        <w:tc>
          <w:tcPr>
            <w:tcW w:w="2790" w:type="dxa"/>
            <w:tcBorders>
              <w:top w:val="single" w:sz="4" w:space="0" w:color="auto"/>
              <w:left w:val="single" w:sz="4" w:space="0" w:color="auto"/>
              <w:bottom w:val="single" w:sz="4" w:space="0" w:color="auto"/>
              <w:right w:val="single" w:sz="4" w:space="0" w:color="auto"/>
            </w:tcBorders>
            <w:vAlign w:val="center"/>
            <w:hideMark/>
          </w:tcPr>
          <w:p w14:paraId="488E755C"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96.6</w:t>
            </w:r>
          </w:p>
        </w:tc>
        <w:tc>
          <w:tcPr>
            <w:tcW w:w="2340" w:type="dxa"/>
            <w:tcBorders>
              <w:top w:val="single" w:sz="4" w:space="0" w:color="auto"/>
              <w:left w:val="single" w:sz="4" w:space="0" w:color="auto"/>
              <w:bottom w:val="single" w:sz="4" w:space="0" w:color="auto"/>
              <w:right w:val="single" w:sz="4" w:space="0" w:color="auto"/>
            </w:tcBorders>
            <w:vAlign w:val="center"/>
            <w:hideMark/>
          </w:tcPr>
          <w:p w14:paraId="1C391368"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3.4</w:t>
            </w:r>
          </w:p>
        </w:tc>
        <w:tc>
          <w:tcPr>
            <w:tcW w:w="1165" w:type="dxa"/>
            <w:tcBorders>
              <w:top w:val="single" w:sz="4" w:space="0" w:color="auto"/>
              <w:left w:val="single" w:sz="4" w:space="0" w:color="auto"/>
              <w:bottom w:val="single" w:sz="4" w:space="0" w:color="auto"/>
              <w:right w:val="single" w:sz="4" w:space="0" w:color="auto"/>
            </w:tcBorders>
            <w:vAlign w:val="center"/>
            <w:hideMark/>
          </w:tcPr>
          <w:p w14:paraId="54AA2D1C" w14:textId="77777777" w:rsidR="00CF091D" w:rsidRPr="00E15729" w:rsidRDefault="00CF091D">
            <w:pPr>
              <w:spacing w:line="480" w:lineRule="auto"/>
              <w:jc w:val="both"/>
              <w:rPr>
                <w:rFonts w:ascii="Times New Roman" w:hAnsi="Times New Roman" w:cs="Times New Roman"/>
                <w:sz w:val="24"/>
                <w:szCs w:val="24"/>
              </w:rPr>
            </w:pPr>
            <w:r w:rsidRPr="00E15729">
              <w:rPr>
                <w:rFonts w:ascii="Times New Roman" w:hAnsi="Times New Roman" w:cs="Times New Roman"/>
                <w:sz w:val="24"/>
                <w:szCs w:val="24"/>
              </w:rPr>
              <w:t>Genus</w:t>
            </w:r>
          </w:p>
        </w:tc>
      </w:tr>
    </w:tbl>
    <w:p w14:paraId="065E25F3" w14:textId="29D7EC7E" w:rsidR="00A87A0A" w:rsidRPr="00E15729" w:rsidRDefault="00A87A0A" w:rsidP="00CA6DD4">
      <w:pPr>
        <w:spacing w:line="480" w:lineRule="auto"/>
        <w:jc w:val="both"/>
        <w:rPr>
          <w:rFonts w:ascii="Times New Roman" w:hAnsi="Times New Roman" w:cs="Times New Roman"/>
          <w:sz w:val="24"/>
          <w:szCs w:val="24"/>
        </w:rPr>
      </w:pPr>
    </w:p>
    <w:p w14:paraId="5B9871B1" w14:textId="77777777" w:rsidR="00A87A0A" w:rsidRPr="00E15729" w:rsidRDefault="00A87A0A">
      <w:pPr>
        <w:spacing w:after="160" w:line="259" w:lineRule="auto"/>
        <w:rPr>
          <w:rFonts w:ascii="Times New Roman" w:hAnsi="Times New Roman" w:cs="Times New Roman"/>
          <w:sz w:val="24"/>
          <w:szCs w:val="24"/>
        </w:rPr>
      </w:pPr>
      <w:r w:rsidRPr="00E15729">
        <w:rPr>
          <w:rFonts w:ascii="Times New Roman" w:hAnsi="Times New Roman" w:cs="Times New Roman"/>
          <w:sz w:val="24"/>
          <w:szCs w:val="24"/>
        </w:rPr>
        <w:br w:type="page"/>
      </w:r>
    </w:p>
    <w:p w14:paraId="1DF5514A" w14:textId="77777777" w:rsidR="00A87A0A" w:rsidRPr="00E15729" w:rsidRDefault="00A87A0A" w:rsidP="00A87A0A">
      <w:pPr>
        <w:spacing w:line="480" w:lineRule="auto"/>
        <w:jc w:val="both"/>
        <w:rPr>
          <w:rFonts w:ascii="Times New Roman" w:hAnsi="Times New Roman" w:cs="Times New Roman"/>
          <w:sz w:val="24"/>
          <w:szCs w:val="24"/>
        </w:rPr>
      </w:pPr>
      <w:r w:rsidRPr="00E15729">
        <w:rPr>
          <w:rFonts w:ascii="Times New Roman" w:hAnsi="Times New Roman" w:cs="Times New Roman"/>
          <w:b/>
          <w:bCs/>
          <w:sz w:val="24"/>
          <w:szCs w:val="24"/>
        </w:rPr>
        <w:lastRenderedPageBreak/>
        <w:t>References</w:t>
      </w:r>
    </w:p>
    <w:p w14:paraId="50AFD4CB" w14:textId="77777777" w:rsidR="00404777" w:rsidRPr="002F7877" w:rsidRDefault="00404777" w:rsidP="00404777">
      <w:pPr>
        <w:pStyle w:val="EndNoteBibliography"/>
        <w:numPr>
          <w:ilvl w:val="0"/>
          <w:numId w:val="1"/>
        </w:numPr>
        <w:spacing w:after="240"/>
        <w:rPr>
          <w:rFonts w:ascii="Times New Roman" w:hAnsi="Times New Roman" w:cs="Times New Roman"/>
          <w:sz w:val="24"/>
          <w:szCs w:val="24"/>
        </w:rPr>
      </w:pPr>
      <w:r w:rsidRPr="002F7877">
        <w:rPr>
          <w:rFonts w:ascii="Times New Roman" w:hAnsi="Times New Roman" w:cs="Times New Roman"/>
          <w:sz w:val="24"/>
          <w:szCs w:val="24"/>
        </w:rPr>
        <w:t xml:space="preserve">Parks, D. H., M. Chuvochina, D. W. Waite, C. Rinke, A. Skarshewski, P. A. Chaumeil and P. Hugenholtz (2018). "A standardized bacterial taxonomy based on genome phylogeny substantially revises the tree of life." </w:t>
      </w:r>
      <w:r w:rsidRPr="002F7877">
        <w:rPr>
          <w:rFonts w:ascii="Times New Roman" w:hAnsi="Times New Roman" w:cs="Times New Roman"/>
          <w:sz w:val="24"/>
          <w:szCs w:val="24"/>
          <w:u w:val="single"/>
        </w:rPr>
        <w:t>Nat Biotechnol</w:t>
      </w:r>
      <w:r w:rsidRPr="002F7877">
        <w:rPr>
          <w:rFonts w:ascii="Times New Roman" w:hAnsi="Times New Roman" w:cs="Times New Roman"/>
          <w:sz w:val="24"/>
          <w:szCs w:val="24"/>
        </w:rPr>
        <w:t xml:space="preserve"> </w:t>
      </w:r>
      <w:r w:rsidRPr="002F7877">
        <w:rPr>
          <w:rFonts w:ascii="Times New Roman" w:hAnsi="Times New Roman" w:cs="Times New Roman"/>
          <w:b/>
          <w:sz w:val="24"/>
          <w:szCs w:val="24"/>
        </w:rPr>
        <w:t>36</w:t>
      </w:r>
      <w:r w:rsidRPr="002F7877">
        <w:rPr>
          <w:rFonts w:ascii="Times New Roman" w:hAnsi="Times New Roman" w:cs="Times New Roman"/>
          <w:sz w:val="24"/>
          <w:szCs w:val="24"/>
        </w:rPr>
        <w:t>(10): 996-1004.</w:t>
      </w:r>
    </w:p>
    <w:p w14:paraId="04835A73" w14:textId="77777777" w:rsidR="00404777" w:rsidRPr="002F7877" w:rsidRDefault="00404777" w:rsidP="00404777">
      <w:pPr>
        <w:pStyle w:val="EndNoteBibliography"/>
        <w:numPr>
          <w:ilvl w:val="0"/>
          <w:numId w:val="1"/>
        </w:numPr>
        <w:spacing w:after="240"/>
        <w:rPr>
          <w:rFonts w:ascii="Times New Roman" w:hAnsi="Times New Roman" w:cs="Times New Roman"/>
          <w:sz w:val="24"/>
          <w:szCs w:val="24"/>
        </w:rPr>
      </w:pPr>
      <w:r w:rsidRPr="002F7877">
        <w:rPr>
          <w:rFonts w:ascii="Times New Roman" w:hAnsi="Times New Roman" w:cs="Times New Roman"/>
          <w:sz w:val="24"/>
          <w:szCs w:val="24"/>
        </w:rPr>
        <w:t xml:space="preserve">Chaumeil, P. A., A. J. Mussig, P. Hugenholtz and D. H. Parks (2019). "GTDB-Tk: a toolkit to classify genomes with the Genome Taxonomy Database." </w:t>
      </w:r>
      <w:r w:rsidRPr="002F7877">
        <w:rPr>
          <w:rFonts w:ascii="Times New Roman" w:hAnsi="Times New Roman" w:cs="Times New Roman"/>
          <w:sz w:val="24"/>
          <w:szCs w:val="24"/>
          <w:u w:val="single"/>
        </w:rPr>
        <w:t>Bioinformatics</w:t>
      </w:r>
      <w:r w:rsidRPr="002F7877">
        <w:rPr>
          <w:rFonts w:ascii="Times New Roman" w:hAnsi="Times New Roman" w:cs="Times New Roman"/>
          <w:sz w:val="24"/>
          <w:szCs w:val="24"/>
        </w:rPr>
        <w:t xml:space="preserve"> </w:t>
      </w:r>
      <w:r w:rsidRPr="002F7877">
        <w:rPr>
          <w:rFonts w:ascii="Times New Roman" w:hAnsi="Times New Roman" w:cs="Times New Roman"/>
          <w:b/>
          <w:bCs/>
          <w:sz w:val="24"/>
          <w:szCs w:val="24"/>
        </w:rPr>
        <w:t>36</w:t>
      </w:r>
      <w:r w:rsidRPr="002F7877">
        <w:rPr>
          <w:rFonts w:ascii="Times New Roman" w:hAnsi="Times New Roman" w:cs="Times New Roman"/>
          <w:sz w:val="24"/>
          <w:szCs w:val="24"/>
        </w:rPr>
        <w:t>(6):1925-1927.</w:t>
      </w:r>
    </w:p>
    <w:p w14:paraId="3E319411" w14:textId="77777777" w:rsidR="00404777" w:rsidRPr="002F7877" w:rsidRDefault="00404777" w:rsidP="00404777">
      <w:pPr>
        <w:pStyle w:val="EndNoteBibliography"/>
        <w:numPr>
          <w:ilvl w:val="0"/>
          <w:numId w:val="1"/>
        </w:numPr>
        <w:spacing w:after="240"/>
        <w:rPr>
          <w:rFonts w:ascii="Times New Roman" w:hAnsi="Times New Roman" w:cs="Times New Roman"/>
          <w:sz w:val="24"/>
          <w:szCs w:val="24"/>
        </w:rPr>
      </w:pPr>
      <w:r w:rsidRPr="002F7877">
        <w:rPr>
          <w:rFonts w:ascii="Times New Roman" w:hAnsi="Times New Roman" w:cs="Times New Roman"/>
          <w:sz w:val="24"/>
          <w:szCs w:val="24"/>
        </w:rPr>
        <w:t xml:space="preserve">Matsen, F. A., Kodner, R. B.,  Armbrust, E. V. (2010). “pplacer: linear time maximum-likelihood and Bayesian phylogenetic placement of sequences onto a fixed reference tree.” </w:t>
      </w:r>
      <w:r w:rsidRPr="002F7877">
        <w:rPr>
          <w:rFonts w:ascii="Times New Roman" w:hAnsi="Times New Roman" w:cs="Times New Roman"/>
          <w:sz w:val="24"/>
          <w:szCs w:val="24"/>
          <w:u w:val="single"/>
        </w:rPr>
        <w:t>BMC Bioinformatics</w:t>
      </w:r>
      <w:r w:rsidRPr="002F7877">
        <w:rPr>
          <w:rFonts w:ascii="Times New Roman" w:hAnsi="Times New Roman" w:cs="Times New Roman"/>
          <w:sz w:val="24"/>
          <w:szCs w:val="24"/>
        </w:rPr>
        <w:t xml:space="preserve"> </w:t>
      </w:r>
      <w:r w:rsidRPr="002F7877">
        <w:rPr>
          <w:rFonts w:ascii="Times New Roman" w:hAnsi="Times New Roman" w:cs="Times New Roman"/>
          <w:b/>
          <w:bCs/>
          <w:color w:val="333333"/>
          <w:sz w:val="24"/>
          <w:szCs w:val="24"/>
          <w:shd w:val="clear" w:color="auto" w:fill="FFFFFF"/>
        </w:rPr>
        <w:t>11, </w:t>
      </w:r>
      <w:r w:rsidRPr="002F7877">
        <w:rPr>
          <w:rFonts w:ascii="Times New Roman" w:hAnsi="Times New Roman" w:cs="Times New Roman"/>
          <w:color w:val="333333"/>
          <w:sz w:val="24"/>
          <w:szCs w:val="24"/>
          <w:shd w:val="clear" w:color="auto" w:fill="FFFFFF"/>
        </w:rPr>
        <w:t>538.</w:t>
      </w:r>
      <w:r w:rsidRPr="002F7877">
        <w:rPr>
          <w:rFonts w:ascii="Times New Roman" w:hAnsi="Times New Roman" w:cs="Times New Roman"/>
          <w:sz w:val="24"/>
          <w:szCs w:val="24"/>
        </w:rPr>
        <w:t xml:space="preserve"> </w:t>
      </w:r>
    </w:p>
    <w:p w14:paraId="0F0A230D" w14:textId="77777777" w:rsidR="00404777" w:rsidRPr="002F7877" w:rsidRDefault="00404777" w:rsidP="00404777">
      <w:pPr>
        <w:pStyle w:val="EndNoteBibliography"/>
        <w:numPr>
          <w:ilvl w:val="0"/>
          <w:numId w:val="1"/>
        </w:numPr>
        <w:spacing w:after="240"/>
        <w:rPr>
          <w:rFonts w:ascii="Times New Roman" w:hAnsi="Times New Roman" w:cs="Times New Roman"/>
          <w:sz w:val="24"/>
          <w:szCs w:val="24"/>
        </w:rPr>
      </w:pPr>
      <w:r w:rsidRPr="002F7877">
        <w:rPr>
          <w:rFonts w:ascii="Times New Roman" w:hAnsi="Times New Roman" w:cs="Times New Roman"/>
          <w:sz w:val="24"/>
          <w:szCs w:val="24"/>
        </w:rPr>
        <w:t xml:space="preserve">Biller, S. J., P. M. Berube, D. Lindell and S. W. Chisholm (2015). "Prochlorococcus: the structure and function of collective diversity." </w:t>
      </w:r>
      <w:r w:rsidRPr="002F7877">
        <w:rPr>
          <w:rFonts w:ascii="Times New Roman" w:hAnsi="Times New Roman" w:cs="Times New Roman"/>
          <w:sz w:val="24"/>
          <w:szCs w:val="24"/>
          <w:u w:val="single"/>
        </w:rPr>
        <w:t>Nat Rev Microbiol</w:t>
      </w:r>
      <w:r w:rsidRPr="002F7877">
        <w:rPr>
          <w:rFonts w:ascii="Times New Roman" w:hAnsi="Times New Roman" w:cs="Times New Roman"/>
          <w:sz w:val="24"/>
          <w:szCs w:val="24"/>
        </w:rPr>
        <w:t xml:space="preserve"> </w:t>
      </w:r>
      <w:r w:rsidRPr="002F7877">
        <w:rPr>
          <w:rFonts w:ascii="Times New Roman" w:hAnsi="Times New Roman" w:cs="Times New Roman"/>
          <w:b/>
          <w:sz w:val="24"/>
          <w:szCs w:val="24"/>
        </w:rPr>
        <w:t>13</w:t>
      </w:r>
      <w:r w:rsidRPr="002F7877">
        <w:rPr>
          <w:rFonts w:ascii="Times New Roman" w:hAnsi="Times New Roman" w:cs="Times New Roman"/>
          <w:sz w:val="24"/>
          <w:szCs w:val="24"/>
        </w:rPr>
        <w:t>(1): 13-27.</w:t>
      </w:r>
    </w:p>
    <w:p w14:paraId="12EF5928" w14:textId="77777777" w:rsidR="00404777" w:rsidRPr="002F7877" w:rsidRDefault="00404777" w:rsidP="00404777">
      <w:pPr>
        <w:pStyle w:val="EndNoteBibliography"/>
        <w:numPr>
          <w:ilvl w:val="0"/>
          <w:numId w:val="1"/>
        </w:numPr>
        <w:rPr>
          <w:rFonts w:ascii="Times New Roman" w:hAnsi="Times New Roman" w:cs="Times New Roman"/>
          <w:sz w:val="24"/>
          <w:szCs w:val="24"/>
        </w:rPr>
      </w:pPr>
      <w:r w:rsidRPr="002F7877">
        <w:rPr>
          <w:rFonts w:ascii="Times New Roman" w:hAnsi="Times New Roman" w:cs="Times New Roman"/>
          <w:sz w:val="24"/>
          <w:szCs w:val="24"/>
        </w:rPr>
        <w:t xml:space="preserve">Tsementzi, D., R. L. Rodriguez, C. A. Ruiz-Perez, A. Meziti, J. K. Hatt and K. T. Konstantinidis (2019). "Ecogenomic characterization of widespread, closely-related SAR11 clades of the freshwater genus "Candidatus Fonsibacter" and proposal of Ca. Fonsibacter lacus sp. nov." </w:t>
      </w:r>
      <w:r w:rsidRPr="002F7877">
        <w:rPr>
          <w:rFonts w:ascii="Times New Roman" w:hAnsi="Times New Roman" w:cs="Times New Roman"/>
          <w:sz w:val="24"/>
          <w:szCs w:val="24"/>
          <w:u w:val="single"/>
        </w:rPr>
        <w:t>Syst Appl Microbiol</w:t>
      </w:r>
      <w:r w:rsidRPr="002F7877">
        <w:rPr>
          <w:rFonts w:ascii="Times New Roman" w:hAnsi="Times New Roman" w:cs="Times New Roman"/>
          <w:sz w:val="24"/>
          <w:szCs w:val="24"/>
        </w:rPr>
        <w:t xml:space="preserve"> </w:t>
      </w:r>
      <w:r w:rsidRPr="002F7877">
        <w:rPr>
          <w:rFonts w:ascii="Times New Roman" w:hAnsi="Times New Roman" w:cs="Times New Roman"/>
          <w:b/>
          <w:sz w:val="24"/>
          <w:szCs w:val="24"/>
        </w:rPr>
        <w:t>42</w:t>
      </w:r>
      <w:r w:rsidRPr="002F7877">
        <w:rPr>
          <w:rFonts w:ascii="Times New Roman" w:hAnsi="Times New Roman" w:cs="Times New Roman"/>
          <w:sz w:val="24"/>
          <w:szCs w:val="24"/>
        </w:rPr>
        <w:t>(4): 495-505.</w:t>
      </w:r>
    </w:p>
    <w:p w14:paraId="033C0630" w14:textId="77777777" w:rsidR="00404777" w:rsidRPr="002F7877" w:rsidRDefault="00404777" w:rsidP="00404777">
      <w:pPr>
        <w:pStyle w:val="EndNoteBibliography"/>
        <w:numPr>
          <w:ilvl w:val="0"/>
          <w:numId w:val="1"/>
        </w:numPr>
        <w:spacing w:after="240"/>
        <w:rPr>
          <w:rFonts w:ascii="Times New Roman" w:hAnsi="Times New Roman" w:cs="Times New Roman"/>
          <w:sz w:val="24"/>
          <w:szCs w:val="24"/>
        </w:rPr>
      </w:pPr>
      <w:r w:rsidRPr="002F7877">
        <w:rPr>
          <w:rFonts w:ascii="Times New Roman" w:hAnsi="Times New Roman" w:cs="Times New Roman"/>
          <w:sz w:val="24"/>
          <w:szCs w:val="24"/>
        </w:rPr>
        <w:t xml:space="preserve">Ruiz-Perez, C. A., A. D. Bertagnolli, D. Tsementzi, T. Woyke, F. J. Stewart and K. T. Konstantinidis (2021). "Description of Candidatus Mesopelagibacter carboxydoxydans and Candidatus Anoxipelagibacter denitrificans: Nitrate-reducing SAR11 genera that dominate mesopelagic and anoxic marine zones." </w:t>
      </w:r>
      <w:r w:rsidRPr="002F7877">
        <w:rPr>
          <w:rFonts w:ascii="Times New Roman" w:hAnsi="Times New Roman" w:cs="Times New Roman"/>
          <w:sz w:val="24"/>
          <w:szCs w:val="24"/>
          <w:u w:val="single"/>
        </w:rPr>
        <w:t>Syst Appl Microbiol</w:t>
      </w:r>
      <w:r w:rsidRPr="002F7877">
        <w:rPr>
          <w:rFonts w:ascii="Times New Roman" w:hAnsi="Times New Roman" w:cs="Times New Roman"/>
          <w:sz w:val="24"/>
          <w:szCs w:val="24"/>
        </w:rPr>
        <w:t xml:space="preserve"> </w:t>
      </w:r>
      <w:r w:rsidRPr="002F7877">
        <w:rPr>
          <w:rFonts w:ascii="Times New Roman" w:hAnsi="Times New Roman" w:cs="Times New Roman"/>
          <w:b/>
          <w:sz w:val="24"/>
          <w:szCs w:val="24"/>
        </w:rPr>
        <w:t>44</w:t>
      </w:r>
      <w:r w:rsidRPr="002F7877">
        <w:rPr>
          <w:rFonts w:ascii="Times New Roman" w:hAnsi="Times New Roman" w:cs="Times New Roman"/>
          <w:sz w:val="24"/>
          <w:szCs w:val="24"/>
        </w:rPr>
        <w:t>(2): 126185.</w:t>
      </w:r>
    </w:p>
    <w:p w14:paraId="202440D5" w14:textId="36F45517" w:rsidR="00CF091D" w:rsidRPr="00E15729" w:rsidRDefault="00CF091D" w:rsidP="00A87A0A">
      <w:pPr>
        <w:spacing w:line="480" w:lineRule="auto"/>
        <w:jc w:val="both"/>
        <w:rPr>
          <w:rFonts w:ascii="Times New Roman" w:hAnsi="Times New Roman" w:cs="Times New Roman"/>
          <w:sz w:val="24"/>
          <w:szCs w:val="24"/>
        </w:rPr>
      </w:pPr>
    </w:p>
    <w:sectPr w:rsidR="00CF091D" w:rsidRPr="00E157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F25D5F"/>
    <w:multiLevelType w:val="hybridMultilevel"/>
    <w:tmpl w:val="EC08961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AD8"/>
    <w:rsid w:val="00020379"/>
    <w:rsid w:val="00025CF8"/>
    <w:rsid w:val="000455D3"/>
    <w:rsid w:val="00087A76"/>
    <w:rsid w:val="000B583B"/>
    <w:rsid w:val="000B5B6D"/>
    <w:rsid w:val="000D1C2D"/>
    <w:rsid w:val="000D7FD6"/>
    <w:rsid w:val="000E61F5"/>
    <w:rsid w:val="000F1D43"/>
    <w:rsid w:val="000F4F2C"/>
    <w:rsid w:val="001119E7"/>
    <w:rsid w:val="001135B4"/>
    <w:rsid w:val="0013103B"/>
    <w:rsid w:val="00143B4E"/>
    <w:rsid w:val="001510DC"/>
    <w:rsid w:val="00191039"/>
    <w:rsid w:val="001926E2"/>
    <w:rsid w:val="00193589"/>
    <w:rsid w:val="001A0169"/>
    <w:rsid w:val="001B504D"/>
    <w:rsid w:val="001C5336"/>
    <w:rsid w:val="001C57AC"/>
    <w:rsid w:val="001D766A"/>
    <w:rsid w:val="001E0F8E"/>
    <w:rsid w:val="001E546B"/>
    <w:rsid w:val="001E7015"/>
    <w:rsid w:val="001F28AF"/>
    <w:rsid w:val="001F385A"/>
    <w:rsid w:val="001F5AD8"/>
    <w:rsid w:val="001F6C3B"/>
    <w:rsid w:val="00204B72"/>
    <w:rsid w:val="0020749A"/>
    <w:rsid w:val="00211773"/>
    <w:rsid w:val="00217283"/>
    <w:rsid w:val="002208C8"/>
    <w:rsid w:val="00221290"/>
    <w:rsid w:val="00221911"/>
    <w:rsid w:val="002245FB"/>
    <w:rsid w:val="00247E21"/>
    <w:rsid w:val="0025618A"/>
    <w:rsid w:val="00261CB5"/>
    <w:rsid w:val="002704A4"/>
    <w:rsid w:val="00280528"/>
    <w:rsid w:val="00287370"/>
    <w:rsid w:val="002943E1"/>
    <w:rsid w:val="002951DD"/>
    <w:rsid w:val="002A020A"/>
    <w:rsid w:val="002B68C7"/>
    <w:rsid w:val="002D503E"/>
    <w:rsid w:val="002F333C"/>
    <w:rsid w:val="00301BE7"/>
    <w:rsid w:val="00306972"/>
    <w:rsid w:val="003558C3"/>
    <w:rsid w:val="0037353F"/>
    <w:rsid w:val="00380260"/>
    <w:rsid w:val="003908A5"/>
    <w:rsid w:val="003910F7"/>
    <w:rsid w:val="003953D1"/>
    <w:rsid w:val="003A2FD3"/>
    <w:rsid w:val="003B31EF"/>
    <w:rsid w:val="003B54CF"/>
    <w:rsid w:val="003C6703"/>
    <w:rsid w:val="003D324B"/>
    <w:rsid w:val="003D4CAC"/>
    <w:rsid w:val="003D4EEC"/>
    <w:rsid w:val="00404777"/>
    <w:rsid w:val="0041141E"/>
    <w:rsid w:val="00414C3C"/>
    <w:rsid w:val="004150ED"/>
    <w:rsid w:val="004157A0"/>
    <w:rsid w:val="004353F2"/>
    <w:rsid w:val="0044161A"/>
    <w:rsid w:val="00445106"/>
    <w:rsid w:val="0045088B"/>
    <w:rsid w:val="00453F61"/>
    <w:rsid w:val="004658A0"/>
    <w:rsid w:val="00477B15"/>
    <w:rsid w:val="00491F2C"/>
    <w:rsid w:val="004A32D4"/>
    <w:rsid w:val="004B200F"/>
    <w:rsid w:val="004C0936"/>
    <w:rsid w:val="004D057F"/>
    <w:rsid w:val="004D5DF8"/>
    <w:rsid w:val="004E4D17"/>
    <w:rsid w:val="005008C7"/>
    <w:rsid w:val="00514849"/>
    <w:rsid w:val="00522A6E"/>
    <w:rsid w:val="00531146"/>
    <w:rsid w:val="005362B0"/>
    <w:rsid w:val="0054140F"/>
    <w:rsid w:val="00547004"/>
    <w:rsid w:val="00552AC0"/>
    <w:rsid w:val="00554973"/>
    <w:rsid w:val="0057401B"/>
    <w:rsid w:val="005769FF"/>
    <w:rsid w:val="005807D4"/>
    <w:rsid w:val="00596639"/>
    <w:rsid w:val="005B72D8"/>
    <w:rsid w:val="005E3477"/>
    <w:rsid w:val="005E5BD4"/>
    <w:rsid w:val="005F31B5"/>
    <w:rsid w:val="00614329"/>
    <w:rsid w:val="0061547B"/>
    <w:rsid w:val="0062225D"/>
    <w:rsid w:val="0063034C"/>
    <w:rsid w:val="00651B2E"/>
    <w:rsid w:val="00653E70"/>
    <w:rsid w:val="0065690D"/>
    <w:rsid w:val="00666832"/>
    <w:rsid w:val="00683478"/>
    <w:rsid w:val="00686ABF"/>
    <w:rsid w:val="0069299C"/>
    <w:rsid w:val="00693528"/>
    <w:rsid w:val="006D3042"/>
    <w:rsid w:val="006D5370"/>
    <w:rsid w:val="006F232F"/>
    <w:rsid w:val="006F6D83"/>
    <w:rsid w:val="00706851"/>
    <w:rsid w:val="007317E6"/>
    <w:rsid w:val="00731B6F"/>
    <w:rsid w:val="00763625"/>
    <w:rsid w:val="00775E10"/>
    <w:rsid w:val="007830F1"/>
    <w:rsid w:val="0078522F"/>
    <w:rsid w:val="00797194"/>
    <w:rsid w:val="007B59A1"/>
    <w:rsid w:val="007B739E"/>
    <w:rsid w:val="007C3C99"/>
    <w:rsid w:val="007D2BCF"/>
    <w:rsid w:val="007D3355"/>
    <w:rsid w:val="007F588E"/>
    <w:rsid w:val="008277B7"/>
    <w:rsid w:val="008307C5"/>
    <w:rsid w:val="0084251A"/>
    <w:rsid w:val="00857FA6"/>
    <w:rsid w:val="00866E93"/>
    <w:rsid w:val="008678DC"/>
    <w:rsid w:val="008A6DE0"/>
    <w:rsid w:val="008E331C"/>
    <w:rsid w:val="008E3D56"/>
    <w:rsid w:val="008E6667"/>
    <w:rsid w:val="00912283"/>
    <w:rsid w:val="00915367"/>
    <w:rsid w:val="00917366"/>
    <w:rsid w:val="00922897"/>
    <w:rsid w:val="00963AE7"/>
    <w:rsid w:val="00967555"/>
    <w:rsid w:val="009805BF"/>
    <w:rsid w:val="00983065"/>
    <w:rsid w:val="009831DE"/>
    <w:rsid w:val="009A3753"/>
    <w:rsid w:val="009A5DF3"/>
    <w:rsid w:val="009A7985"/>
    <w:rsid w:val="009B1CA9"/>
    <w:rsid w:val="009B7299"/>
    <w:rsid w:val="009C07C4"/>
    <w:rsid w:val="009E4071"/>
    <w:rsid w:val="009F2D95"/>
    <w:rsid w:val="009F2F09"/>
    <w:rsid w:val="00A11D35"/>
    <w:rsid w:val="00A256EC"/>
    <w:rsid w:val="00A4633A"/>
    <w:rsid w:val="00A657A8"/>
    <w:rsid w:val="00A74822"/>
    <w:rsid w:val="00A76D23"/>
    <w:rsid w:val="00A86C35"/>
    <w:rsid w:val="00A86F8F"/>
    <w:rsid w:val="00A87A0A"/>
    <w:rsid w:val="00AA0F1E"/>
    <w:rsid w:val="00AA29BE"/>
    <w:rsid w:val="00AE1FEB"/>
    <w:rsid w:val="00AF11DA"/>
    <w:rsid w:val="00B03BD1"/>
    <w:rsid w:val="00B1066D"/>
    <w:rsid w:val="00B16E55"/>
    <w:rsid w:val="00B248A8"/>
    <w:rsid w:val="00B24AFA"/>
    <w:rsid w:val="00B2788F"/>
    <w:rsid w:val="00B41198"/>
    <w:rsid w:val="00B442C1"/>
    <w:rsid w:val="00B52CA5"/>
    <w:rsid w:val="00B52E8F"/>
    <w:rsid w:val="00B5323D"/>
    <w:rsid w:val="00B6137C"/>
    <w:rsid w:val="00B829E0"/>
    <w:rsid w:val="00B87292"/>
    <w:rsid w:val="00BA2FC7"/>
    <w:rsid w:val="00BB42A7"/>
    <w:rsid w:val="00BC70D1"/>
    <w:rsid w:val="00BD22E2"/>
    <w:rsid w:val="00BD3389"/>
    <w:rsid w:val="00BD67CA"/>
    <w:rsid w:val="00BE49F1"/>
    <w:rsid w:val="00BE7733"/>
    <w:rsid w:val="00BF5FC4"/>
    <w:rsid w:val="00C0595A"/>
    <w:rsid w:val="00C07671"/>
    <w:rsid w:val="00C17717"/>
    <w:rsid w:val="00C30F0F"/>
    <w:rsid w:val="00C35394"/>
    <w:rsid w:val="00C363BF"/>
    <w:rsid w:val="00C3684A"/>
    <w:rsid w:val="00C51309"/>
    <w:rsid w:val="00C52A60"/>
    <w:rsid w:val="00C60F0D"/>
    <w:rsid w:val="00C64CCB"/>
    <w:rsid w:val="00C66801"/>
    <w:rsid w:val="00C940FB"/>
    <w:rsid w:val="00CA5C8F"/>
    <w:rsid w:val="00CA60F8"/>
    <w:rsid w:val="00CA6DD4"/>
    <w:rsid w:val="00CB5BDC"/>
    <w:rsid w:val="00CC10BB"/>
    <w:rsid w:val="00CD2A82"/>
    <w:rsid w:val="00CF091D"/>
    <w:rsid w:val="00D00CC6"/>
    <w:rsid w:val="00D43255"/>
    <w:rsid w:val="00D64EEC"/>
    <w:rsid w:val="00D718BB"/>
    <w:rsid w:val="00D812AB"/>
    <w:rsid w:val="00D845BB"/>
    <w:rsid w:val="00DB14F4"/>
    <w:rsid w:val="00DB2BEB"/>
    <w:rsid w:val="00DD336F"/>
    <w:rsid w:val="00E10E3D"/>
    <w:rsid w:val="00E15729"/>
    <w:rsid w:val="00E232D2"/>
    <w:rsid w:val="00E37390"/>
    <w:rsid w:val="00E37DD1"/>
    <w:rsid w:val="00E37E64"/>
    <w:rsid w:val="00E67990"/>
    <w:rsid w:val="00E72C5D"/>
    <w:rsid w:val="00E734D2"/>
    <w:rsid w:val="00E7566B"/>
    <w:rsid w:val="00E841B3"/>
    <w:rsid w:val="00E856B5"/>
    <w:rsid w:val="00E95E18"/>
    <w:rsid w:val="00ED0383"/>
    <w:rsid w:val="00EF249B"/>
    <w:rsid w:val="00EF42F9"/>
    <w:rsid w:val="00F21CF7"/>
    <w:rsid w:val="00F22560"/>
    <w:rsid w:val="00F308A0"/>
    <w:rsid w:val="00F30EF4"/>
    <w:rsid w:val="00F349C1"/>
    <w:rsid w:val="00F356A8"/>
    <w:rsid w:val="00F378C5"/>
    <w:rsid w:val="00F40CCB"/>
    <w:rsid w:val="00F51483"/>
    <w:rsid w:val="00F56EC5"/>
    <w:rsid w:val="00F65D7D"/>
    <w:rsid w:val="00F73F01"/>
    <w:rsid w:val="00F8763F"/>
    <w:rsid w:val="00FA2371"/>
    <w:rsid w:val="00FB3EBD"/>
    <w:rsid w:val="00FB5D5D"/>
    <w:rsid w:val="00FC07C8"/>
    <w:rsid w:val="00FD0CEC"/>
    <w:rsid w:val="00FD62C9"/>
    <w:rsid w:val="00FE0F1C"/>
    <w:rsid w:val="00FE4F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D87A2"/>
  <w15:chartTrackingRefBased/>
  <w15:docId w15:val="{03D00909-B8B6-4B7B-9457-88A295D66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D5DF8"/>
    <w:rPr>
      <w:sz w:val="16"/>
      <w:szCs w:val="16"/>
    </w:rPr>
  </w:style>
  <w:style w:type="paragraph" w:styleId="CommentText">
    <w:name w:val="annotation text"/>
    <w:basedOn w:val="Normal"/>
    <w:link w:val="CommentTextChar"/>
    <w:uiPriority w:val="99"/>
    <w:unhideWhenUsed/>
    <w:rsid w:val="004D5DF8"/>
    <w:pPr>
      <w:spacing w:after="160"/>
    </w:pPr>
    <w:rPr>
      <w:sz w:val="20"/>
      <w:szCs w:val="20"/>
    </w:rPr>
  </w:style>
  <w:style w:type="character" w:customStyle="1" w:styleId="CommentTextChar">
    <w:name w:val="Comment Text Char"/>
    <w:basedOn w:val="DefaultParagraphFont"/>
    <w:link w:val="CommentText"/>
    <w:uiPriority w:val="99"/>
    <w:rsid w:val="004D5DF8"/>
    <w:rPr>
      <w:sz w:val="20"/>
      <w:szCs w:val="20"/>
    </w:rPr>
  </w:style>
  <w:style w:type="paragraph" w:styleId="CommentSubject">
    <w:name w:val="annotation subject"/>
    <w:basedOn w:val="CommentText"/>
    <w:next w:val="CommentText"/>
    <w:link w:val="CommentSubjectChar"/>
    <w:uiPriority w:val="99"/>
    <w:semiHidden/>
    <w:unhideWhenUsed/>
    <w:rsid w:val="001F385A"/>
    <w:pPr>
      <w:spacing w:after="0"/>
    </w:pPr>
    <w:rPr>
      <w:b/>
      <w:bCs/>
    </w:rPr>
  </w:style>
  <w:style w:type="character" w:customStyle="1" w:styleId="CommentSubjectChar">
    <w:name w:val="Comment Subject Char"/>
    <w:basedOn w:val="CommentTextChar"/>
    <w:link w:val="CommentSubject"/>
    <w:uiPriority w:val="99"/>
    <w:semiHidden/>
    <w:rsid w:val="001F385A"/>
    <w:rPr>
      <w:b/>
      <w:bCs/>
      <w:sz w:val="20"/>
      <w:szCs w:val="20"/>
    </w:rPr>
  </w:style>
  <w:style w:type="paragraph" w:styleId="Revision">
    <w:name w:val="Revision"/>
    <w:hidden/>
    <w:uiPriority w:val="99"/>
    <w:semiHidden/>
    <w:rsid w:val="00B03BD1"/>
    <w:pPr>
      <w:spacing w:after="0" w:line="240" w:lineRule="auto"/>
    </w:pPr>
  </w:style>
  <w:style w:type="table" w:styleId="TableGrid">
    <w:name w:val="Table Grid"/>
    <w:basedOn w:val="TableNormal"/>
    <w:uiPriority w:val="39"/>
    <w:rsid w:val="00CF091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A87A0A"/>
    <w:pPr>
      <w:spacing w:after="160"/>
      <w:jc w:val="both"/>
    </w:pPr>
    <w:rPr>
      <w:rFonts w:ascii="Calibri" w:hAnsi="Calibri" w:cs="Calibri"/>
      <w:noProof/>
    </w:rPr>
  </w:style>
  <w:style w:type="character" w:customStyle="1" w:styleId="EndNoteBibliographyChar">
    <w:name w:val="EndNote Bibliography Char"/>
    <w:basedOn w:val="DefaultParagraphFont"/>
    <w:link w:val="EndNoteBibliography"/>
    <w:rsid w:val="00A87A0A"/>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55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8EDE05-D37F-468D-BE5C-E15B32FA8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2156</TotalTime>
  <Pages>8</Pages>
  <Words>2055</Words>
  <Characters>11715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Gerhardt, Kenji A</dc:creator>
  <cp:keywords/>
  <dc:description/>
  <cp:lastModifiedBy>Gerhardt, Kenji A</cp:lastModifiedBy>
  <cp:revision>62</cp:revision>
  <dcterms:created xsi:type="dcterms:W3CDTF">2022-03-12T17:26:00Z</dcterms:created>
  <dcterms:modified xsi:type="dcterms:W3CDTF">2022-03-16T14:07:00Z</dcterms:modified>
</cp:coreProperties>
</file>