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dTable6Colorful"/>
        <w:tblpPr w:leftFromText="180" w:rightFromText="180" w:horzAnchor="margin" w:tblpY="1008"/>
        <w:tblW w:w="10373" w:type="dxa"/>
        <w:tblLayout w:type="fixed"/>
        <w:tblLook w:val="04A0" w:firstRow="1" w:lastRow="0" w:firstColumn="1" w:lastColumn="0" w:noHBand="0" w:noVBand="1"/>
      </w:tblPr>
      <w:tblGrid>
        <w:gridCol w:w="2590"/>
        <w:gridCol w:w="3060"/>
        <w:gridCol w:w="1001"/>
        <w:gridCol w:w="770"/>
        <w:gridCol w:w="898"/>
        <w:gridCol w:w="1026"/>
        <w:gridCol w:w="1028"/>
      </w:tblGrid>
      <w:tr w:rsidR="00E912E5" w:rsidRPr="00545B7C" w14:paraId="5DB04CCE" w14:textId="0EE0646F" w:rsidTr="004F13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  <w:vMerge w:val="restart"/>
            <w:tcBorders>
              <w:right w:val="single" w:sz="4" w:space="0" w:color="auto"/>
            </w:tcBorders>
          </w:tcPr>
          <w:p w14:paraId="504CD5AB" w14:textId="1345C516" w:rsidR="00E912E5" w:rsidRPr="00545B7C" w:rsidRDefault="00E912E5" w:rsidP="004F1352">
            <w:pPr>
              <w:autoSpaceDE w:val="0"/>
              <w:autoSpaceDN w:val="0"/>
              <w:adjustRightInd w:val="0"/>
              <w:spacing w:after="0"/>
              <w:rPr>
                <w:b w:val="0"/>
                <w:bCs w:val="0"/>
                <w:sz w:val="22"/>
              </w:rPr>
            </w:pPr>
            <w:bookmarkStart w:id="0" w:name="_Hlk37518679"/>
            <w:r w:rsidRPr="00E912E5">
              <w:rPr>
                <w:sz w:val="22"/>
              </w:rPr>
              <w:t>Question</w:t>
            </w:r>
          </w:p>
        </w:tc>
        <w:tc>
          <w:tcPr>
            <w:tcW w:w="47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99F16" w14:textId="1833E07D" w:rsidR="00E912E5" w:rsidRPr="00545B7C" w:rsidRDefault="00E912E5" w:rsidP="004F1352">
            <w:pPr>
              <w:autoSpaceDE w:val="0"/>
              <w:autoSpaceDN w:val="0"/>
              <w:adjustRightInd w:val="0"/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545B7C">
              <w:rPr>
                <w:sz w:val="22"/>
              </w:rPr>
              <w:t>Participants response (</w:t>
            </w:r>
            <w:r w:rsidR="004F1352" w:rsidRPr="00545B7C">
              <w:rPr>
                <w:sz w:val="22"/>
              </w:rPr>
              <w:t>5-point</w:t>
            </w:r>
            <w:r w:rsidRPr="00545B7C">
              <w:rPr>
                <w:sz w:val="22"/>
              </w:rPr>
              <w:t xml:space="preserve"> Likert scale)</w:t>
            </w:r>
          </w:p>
        </w:tc>
      </w:tr>
      <w:tr w:rsidR="00E912E5" w:rsidRPr="00545B7C" w14:paraId="67442FF3" w14:textId="41D8E1A3" w:rsidTr="004F13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  <w:vMerge/>
            <w:tcBorders>
              <w:right w:val="single" w:sz="4" w:space="0" w:color="auto"/>
            </w:tcBorders>
          </w:tcPr>
          <w:p w14:paraId="4F7F71F9" w14:textId="4C527B01" w:rsidR="00E912E5" w:rsidRPr="00545B7C" w:rsidRDefault="00E912E5" w:rsidP="004F1352">
            <w:pPr>
              <w:autoSpaceDE w:val="0"/>
              <w:autoSpaceDN w:val="0"/>
              <w:adjustRightInd w:val="0"/>
              <w:spacing w:after="0"/>
              <w:rPr>
                <w:sz w:val="22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</w:tcBorders>
          </w:tcPr>
          <w:p w14:paraId="411F0E12" w14:textId="2A31A8DF" w:rsidR="00E912E5" w:rsidRPr="00545B7C" w:rsidRDefault="00E912E5" w:rsidP="004F135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545B7C">
              <w:rPr>
                <w:sz w:val="22"/>
              </w:rPr>
              <w:t>Strongly agree</w:t>
            </w:r>
          </w:p>
        </w:tc>
        <w:tc>
          <w:tcPr>
            <w:tcW w:w="770" w:type="dxa"/>
            <w:tcBorders>
              <w:top w:val="single" w:sz="4" w:space="0" w:color="auto"/>
            </w:tcBorders>
          </w:tcPr>
          <w:p w14:paraId="7F0DC8FF" w14:textId="1F2D447E" w:rsidR="00E912E5" w:rsidRPr="00545B7C" w:rsidRDefault="00E912E5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545B7C">
              <w:rPr>
                <w:sz w:val="22"/>
              </w:rPr>
              <w:t>Agree</w:t>
            </w:r>
          </w:p>
        </w:tc>
        <w:tc>
          <w:tcPr>
            <w:tcW w:w="898" w:type="dxa"/>
            <w:tcBorders>
              <w:top w:val="single" w:sz="4" w:space="0" w:color="auto"/>
            </w:tcBorders>
          </w:tcPr>
          <w:p w14:paraId="40AE2FCA" w14:textId="16BF5398" w:rsidR="00E912E5" w:rsidRPr="00545B7C" w:rsidRDefault="00E912E5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545B7C">
              <w:rPr>
                <w:sz w:val="22"/>
              </w:rPr>
              <w:t>Neutral</w:t>
            </w:r>
          </w:p>
        </w:tc>
        <w:tc>
          <w:tcPr>
            <w:tcW w:w="1026" w:type="dxa"/>
            <w:tcBorders>
              <w:top w:val="single" w:sz="4" w:space="0" w:color="auto"/>
            </w:tcBorders>
          </w:tcPr>
          <w:p w14:paraId="756C3045" w14:textId="3A4CADD8" w:rsidR="00E912E5" w:rsidRPr="00545B7C" w:rsidRDefault="00E912E5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545B7C">
              <w:rPr>
                <w:sz w:val="22"/>
              </w:rPr>
              <w:t>Disagree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14:paraId="38551178" w14:textId="6EE019FC" w:rsidR="00E912E5" w:rsidRPr="00545B7C" w:rsidRDefault="00E912E5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545B7C">
              <w:rPr>
                <w:sz w:val="22"/>
              </w:rPr>
              <w:t>Strongly Disagree</w:t>
            </w:r>
          </w:p>
        </w:tc>
      </w:tr>
      <w:tr w:rsidR="00E912E5" w:rsidRPr="00545B7C" w14:paraId="48141809" w14:textId="77777777" w:rsidTr="004F1352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  <w:tcBorders>
              <w:right w:val="single" w:sz="4" w:space="0" w:color="auto"/>
            </w:tcBorders>
          </w:tcPr>
          <w:p w14:paraId="734B067E" w14:textId="17CA7FD5" w:rsidR="00E912E5" w:rsidRPr="00545B7C" w:rsidRDefault="00E912E5" w:rsidP="004F1352">
            <w:pPr>
              <w:autoSpaceDE w:val="0"/>
              <w:autoSpaceDN w:val="0"/>
              <w:adjustRightInd w:val="0"/>
              <w:spacing w:after="0"/>
              <w:rPr>
                <w:sz w:val="22"/>
              </w:rPr>
            </w:pPr>
            <w:r w:rsidRPr="00545B7C">
              <w:rPr>
                <w:sz w:val="22"/>
              </w:rPr>
              <w:t>Perception of veterinary antibiotics quality and brand prescribing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</w:tcBorders>
          </w:tcPr>
          <w:p w14:paraId="20450231" w14:textId="77777777" w:rsidR="00E912E5" w:rsidRPr="00545B7C" w:rsidRDefault="00E912E5" w:rsidP="004F135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  <w:tcBorders>
              <w:top w:val="single" w:sz="4" w:space="0" w:color="auto"/>
            </w:tcBorders>
          </w:tcPr>
          <w:p w14:paraId="1271D35E" w14:textId="77777777" w:rsidR="00E912E5" w:rsidRPr="00545B7C" w:rsidRDefault="00E912E5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  <w:tcBorders>
              <w:top w:val="single" w:sz="4" w:space="0" w:color="auto"/>
            </w:tcBorders>
          </w:tcPr>
          <w:p w14:paraId="33C66E27" w14:textId="77777777" w:rsidR="00E912E5" w:rsidRPr="00545B7C" w:rsidRDefault="00E912E5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  <w:tcBorders>
              <w:top w:val="single" w:sz="4" w:space="0" w:color="auto"/>
            </w:tcBorders>
          </w:tcPr>
          <w:p w14:paraId="5E7CA010" w14:textId="77777777" w:rsidR="00E912E5" w:rsidRPr="00545B7C" w:rsidRDefault="00E912E5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  <w:tcBorders>
              <w:top w:val="single" w:sz="4" w:space="0" w:color="auto"/>
            </w:tcBorders>
          </w:tcPr>
          <w:p w14:paraId="6E15741B" w14:textId="77777777" w:rsidR="00E912E5" w:rsidRPr="00545B7C" w:rsidRDefault="00E912E5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5B7C" w:rsidRPr="00545B7C" w14:paraId="0622FC38" w14:textId="328BE79C" w:rsidTr="004F13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  <w:tcBorders>
              <w:right w:val="single" w:sz="4" w:space="0" w:color="auto"/>
            </w:tcBorders>
          </w:tcPr>
          <w:p w14:paraId="3DF07CF5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rPr>
                <w:b w:val="0"/>
                <w:bCs w:val="0"/>
                <w:sz w:val="22"/>
              </w:rPr>
            </w:pPr>
            <w:r w:rsidRPr="00545B7C">
              <w:rPr>
                <w:b w:val="0"/>
                <w:bCs w:val="0"/>
                <w:sz w:val="22"/>
              </w:rPr>
              <w:t>Agree that some antibiotics are of poor quality in the market</w:t>
            </w:r>
          </w:p>
        </w:tc>
        <w:tc>
          <w:tcPr>
            <w:tcW w:w="1001" w:type="dxa"/>
            <w:tcBorders>
              <w:left w:val="single" w:sz="4" w:space="0" w:color="auto"/>
            </w:tcBorders>
          </w:tcPr>
          <w:p w14:paraId="4DF68A43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</w:tcPr>
          <w:p w14:paraId="3C7C78E8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</w:tcPr>
          <w:p w14:paraId="4B3C4F78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</w:tcPr>
          <w:p w14:paraId="63C19971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</w:tcPr>
          <w:p w14:paraId="3C411C4C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5B7C" w:rsidRPr="00545B7C" w14:paraId="5AF49F88" w14:textId="28E7542C" w:rsidTr="004F1352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</w:tcPr>
          <w:p w14:paraId="07329596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rPr>
                <w:b w:val="0"/>
                <w:bCs w:val="0"/>
                <w:sz w:val="22"/>
              </w:rPr>
            </w:pPr>
            <w:r w:rsidRPr="00545B7C">
              <w:rPr>
                <w:b w:val="0"/>
                <w:bCs w:val="0"/>
                <w:sz w:val="22"/>
              </w:rPr>
              <w:t>Antibiotics from western countries perceived as better quality than eastern countries</w:t>
            </w:r>
          </w:p>
        </w:tc>
        <w:tc>
          <w:tcPr>
            <w:tcW w:w="1001" w:type="dxa"/>
          </w:tcPr>
          <w:p w14:paraId="3AA15989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</w:tcPr>
          <w:p w14:paraId="755B097E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</w:tcPr>
          <w:p w14:paraId="48C38435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</w:tcPr>
          <w:p w14:paraId="0FB3BBCD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</w:tcPr>
          <w:p w14:paraId="4D94D72D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5B7C" w:rsidRPr="00545B7C" w14:paraId="26622E46" w14:textId="620FC637" w:rsidTr="004F13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</w:tcPr>
          <w:p w14:paraId="7598F82C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rPr>
                <w:b w:val="0"/>
                <w:bCs w:val="0"/>
                <w:sz w:val="22"/>
              </w:rPr>
            </w:pPr>
            <w:r w:rsidRPr="00545B7C">
              <w:rPr>
                <w:b w:val="0"/>
                <w:bCs w:val="0"/>
                <w:sz w:val="22"/>
              </w:rPr>
              <w:t>Penstrep imported from the western country (E.g., UK) perceived as better quality than the Eastern countries (E.g., China)</w:t>
            </w:r>
          </w:p>
        </w:tc>
        <w:tc>
          <w:tcPr>
            <w:tcW w:w="1001" w:type="dxa"/>
          </w:tcPr>
          <w:p w14:paraId="0875B30A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</w:tcPr>
          <w:p w14:paraId="42B0B21E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</w:tcPr>
          <w:p w14:paraId="74D81B87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</w:tcPr>
          <w:p w14:paraId="21A4EE39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</w:tcPr>
          <w:p w14:paraId="12342944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5B7C" w:rsidRPr="00545B7C" w14:paraId="7F78BE1B" w14:textId="761FBDC9" w:rsidTr="004F1352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</w:tcPr>
          <w:p w14:paraId="1F95EA48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rPr>
                <w:b w:val="0"/>
                <w:bCs w:val="0"/>
                <w:sz w:val="22"/>
              </w:rPr>
            </w:pPr>
            <w:r w:rsidRPr="00545B7C">
              <w:rPr>
                <w:b w:val="0"/>
                <w:bCs w:val="0"/>
                <w:sz w:val="22"/>
              </w:rPr>
              <w:t>Generic antibiotics perceived as equivalent quality to branded antibiotics</w:t>
            </w:r>
          </w:p>
        </w:tc>
        <w:tc>
          <w:tcPr>
            <w:tcW w:w="1001" w:type="dxa"/>
          </w:tcPr>
          <w:p w14:paraId="55497E22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</w:tcPr>
          <w:p w14:paraId="1F53195D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</w:tcPr>
          <w:p w14:paraId="5E1F481A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</w:tcPr>
          <w:p w14:paraId="711DE4E2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</w:tcPr>
          <w:p w14:paraId="3AC0CF0A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5B7C" w:rsidRPr="00545B7C" w14:paraId="4461BC72" w14:textId="11D398C3" w:rsidTr="004F13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</w:tcPr>
          <w:p w14:paraId="56221741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rPr>
                <w:b w:val="0"/>
                <w:bCs w:val="0"/>
                <w:sz w:val="22"/>
              </w:rPr>
            </w:pPr>
            <w:r w:rsidRPr="00545B7C">
              <w:rPr>
                <w:b w:val="0"/>
                <w:bCs w:val="0"/>
                <w:sz w:val="22"/>
              </w:rPr>
              <w:t>Generic antibiotics perceived as substandard drugs</w:t>
            </w:r>
          </w:p>
        </w:tc>
        <w:tc>
          <w:tcPr>
            <w:tcW w:w="1001" w:type="dxa"/>
          </w:tcPr>
          <w:p w14:paraId="74E305C8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</w:tcPr>
          <w:p w14:paraId="033076EB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</w:tcPr>
          <w:p w14:paraId="6DB9CDD6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</w:tcPr>
          <w:p w14:paraId="0C1A8148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</w:tcPr>
          <w:p w14:paraId="7D983A6A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5B7C" w:rsidRPr="00545B7C" w14:paraId="73C1F8C0" w14:textId="540602F2" w:rsidTr="004F1352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</w:tcPr>
          <w:p w14:paraId="748745BD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rPr>
                <w:b w:val="0"/>
                <w:bCs w:val="0"/>
                <w:sz w:val="22"/>
              </w:rPr>
            </w:pPr>
            <w:r w:rsidRPr="00545B7C">
              <w:rPr>
                <w:b w:val="0"/>
                <w:bCs w:val="0"/>
                <w:sz w:val="22"/>
              </w:rPr>
              <w:t>Prescribe antibiotics by international nonproprietary name</w:t>
            </w:r>
          </w:p>
        </w:tc>
        <w:tc>
          <w:tcPr>
            <w:tcW w:w="1001" w:type="dxa"/>
          </w:tcPr>
          <w:p w14:paraId="048B6C2F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</w:tcPr>
          <w:p w14:paraId="6970AA88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</w:tcPr>
          <w:p w14:paraId="4258B2BA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</w:tcPr>
          <w:p w14:paraId="5FCD6C19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</w:tcPr>
          <w:p w14:paraId="05ABE34C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5B7C" w:rsidRPr="00545B7C" w14:paraId="73CA834D" w14:textId="2E3B84DF" w:rsidTr="004F13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</w:tcPr>
          <w:p w14:paraId="7370C7FF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rPr>
                <w:b w:val="0"/>
                <w:bCs w:val="0"/>
                <w:sz w:val="22"/>
              </w:rPr>
            </w:pPr>
            <w:r w:rsidRPr="00545B7C">
              <w:rPr>
                <w:b w:val="0"/>
                <w:bCs w:val="0"/>
                <w:sz w:val="22"/>
              </w:rPr>
              <w:t>Prescribe antibiotics by brand name</w:t>
            </w:r>
          </w:p>
        </w:tc>
        <w:tc>
          <w:tcPr>
            <w:tcW w:w="1001" w:type="dxa"/>
          </w:tcPr>
          <w:p w14:paraId="48B5715B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</w:tcPr>
          <w:p w14:paraId="35350547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</w:tcPr>
          <w:p w14:paraId="60BB1AA1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</w:tcPr>
          <w:p w14:paraId="04F98C2D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</w:tcPr>
          <w:p w14:paraId="3C652392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5B7C" w:rsidRPr="00545B7C" w14:paraId="2339CAFE" w14:textId="0F127999" w:rsidTr="004F1352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</w:tcPr>
          <w:p w14:paraId="3B1C199C" w14:textId="77777777" w:rsidR="009A45BA" w:rsidRPr="00545B7C" w:rsidRDefault="009A45BA" w:rsidP="004F1352">
            <w:pPr>
              <w:tabs>
                <w:tab w:val="left" w:pos="1236"/>
              </w:tabs>
              <w:autoSpaceDE w:val="0"/>
              <w:autoSpaceDN w:val="0"/>
              <w:adjustRightInd w:val="0"/>
              <w:spacing w:after="0"/>
              <w:rPr>
                <w:b w:val="0"/>
                <w:bCs w:val="0"/>
                <w:sz w:val="22"/>
              </w:rPr>
            </w:pPr>
            <w:r w:rsidRPr="00545B7C">
              <w:rPr>
                <w:b w:val="0"/>
                <w:bCs w:val="0"/>
                <w:sz w:val="22"/>
              </w:rPr>
              <w:t xml:space="preserve">Prescribe brands of penstrep </w:t>
            </w:r>
          </w:p>
        </w:tc>
        <w:tc>
          <w:tcPr>
            <w:tcW w:w="1001" w:type="dxa"/>
          </w:tcPr>
          <w:p w14:paraId="400F3A3B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</w:tcPr>
          <w:p w14:paraId="16A721DA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</w:tcPr>
          <w:p w14:paraId="6C366A5B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</w:tcPr>
          <w:p w14:paraId="7E9B1F90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</w:tcPr>
          <w:p w14:paraId="52CFA917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5B7C" w:rsidRPr="00545B7C" w14:paraId="354300DA" w14:textId="0396AE47" w:rsidTr="004F13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</w:tcPr>
          <w:p w14:paraId="7B2D38C7" w14:textId="77777777" w:rsidR="009A45BA" w:rsidRPr="00545B7C" w:rsidRDefault="009A45BA" w:rsidP="004F1352">
            <w:pPr>
              <w:tabs>
                <w:tab w:val="left" w:pos="1236"/>
              </w:tabs>
              <w:autoSpaceDE w:val="0"/>
              <w:autoSpaceDN w:val="0"/>
              <w:adjustRightInd w:val="0"/>
              <w:spacing w:after="0"/>
              <w:rPr>
                <w:b w:val="0"/>
                <w:bCs w:val="0"/>
                <w:sz w:val="22"/>
              </w:rPr>
            </w:pPr>
            <w:r w:rsidRPr="00545B7C">
              <w:rPr>
                <w:b w:val="0"/>
                <w:bCs w:val="0"/>
                <w:sz w:val="22"/>
              </w:rPr>
              <w:t>Variation in clinical improvements among brands of penstrep</w:t>
            </w:r>
          </w:p>
        </w:tc>
        <w:tc>
          <w:tcPr>
            <w:tcW w:w="1001" w:type="dxa"/>
          </w:tcPr>
          <w:p w14:paraId="10E82794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</w:tcPr>
          <w:p w14:paraId="04D208A4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</w:tcPr>
          <w:p w14:paraId="273FB5BD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</w:tcPr>
          <w:p w14:paraId="522BC842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</w:tcPr>
          <w:p w14:paraId="46A881E1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5B7C" w:rsidRPr="00545B7C" w14:paraId="1D3E5F3B" w14:textId="498B7565" w:rsidTr="004F1352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0" w:type="dxa"/>
            <w:vMerge w:val="restart"/>
            <w:tcBorders>
              <w:right w:val="single" w:sz="4" w:space="0" w:color="auto"/>
            </w:tcBorders>
          </w:tcPr>
          <w:p w14:paraId="05F6102D" w14:textId="38975739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rPr>
                <w:b w:val="0"/>
                <w:bCs w:val="0"/>
                <w:sz w:val="22"/>
              </w:rPr>
            </w:pPr>
            <w:r w:rsidRPr="00545B7C">
              <w:rPr>
                <w:b w:val="0"/>
                <w:bCs w:val="0"/>
                <w:sz w:val="22"/>
              </w:rPr>
              <w:t xml:space="preserve">Which brands of penstrep showed better clinical improvements? </w:t>
            </w:r>
          </w:p>
        </w:tc>
        <w:tc>
          <w:tcPr>
            <w:tcW w:w="3060" w:type="dxa"/>
            <w:tcBorders>
              <w:left w:val="single" w:sz="4" w:space="0" w:color="auto"/>
              <w:bottom w:val="single" w:sz="4" w:space="0" w:color="auto"/>
            </w:tcBorders>
          </w:tcPr>
          <w:p w14:paraId="1B9A44DB" w14:textId="218C5EEC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545B7C">
              <w:rPr>
                <w:sz w:val="22"/>
              </w:rPr>
              <w:t>Pen &amp; Strep (</w:t>
            </w:r>
            <w:proofErr w:type="spellStart"/>
            <w:r w:rsidRPr="00545B7C">
              <w:rPr>
                <w:sz w:val="22"/>
              </w:rPr>
              <w:t>Norbrook</w:t>
            </w:r>
            <w:proofErr w:type="spellEnd"/>
            <w:r w:rsidRPr="00545B7C">
              <w:rPr>
                <w:sz w:val="22"/>
              </w:rPr>
              <w:t>)</w:t>
            </w:r>
          </w:p>
        </w:tc>
        <w:tc>
          <w:tcPr>
            <w:tcW w:w="1001" w:type="dxa"/>
            <w:tcBorders>
              <w:bottom w:val="single" w:sz="4" w:space="0" w:color="auto"/>
            </w:tcBorders>
          </w:tcPr>
          <w:p w14:paraId="4BD749FD" w14:textId="7470848F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  <w:tcBorders>
              <w:bottom w:val="single" w:sz="4" w:space="0" w:color="auto"/>
            </w:tcBorders>
          </w:tcPr>
          <w:p w14:paraId="4EDD55D0" w14:textId="77777777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  <w:tcBorders>
              <w:bottom w:val="single" w:sz="4" w:space="0" w:color="auto"/>
            </w:tcBorders>
          </w:tcPr>
          <w:p w14:paraId="6475F2B6" w14:textId="77777777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14:paraId="1BED2A54" w14:textId="77777777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062389AC" w14:textId="77777777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E912E5" w:rsidRPr="00545B7C" w14:paraId="05CB42CC" w14:textId="77777777" w:rsidTr="004F13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0" w:type="dxa"/>
            <w:vMerge/>
            <w:tcBorders>
              <w:right w:val="single" w:sz="4" w:space="0" w:color="auto"/>
            </w:tcBorders>
          </w:tcPr>
          <w:p w14:paraId="1630E0F6" w14:textId="77777777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rPr>
                <w:sz w:val="22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330020" w14:textId="7A3E482A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</w:rPr>
            </w:pPr>
            <w:r w:rsidRPr="00545B7C">
              <w:rPr>
                <w:sz w:val="22"/>
              </w:rPr>
              <w:t xml:space="preserve">Penstrep (Chengdu </w:t>
            </w:r>
            <w:proofErr w:type="spellStart"/>
            <w:r w:rsidRPr="00545B7C">
              <w:rPr>
                <w:sz w:val="22"/>
              </w:rPr>
              <w:t>Quiankun</w:t>
            </w:r>
            <w:proofErr w:type="spellEnd"/>
            <w:r w:rsidRPr="00545B7C">
              <w:rPr>
                <w:sz w:val="22"/>
              </w:rPr>
              <w:t>)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</w:tcPr>
          <w:p w14:paraId="7B98C5C1" w14:textId="77777777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</w:tcPr>
          <w:p w14:paraId="2EE78050" w14:textId="77777777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</w:tcPr>
          <w:p w14:paraId="02325901" w14:textId="77777777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14:paraId="608D29F8" w14:textId="77777777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228FE830" w14:textId="77777777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3E5B" w:rsidRPr="00545B7C" w14:paraId="479DE0EE" w14:textId="77777777" w:rsidTr="004F1352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0" w:type="dxa"/>
            <w:vMerge/>
            <w:tcBorders>
              <w:right w:val="single" w:sz="4" w:space="0" w:color="auto"/>
            </w:tcBorders>
          </w:tcPr>
          <w:p w14:paraId="4A795314" w14:textId="77777777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rPr>
                <w:sz w:val="22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</w:tcBorders>
          </w:tcPr>
          <w:p w14:paraId="2B75031A" w14:textId="4BB9CEC6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545B7C">
              <w:rPr>
                <w:sz w:val="22"/>
              </w:rPr>
              <w:t xml:space="preserve">Pro &amp; Strep (Hebei </w:t>
            </w:r>
            <w:proofErr w:type="spellStart"/>
            <w:r w:rsidRPr="00545B7C">
              <w:rPr>
                <w:sz w:val="22"/>
              </w:rPr>
              <w:t>Yuanzheng</w:t>
            </w:r>
            <w:proofErr w:type="spellEnd"/>
            <w:r w:rsidRPr="00545B7C">
              <w:rPr>
                <w:sz w:val="22"/>
              </w:rPr>
              <w:t>)</w:t>
            </w:r>
          </w:p>
        </w:tc>
        <w:tc>
          <w:tcPr>
            <w:tcW w:w="1001" w:type="dxa"/>
            <w:tcBorders>
              <w:top w:val="single" w:sz="4" w:space="0" w:color="auto"/>
            </w:tcBorders>
          </w:tcPr>
          <w:p w14:paraId="4304D84F" w14:textId="77777777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  <w:tcBorders>
              <w:top w:val="single" w:sz="4" w:space="0" w:color="auto"/>
            </w:tcBorders>
          </w:tcPr>
          <w:p w14:paraId="2BEB1CB3" w14:textId="77777777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  <w:tcBorders>
              <w:top w:val="single" w:sz="4" w:space="0" w:color="auto"/>
            </w:tcBorders>
          </w:tcPr>
          <w:p w14:paraId="75B8DC3C" w14:textId="77777777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  <w:tcBorders>
              <w:top w:val="single" w:sz="4" w:space="0" w:color="auto"/>
            </w:tcBorders>
          </w:tcPr>
          <w:p w14:paraId="4FE5E880" w14:textId="77777777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  <w:tcBorders>
              <w:top w:val="single" w:sz="4" w:space="0" w:color="auto"/>
            </w:tcBorders>
          </w:tcPr>
          <w:p w14:paraId="42155655" w14:textId="77777777" w:rsidR="00545B7C" w:rsidRPr="00545B7C" w:rsidRDefault="00545B7C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3E5B" w:rsidRPr="00545B7C" w14:paraId="157EE175" w14:textId="1C654721" w:rsidTr="004F13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0" w:type="dxa"/>
            <w:vMerge w:val="restart"/>
            <w:tcBorders>
              <w:right w:val="single" w:sz="4" w:space="0" w:color="auto"/>
            </w:tcBorders>
          </w:tcPr>
          <w:p w14:paraId="4BF23604" w14:textId="5A4C0F98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rPr>
                <w:b w:val="0"/>
                <w:bCs w:val="0"/>
                <w:sz w:val="22"/>
              </w:rPr>
            </w:pPr>
            <w:r w:rsidRPr="00545B7C">
              <w:rPr>
                <w:b w:val="0"/>
                <w:bCs w:val="0"/>
                <w:sz w:val="22"/>
              </w:rPr>
              <w:t xml:space="preserve">Which brands of penstrep mostly prescribed? </w:t>
            </w:r>
          </w:p>
        </w:tc>
        <w:tc>
          <w:tcPr>
            <w:tcW w:w="3060" w:type="dxa"/>
            <w:tcBorders>
              <w:left w:val="single" w:sz="4" w:space="0" w:color="auto"/>
              <w:bottom w:val="single" w:sz="4" w:space="0" w:color="auto"/>
            </w:tcBorders>
          </w:tcPr>
          <w:p w14:paraId="38A5D476" w14:textId="52375004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545B7C">
              <w:rPr>
                <w:sz w:val="22"/>
              </w:rPr>
              <w:t>Pen &amp; Strep (</w:t>
            </w:r>
            <w:proofErr w:type="spellStart"/>
            <w:r w:rsidRPr="00545B7C">
              <w:rPr>
                <w:sz w:val="22"/>
              </w:rPr>
              <w:t>Norbrook</w:t>
            </w:r>
            <w:proofErr w:type="spellEnd"/>
            <w:r w:rsidRPr="00545B7C">
              <w:rPr>
                <w:sz w:val="22"/>
              </w:rPr>
              <w:t>)</w:t>
            </w:r>
          </w:p>
        </w:tc>
        <w:tc>
          <w:tcPr>
            <w:tcW w:w="1001" w:type="dxa"/>
            <w:tcBorders>
              <w:bottom w:val="single" w:sz="4" w:space="0" w:color="auto"/>
            </w:tcBorders>
          </w:tcPr>
          <w:p w14:paraId="2D61A189" w14:textId="77777777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  <w:tcBorders>
              <w:bottom w:val="single" w:sz="4" w:space="0" w:color="auto"/>
            </w:tcBorders>
          </w:tcPr>
          <w:p w14:paraId="4132D129" w14:textId="77777777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  <w:tcBorders>
              <w:bottom w:val="single" w:sz="4" w:space="0" w:color="auto"/>
            </w:tcBorders>
          </w:tcPr>
          <w:p w14:paraId="10E8F002" w14:textId="77777777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14:paraId="534C2D0E" w14:textId="77777777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746686F1" w14:textId="77777777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3E5B" w:rsidRPr="00545B7C" w14:paraId="2813BB53" w14:textId="77777777" w:rsidTr="004F1352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0" w:type="dxa"/>
            <w:vMerge/>
            <w:tcBorders>
              <w:right w:val="single" w:sz="4" w:space="0" w:color="auto"/>
            </w:tcBorders>
          </w:tcPr>
          <w:p w14:paraId="329D29E4" w14:textId="77777777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rPr>
                <w:sz w:val="22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5CE2B3" w14:textId="2439A338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545B7C">
              <w:rPr>
                <w:sz w:val="22"/>
              </w:rPr>
              <w:t xml:space="preserve">Penstrep (Chengdu </w:t>
            </w:r>
            <w:proofErr w:type="spellStart"/>
            <w:r w:rsidRPr="00545B7C">
              <w:rPr>
                <w:sz w:val="22"/>
              </w:rPr>
              <w:t>Quiankun</w:t>
            </w:r>
            <w:proofErr w:type="spellEnd"/>
            <w:r w:rsidRPr="00545B7C">
              <w:rPr>
                <w:sz w:val="22"/>
              </w:rPr>
              <w:t xml:space="preserve">) 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</w:tcPr>
          <w:p w14:paraId="5071C2D2" w14:textId="77777777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</w:tcPr>
          <w:p w14:paraId="374BCB4E" w14:textId="77777777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</w:tcPr>
          <w:p w14:paraId="71C34114" w14:textId="77777777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14:paraId="6AA4A2FC" w14:textId="77777777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490D8E2A" w14:textId="77777777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3E5B" w:rsidRPr="00545B7C" w14:paraId="45ACFA50" w14:textId="77777777" w:rsidTr="004F13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0" w:type="dxa"/>
            <w:vMerge/>
            <w:tcBorders>
              <w:right w:val="single" w:sz="4" w:space="0" w:color="auto"/>
            </w:tcBorders>
          </w:tcPr>
          <w:p w14:paraId="3839B8EB" w14:textId="77777777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rPr>
                <w:sz w:val="22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</w:tcBorders>
          </w:tcPr>
          <w:p w14:paraId="1977CFE3" w14:textId="06C2277B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545B7C">
              <w:rPr>
                <w:sz w:val="22"/>
              </w:rPr>
              <w:t xml:space="preserve">Pro &amp; Strep (Hebei </w:t>
            </w:r>
            <w:proofErr w:type="spellStart"/>
            <w:r w:rsidRPr="00545B7C">
              <w:rPr>
                <w:sz w:val="22"/>
              </w:rPr>
              <w:t>Yuanzheng</w:t>
            </w:r>
            <w:proofErr w:type="spellEnd"/>
            <w:r w:rsidRPr="00545B7C">
              <w:rPr>
                <w:sz w:val="22"/>
              </w:rPr>
              <w:t>)</w:t>
            </w:r>
          </w:p>
        </w:tc>
        <w:tc>
          <w:tcPr>
            <w:tcW w:w="1001" w:type="dxa"/>
            <w:tcBorders>
              <w:top w:val="single" w:sz="4" w:space="0" w:color="auto"/>
            </w:tcBorders>
          </w:tcPr>
          <w:p w14:paraId="246EFA01" w14:textId="77777777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  <w:tcBorders>
              <w:top w:val="single" w:sz="4" w:space="0" w:color="auto"/>
            </w:tcBorders>
          </w:tcPr>
          <w:p w14:paraId="5079B73A" w14:textId="77777777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  <w:tcBorders>
              <w:top w:val="single" w:sz="4" w:space="0" w:color="auto"/>
            </w:tcBorders>
          </w:tcPr>
          <w:p w14:paraId="6877151E" w14:textId="77777777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  <w:tcBorders>
              <w:top w:val="single" w:sz="4" w:space="0" w:color="auto"/>
            </w:tcBorders>
          </w:tcPr>
          <w:p w14:paraId="3B721310" w14:textId="77777777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  <w:tcBorders>
              <w:top w:val="single" w:sz="4" w:space="0" w:color="auto"/>
            </w:tcBorders>
          </w:tcPr>
          <w:p w14:paraId="22522D9F" w14:textId="77777777" w:rsidR="00543E5B" w:rsidRPr="00545B7C" w:rsidRDefault="00543E5B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5B7C" w:rsidRPr="00545B7C" w14:paraId="61A23934" w14:textId="1C53B01B" w:rsidTr="004F1352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  <w:tcBorders>
              <w:right w:val="single" w:sz="4" w:space="0" w:color="auto"/>
            </w:tcBorders>
          </w:tcPr>
          <w:p w14:paraId="3F9C136E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rPr>
                <w:sz w:val="22"/>
              </w:rPr>
            </w:pPr>
            <w:r w:rsidRPr="00545B7C">
              <w:rPr>
                <w:sz w:val="22"/>
              </w:rPr>
              <w:t>Knowledge and perception of antibiotics and their use</w:t>
            </w:r>
          </w:p>
        </w:tc>
        <w:tc>
          <w:tcPr>
            <w:tcW w:w="1001" w:type="dxa"/>
            <w:tcBorders>
              <w:left w:val="single" w:sz="4" w:space="0" w:color="auto"/>
            </w:tcBorders>
          </w:tcPr>
          <w:p w14:paraId="428A5E12" w14:textId="7C9BB123" w:rsidR="009A45BA" w:rsidRPr="00545B7C" w:rsidRDefault="009A45BA" w:rsidP="004F135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</w:tcPr>
          <w:p w14:paraId="6547305E" w14:textId="598C761A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</w:tcPr>
          <w:p w14:paraId="5F7B6A4B" w14:textId="692F6040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</w:tcPr>
          <w:p w14:paraId="1CA9A41A" w14:textId="72FCD975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</w:tcPr>
          <w:p w14:paraId="5197CCA8" w14:textId="34887BA9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3E5B" w:rsidRPr="00545B7C" w14:paraId="188089E0" w14:textId="4793227F" w:rsidTr="004F13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  <w:tcBorders>
              <w:right w:val="single" w:sz="4" w:space="0" w:color="auto"/>
            </w:tcBorders>
          </w:tcPr>
          <w:p w14:paraId="27795C5B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rPr>
                <w:b w:val="0"/>
                <w:bCs w:val="0"/>
                <w:sz w:val="22"/>
              </w:rPr>
            </w:pPr>
            <w:r w:rsidRPr="00545B7C">
              <w:rPr>
                <w:b w:val="0"/>
                <w:bCs w:val="0"/>
                <w:sz w:val="22"/>
              </w:rPr>
              <w:t>Penstrep indicated for both Gram-positive and Gram-negative bacterial infections</w:t>
            </w:r>
          </w:p>
        </w:tc>
        <w:tc>
          <w:tcPr>
            <w:tcW w:w="1001" w:type="dxa"/>
            <w:tcBorders>
              <w:left w:val="single" w:sz="4" w:space="0" w:color="auto"/>
            </w:tcBorders>
          </w:tcPr>
          <w:p w14:paraId="75D8C813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</w:tcPr>
          <w:p w14:paraId="575FB7DB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</w:tcPr>
          <w:p w14:paraId="04DBCB14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</w:tcPr>
          <w:p w14:paraId="7F0A76D5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</w:tcPr>
          <w:p w14:paraId="729F3754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5B7C" w:rsidRPr="00545B7C" w14:paraId="64AE80D9" w14:textId="611A7F82" w:rsidTr="004F1352">
        <w:trPr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</w:tcPr>
          <w:p w14:paraId="16360B5A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rPr>
                <w:b w:val="0"/>
                <w:bCs w:val="0"/>
                <w:sz w:val="22"/>
              </w:rPr>
            </w:pPr>
            <w:r w:rsidRPr="00545B7C">
              <w:rPr>
                <w:b w:val="0"/>
                <w:bCs w:val="0"/>
                <w:sz w:val="22"/>
              </w:rPr>
              <w:t>Oxytetracycline indicated for gastro-intestinal and respiratory bacterial infections</w:t>
            </w:r>
          </w:p>
        </w:tc>
        <w:tc>
          <w:tcPr>
            <w:tcW w:w="1001" w:type="dxa"/>
          </w:tcPr>
          <w:p w14:paraId="325E3F48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</w:tcPr>
          <w:p w14:paraId="11ACCDD4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</w:tcPr>
          <w:p w14:paraId="287741C5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</w:tcPr>
          <w:p w14:paraId="0222F1D8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</w:tcPr>
          <w:p w14:paraId="509A90F1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3E5B" w:rsidRPr="00545B7C" w14:paraId="50C865F4" w14:textId="54B74AE9" w:rsidTr="004F13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</w:tcPr>
          <w:p w14:paraId="159200EB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rPr>
                <w:b w:val="0"/>
                <w:bCs w:val="0"/>
                <w:sz w:val="22"/>
              </w:rPr>
            </w:pPr>
            <w:r w:rsidRPr="00545B7C">
              <w:rPr>
                <w:b w:val="0"/>
                <w:bCs w:val="0"/>
                <w:sz w:val="22"/>
              </w:rPr>
              <w:t xml:space="preserve">Sulfa drugs indicated for diarrheic cases </w:t>
            </w:r>
          </w:p>
        </w:tc>
        <w:tc>
          <w:tcPr>
            <w:tcW w:w="1001" w:type="dxa"/>
          </w:tcPr>
          <w:p w14:paraId="1D39E30F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</w:tcPr>
          <w:p w14:paraId="7ED1D5C4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</w:tcPr>
          <w:p w14:paraId="74752FF2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</w:tcPr>
          <w:p w14:paraId="4EBD540B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</w:tcPr>
          <w:p w14:paraId="16C1B2ED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5B7C" w:rsidRPr="00545B7C" w14:paraId="3862DA7C" w14:textId="1FF9DF41" w:rsidTr="004F1352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</w:tcPr>
          <w:p w14:paraId="32FC21A0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rPr>
                <w:b w:val="0"/>
                <w:bCs w:val="0"/>
                <w:sz w:val="22"/>
              </w:rPr>
            </w:pPr>
            <w:r w:rsidRPr="00545B7C">
              <w:rPr>
                <w:b w:val="0"/>
                <w:bCs w:val="0"/>
                <w:sz w:val="22"/>
              </w:rPr>
              <w:t>Antibiotics indicated for prophylactic use for severe viral cases</w:t>
            </w:r>
          </w:p>
        </w:tc>
        <w:tc>
          <w:tcPr>
            <w:tcW w:w="1001" w:type="dxa"/>
          </w:tcPr>
          <w:p w14:paraId="0DA2C4C1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</w:tcPr>
          <w:p w14:paraId="28F5C60D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</w:tcPr>
          <w:p w14:paraId="5DEFE3A7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</w:tcPr>
          <w:p w14:paraId="56FD5AA7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</w:tcPr>
          <w:p w14:paraId="4FF67A15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3E5B" w:rsidRPr="00545B7C" w14:paraId="4E4B2834" w14:textId="3DB65DAF" w:rsidTr="004F13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</w:tcPr>
          <w:p w14:paraId="43648DA1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rPr>
                <w:sz w:val="22"/>
              </w:rPr>
            </w:pPr>
            <w:r w:rsidRPr="00545B7C">
              <w:rPr>
                <w:sz w:val="22"/>
              </w:rPr>
              <w:t>Antibiotic prescribing Practices</w:t>
            </w:r>
          </w:p>
        </w:tc>
        <w:tc>
          <w:tcPr>
            <w:tcW w:w="1001" w:type="dxa"/>
          </w:tcPr>
          <w:p w14:paraId="039A3761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</w:tcPr>
          <w:p w14:paraId="7530B7AB" w14:textId="49F28B1B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</w:tcPr>
          <w:p w14:paraId="17E49B5B" w14:textId="7ADB4BA9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</w:tcPr>
          <w:p w14:paraId="3828A9A8" w14:textId="75989D66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</w:tcPr>
          <w:p w14:paraId="1834C530" w14:textId="7D425A8C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5B7C" w:rsidRPr="00545B7C" w14:paraId="764C7033" w14:textId="3B7D8845" w:rsidTr="004F1352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</w:tcPr>
          <w:p w14:paraId="345233EC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rPr>
                <w:b w:val="0"/>
                <w:bCs w:val="0"/>
                <w:sz w:val="22"/>
              </w:rPr>
            </w:pPr>
            <w:r w:rsidRPr="00545B7C">
              <w:rPr>
                <w:b w:val="0"/>
                <w:bCs w:val="0"/>
                <w:sz w:val="22"/>
              </w:rPr>
              <w:t>Perception of antibiotic overuse in the dairy farms</w:t>
            </w:r>
          </w:p>
        </w:tc>
        <w:tc>
          <w:tcPr>
            <w:tcW w:w="1001" w:type="dxa"/>
          </w:tcPr>
          <w:p w14:paraId="509EC731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</w:tcPr>
          <w:p w14:paraId="33427EAE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</w:tcPr>
          <w:p w14:paraId="4F4C6A6D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</w:tcPr>
          <w:p w14:paraId="419BBA6E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</w:tcPr>
          <w:p w14:paraId="59E1A3FE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43E5B" w:rsidRPr="00545B7C" w14:paraId="2EBBC938" w14:textId="405D3AD0" w:rsidTr="004F13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0" w:type="dxa"/>
            <w:gridSpan w:val="2"/>
          </w:tcPr>
          <w:p w14:paraId="6D7946B7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rPr>
                <w:b w:val="0"/>
                <w:bCs w:val="0"/>
                <w:sz w:val="22"/>
              </w:rPr>
            </w:pPr>
            <w:r w:rsidRPr="00545B7C">
              <w:rPr>
                <w:b w:val="0"/>
                <w:bCs w:val="0"/>
                <w:sz w:val="22"/>
              </w:rPr>
              <w:t>Perception of antibiotic overuse in the veterinary clinics</w:t>
            </w:r>
          </w:p>
        </w:tc>
        <w:tc>
          <w:tcPr>
            <w:tcW w:w="1001" w:type="dxa"/>
          </w:tcPr>
          <w:p w14:paraId="609AD3CA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770" w:type="dxa"/>
          </w:tcPr>
          <w:p w14:paraId="18BE1E56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898" w:type="dxa"/>
          </w:tcPr>
          <w:p w14:paraId="0EA430B2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6" w:type="dxa"/>
          </w:tcPr>
          <w:p w14:paraId="4BECCB1F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028" w:type="dxa"/>
          </w:tcPr>
          <w:p w14:paraId="53A61AD9" w14:textId="77777777" w:rsidR="009A45BA" w:rsidRPr="00545B7C" w:rsidRDefault="009A45BA" w:rsidP="004F1352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</w:tr>
    </w:tbl>
    <w:bookmarkEnd w:id="0"/>
    <w:p w14:paraId="0A0C51B8" w14:textId="1F7EACDB" w:rsidR="004F1352" w:rsidRDefault="004F1352" w:rsidP="00B13B5C">
      <w:pPr>
        <w:pStyle w:val="Header"/>
        <w:jc w:val="both"/>
      </w:pPr>
      <w:r>
        <w:rPr>
          <w:b/>
          <w:bCs/>
          <w:i/>
          <w:iCs/>
          <w:szCs w:val="24"/>
        </w:rPr>
        <w:t xml:space="preserve">Additional file </w:t>
      </w:r>
      <w:r w:rsidR="00D93219">
        <w:rPr>
          <w:b/>
          <w:bCs/>
          <w:i/>
          <w:iCs/>
          <w:szCs w:val="24"/>
        </w:rPr>
        <w:t>4</w:t>
      </w:r>
      <w:r>
        <w:rPr>
          <w:b/>
          <w:bCs/>
          <w:i/>
          <w:iCs/>
          <w:szCs w:val="24"/>
        </w:rPr>
        <w:t xml:space="preserve">. </w:t>
      </w:r>
      <w:r w:rsidRPr="00B13B5C">
        <w:rPr>
          <w:szCs w:val="24"/>
        </w:rPr>
        <w:t>Questionnaire</w:t>
      </w:r>
      <w:r w:rsidR="00B13B5C">
        <w:rPr>
          <w:b/>
          <w:bCs/>
          <w:i/>
          <w:iCs/>
          <w:szCs w:val="24"/>
        </w:rPr>
        <w:t xml:space="preserve"> </w:t>
      </w:r>
      <w:r w:rsidR="00B13B5C" w:rsidRPr="00B13B5C">
        <w:rPr>
          <w:szCs w:val="24"/>
        </w:rPr>
        <w:t>used to assess v</w:t>
      </w:r>
      <w:r w:rsidRPr="00B13B5C">
        <w:rPr>
          <w:szCs w:val="24"/>
        </w:rPr>
        <w:t>eterinarians’</w:t>
      </w:r>
      <w:r w:rsidRPr="005C14B1">
        <w:rPr>
          <w:szCs w:val="24"/>
        </w:rPr>
        <w:t xml:space="preserve"> perception, practices, and knowledge of antibiotic quality, use and brand prescribing at Bishoftu and Sebeta</w:t>
      </w:r>
      <w:r w:rsidR="00B13B5C">
        <w:rPr>
          <w:szCs w:val="24"/>
        </w:rPr>
        <w:t>.</w:t>
      </w:r>
      <w:r>
        <w:rPr>
          <w:noProof/>
        </w:rPr>
        <w:t xml:space="preserve"> </w:t>
      </w:r>
    </w:p>
    <w:p w14:paraId="15A7B56C" w14:textId="77777777" w:rsidR="004F1352" w:rsidRDefault="004F1352" w:rsidP="004F1352"/>
    <w:p w14:paraId="5AF0BB39" w14:textId="77777777" w:rsidR="006E3E98" w:rsidRDefault="006E3E98"/>
    <w:sectPr w:rsidR="006E3E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FD6C09" w14:textId="77777777" w:rsidR="00745655" w:rsidRDefault="00745655" w:rsidP="00084C13">
      <w:pPr>
        <w:spacing w:after="0" w:line="240" w:lineRule="auto"/>
      </w:pPr>
      <w:r>
        <w:separator/>
      </w:r>
    </w:p>
  </w:endnote>
  <w:endnote w:type="continuationSeparator" w:id="0">
    <w:p w14:paraId="5287991D" w14:textId="77777777" w:rsidR="00745655" w:rsidRDefault="00745655" w:rsidP="00084C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Bold">
    <w:altName w:val="Times New Roman Bold"/>
    <w:panose1 w:val="02020803070505020304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804EC6" w14:textId="77777777" w:rsidR="00745655" w:rsidRDefault="00745655" w:rsidP="00084C13">
      <w:pPr>
        <w:spacing w:after="0" w:line="240" w:lineRule="auto"/>
      </w:pPr>
      <w:r>
        <w:separator/>
      </w:r>
    </w:p>
  </w:footnote>
  <w:footnote w:type="continuationSeparator" w:id="0">
    <w:p w14:paraId="496E7D93" w14:textId="77777777" w:rsidR="00745655" w:rsidRDefault="00745655" w:rsidP="00084C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A71310"/>
    <w:multiLevelType w:val="multilevel"/>
    <w:tmpl w:val="F5A8EE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9CB66AC"/>
    <w:multiLevelType w:val="multilevel"/>
    <w:tmpl w:val="2962042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7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6DFB7C60"/>
    <w:multiLevelType w:val="multilevel"/>
    <w:tmpl w:val="EF0064D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1170" w:hanging="36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color w:val="auto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2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C13"/>
    <w:rsid w:val="0000786B"/>
    <w:rsid w:val="00072DEE"/>
    <w:rsid w:val="00084C13"/>
    <w:rsid w:val="000C665F"/>
    <w:rsid w:val="00162208"/>
    <w:rsid w:val="003C0586"/>
    <w:rsid w:val="00482521"/>
    <w:rsid w:val="004F1352"/>
    <w:rsid w:val="00543E5B"/>
    <w:rsid w:val="00545B7C"/>
    <w:rsid w:val="00556901"/>
    <w:rsid w:val="006A105B"/>
    <w:rsid w:val="006E3E98"/>
    <w:rsid w:val="00745655"/>
    <w:rsid w:val="008911DE"/>
    <w:rsid w:val="009540C6"/>
    <w:rsid w:val="009A45BA"/>
    <w:rsid w:val="00A53584"/>
    <w:rsid w:val="00A9391D"/>
    <w:rsid w:val="00B13B5C"/>
    <w:rsid w:val="00B672D3"/>
    <w:rsid w:val="00CA4DEE"/>
    <w:rsid w:val="00D516A1"/>
    <w:rsid w:val="00D93219"/>
    <w:rsid w:val="00E24194"/>
    <w:rsid w:val="00E409D6"/>
    <w:rsid w:val="00E91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D630BE"/>
  <w15:chartTrackingRefBased/>
  <w15:docId w15:val="{CB2E5E59-3356-4AD5-9C2A-EB784B3D1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C13"/>
    <w:pPr>
      <w:spacing w:after="200" w:line="276" w:lineRule="auto"/>
    </w:pPr>
    <w:rPr>
      <w:rFonts w:ascii="Times New Roman" w:eastAsia="Calibri" w:hAnsi="Times New Roman" w:cs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911DE"/>
    <w:pPr>
      <w:keepNext/>
      <w:keepLines/>
      <w:spacing w:before="480" w:after="480" w:line="360" w:lineRule="auto"/>
      <w:outlineLvl w:val="0"/>
    </w:pPr>
    <w:rPr>
      <w:rFonts w:ascii="Times New Roman Bold" w:eastAsiaTheme="majorEastAsia" w:hAnsi="Times New Roman Bold" w:cstheme="majorBidi"/>
      <w:b/>
      <w:bCs/>
      <w:caps/>
      <w:sz w:val="22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516A1"/>
    <w:pPr>
      <w:keepNext/>
      <w:keepLines/>
      <w:spacing w:before="480" w:after="240" w:line="360" w:lineRule="auto"/>
      <w:ind w:left="576" w:hanging="288"/>
      <w:jc w:val="both"/>
      <w:outlineLvl w:val="1"/>
    </w:pPr>
    <w:rPr>
      <w:rFonts w:ascii="Trebuchet MS" w:eastAsiaTheme="majorEastAsia" w:hAnsi="Trebuchet MS" w:cstheme="majorBidi"/>
      <w:b/>
      <w:bCs/>
      <w:sz w:val="2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516A1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8911DE"/>
    <w:rPr>
      <w:rFonts w:ascii="Times New Roman Bold" w:eastAsiaTheme="majorEastAsia" w:hAnsi="Times New Roman Bold" w:cstheme="majorBidi"/>
      <w:b/>
      <w:bCs/>
      <w:caps/>
      <w:sz w:val="24"/>
      <w:szCs w:val="28"/>
    </w:rPr>
  </w:style>
  <w:style w:type="table" w:styleId="TableGrid">
    <w:name w:val="Table Grid"/>
    <w:basedOn w:val="TableNormal"/>
    <w:uiPriority w:val="39"/>
    <w:rsid w:val="00084C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084C13"/>
    <w:pPr>
      <w:spacing w:line="240" w:lineRule="auto"/>
    </w:pPr>
    <w:rPr>
      <w:i/>
      <w:iCs/>
      <w:color w:val="44546A" w:themeColor="text2"/>
      <w:sz w:val="18"/>
      <w:szCs w:val="18"/>
    </w:rPr>
  </w:style>
  <w:style w:type="table" w:styleId="LightShading">
    <w:name w:val="Light Shading"/>
    <w:basedOn w:val="TableNormal"/>
    <w:uiPriority w:val="60"/>
    <w:rsid w:val="00084C13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GridTable6Colorful">
    <w:name w:val="Grid Table 6 Colorful"/>
    <w:basedOn w:val="TableNormal"/>
    <w:uiPriority w:val="51"/>
    <w:rsid w:val="00084C1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084C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4C13"/>
    <w:rPr>
      <w:rFonts w:ascii="Times New Roman" w:eastAsia="Calibri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084C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4C13"/>
    <w:rPr>
      <w:rFonts w:ascii="Times New Roman" w:eastAsia="Calibri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Takele B Tufa</dc:creator>
  <cp:keywords/>
  <dc:description/>
  <cp:lastModifiedBy>Takele B Tufa</cp:lastModifiedBy>
  <cp:revision>6</cp:revision>
  <dcterms:created xsi:type="dcterms:W3CDTF">2020-10-06T00:42:00Z</dcterms:created>
  <dcterms:modified xsi:type="dcterms:W3CDTF">2020-11-01T02:40:00Z</dcterms:modified>
</cp:coreProperties>
</file>