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99C75A" w14:textId="166E9640" w:rsidR="00A2432B" w:rsidRPr="00A2432B" w:rsidRDefault="00A2432B" w:rsidP="00130CC7">
      <w:pPr>
        <w:shd w:val="clear" w:color="auto" w:fill="FFFFFF"/>
        <w:spacing w:before="308" w:after="154" w:line="360" w:lineRule="auto"/>
        <w:jc w:val="center"/>
        <w:outlineLvl w:val="2"/>
        <w:rPr>
          <w:rFonts w:asciiTheme="majorBidi" w:hAnsiTheme="majorBidi" w:cstheme="majorBidi"/>
          <w:b/>
          <w:bCs/>
          <w:sz w:val="28"/>
          <w:szCs w:val="28"/>
        </w:rPr>
      </w:pPr>
      <w:r>
        <w:rPr>
          <w:rFonts w:asciiTheme="majorBidi" w:hAnsiTheme="majorBidi" w:cstheme="majorBidi"/>
          <w:b/>
          <w:bCs/>
          <w:sz w:val="28"/>
          <w:szCs w:val="28"/>
        </w:rPr>
        <w:t>SUPPLEMENTARY INFORMATION</w:t>
      </w:r>
    </w:p>
    <w:p w14:paraId="689D5A63" w14:textId="77777777" w:rsidR="00A2432B" w:rsidRDefault="00A2432B" w:rsidP="00130CC7">
      <w:pPr>
        <w:spacing w:line="360" w:lineRule="auto"/>
        <w:jc w:val="center"/>
        <w:rPr>
          <w:rFonts w:asciiTheme="majorBidi" w:hAnsiTheme="majorBidi" w:cstheme="majorBidi"/>
          <w:b/>
          <w:bCs/>
          <w:color w:val="000000" w:themeColor="text1"/>
          <w:sz w:val="24"/>
          <w:szCs w:val="24"/>
        </w:rPr>
      </w:pPr>
    </w:p>
    <w:p w14:paraId="0B8235C5" w14:textId="791F29D5" w:rsidR="006C7A56" w:rsidRPr="00DD6692" w:rsidRDefault="00A2432B" w:rsidP="00130CC7">
      <w:pPr>
        <w:spacing w:line="360" w:lineRule="auto"/>
        <w:rPr>
          <w:rFonts w:asciiTheme="majorBidi" w:hAnsiTheme="majorBidi" w:cstheme="majorBidi"/>
          <w:b/>
          <w:bCs/>
          <w:color w:val="000000" w:themeColor="text1"/>
          <w:sz w:val="24"/>
          <w:szCs w:val="24"/>
        </w:rPr>
      </w:pPr>
      <w:r>
        <w:rPr>
          <w:rFonts w:asciiTheme="majorBidi" w:hAnsiTheme="majorBidi" w:cstheme="majorBidi"/>
          <w:b/>
          <w:bCs/>
          <w:color w:val="000000" w:themeColor="text1"/>
          <w:sz w:val="24"/>
          <w:szCs w:val="24"/>
        </w:rPr>
        <w:t>Supplementary information</w:t>
      </w:r>
    </w:p>
    <w:p w14:paraId="1D558A87" w14:textId="77777777" w:rsidR="00A70010" w:rsidRPr="00DD6692" w:rsidRDefault="00A70010" w:rsidP="00130CC7">
      <w:pPr>
        <w:spacing w:line="360" w:lineRule="auto"/>
        <w:rPr>
          <w:rFonts w:asciiTheme="majorBidi" w:hAnsiTheme="majorBidi" w:cstheme="majorBidi"/>
          <w:b/>
          <w:bCs/>
          <w:color w:val="000000" w:themeColor="text1"/>
          <w:sz w:val="24"/>
          <w:szCs w:val="24"/>
        </w:rPr>
      </w:pPr>
      <w:r w:rsidRPr="00DD6692">
        <w:rPr>
          <w:rFonts w:asciiTheme="majorBidi" w:hAnsiTheme="majorBidi" w:cstheme="majorBidi"/>
          <w:b/>
          <w:bCs/>
          <w:color w:val="000000" w:themeColor="text1"/>
          <w:sz w:val="24"/>
          <w:szCs w:val="24"/>
        </w:rPr>
        <w:t>A. Exome sequencing of twins and estimation of zygosity among twins</w:t>
      </w:r>
    </w:p>
    <w:p w14:paraId="75B02D37" w14:textId="77777777" w:rsidR="00A70010" w:rsidRPr="00DD6692" w:rsidRDefault="00A70010" w:rsidP="00130CC7">
      <w:pPr>
        <w:spacing w:after="0" w:line="360" w:lineRule="auto"/>
        <w:jc w:val="both"/>
        <w:rPr>
          <w:rFonts w:asciiTheme="majorBidi" w:hAnsiTheme="majorBidi" w:cstheme="majorBidi"/>
          <w:b/>
          <w:bCs/>
          <w:i/>
          <w:color w:val="000000" w:themeColor="text1"/>
          <w:sz w:val="24"/>
          <w:szCs w:val="24"/>
        </w:rPr>
      </w:pPr>
      <w:r w:rsidRPr="00DD6692">
        <w:rPr>
          <w:rFonts w:ascii="Times" w:eastAsia="Times New Roman" w:hAnsi="Times" w:cs="Segoe UI"/>
          <w:i/>
          <w:color w:val="000000" w:themeColor="text1"/>
          <w:sz w:val="24"/>
          <w:szCs w:val="24"/>
          <w:shd w:val="clear" w:color="auto" w:fill="FFFFFF"/>
        </w:rPr>
        <w:t xml:space="preserve">A.1. </w:t>
      </w:r>
      <w:r w:rsidRPr="00DD6692">
        <w:rPr>
          <w:rFonts w:asciiTheme="majorBidi" w:hAnsiTheme="majorBidi" w:cstheme="majorBidi"/>
          <w:b/>
          <w:bCs/>
          <w:i/>
          <w:color w:val="000000" w:themeColor="text1"/>
          <w:sz w:val="24"/>
          <w:szCs w:val="24"/>
        </w:rPr>
        <w:t xml:space="preserve">Exome sequencing of twins </w:t>
      </w:r>
    </w:p>
    <w:p w14:paraId="44946839" w14:textId="3B82B05F" w:rsidR="002A5345" w:rsidRPr="00DD6692" w:rsidRDefault="006C7A56" w:rsidP="00130CC7">
      <w:pPr>
        <w:spacing w:after="0" w:line="360" w:lineRule="auto"/>
        <w:jc w:val="both"/>
        <w:rPr>
          <w:rFonts w:ascii="Times" w:hAnsi="Times" w:cs="Segoe UI"/>
          <w:color w:val="000000" w:themeColor="text1"/>
          <w:sz w:val="24"/>
          <w:szCs w:val="24"/>
          <w:shd w:val="clear" w:color="auto" w:fill="FFFFFF"/>
        </w:rPr>
      </w:pPr>
      <w:r w:rsidRPr="00DD6692">
        <w:rPr>
          <w:rFonts w:ascii="Times" w:eastAsia="Times New Roman" w:hAnsi="Times" w:cs="Segoe UI"/>
          <w:color w:val="000000" w:themeColor="text1"/>
          <w:sz w:val="24"/>
          <w:szCs w:val="24"/>
          <w:shd w:val="clear" w:color="auto" w:fill="FFFFFF"/>
        </w:rPr>
        <w:t xml:space="preserve">DNA samples of the twins from each family were enriched for whole exome sequencing using </w:t>
      </w:r>
      <w:proofErr w:type="spellStart"/>
      <w:r w:rsidRPr="00DD6692">
        <w:rPr>
          <w:rFonts w:ascii="Times" w:eastAsia="Times New Roman" w:hAnsi="Times" w:cs="Segoe UI"/>
          <w:color w:val="000000" w:themeColor="text1"/>
          <w:sz w:val="24"/>
          <w:szCs w:val="24"/>
          <w:shd w:val="clear" w:color="auto" w:fill="FFFFFF"/>
        </w:rPr>
        <w:t>Nextera</w:t>
      </w:r>
      <w:proofErr w:type="spellEnd"/>
      <w:r w:rsidRPr="00DD6692">
        <w:rPr>
          <w:rFonts w:ascii="Times" w:eastAsia="Times New Roman" w:hAnsi="Times" w:cs="Segoe UI"/>
          <w:color w:val="000000" w:themeColor="text1"/>
          <w:sz w:val="24"/>
          <w:szCs w:val="24"/>
          <w:shd w:val="clear" w:color="auto" w:fill="FFFFFF"/>
        </w:rPr>
        <w:t xml:space="preserve"> Rapid Capture Exome kit (Illumina Inc. USA) to genetically confirm their zygosity. Clustering of the captured libraries </w:t>
      </w:r>
      <w:r w:rsidR="004B0BAC" w:rsidRPr="00DD6692">
        <w:rPr>
          <w:rFonts w:ascii="Times" w:eastAsia="Times New Roman" w:hAnsi="Times" w:cs="Segoe UI"/>
          <w:color w:val="000000" w:themeColor="text1"/>
          <w:sz w:val="24"/>
          <w:szCs w:val="24"/>
          <w:shd w:val="clear" w:color="auto" w:fill="FFFFFF"/>
        </w:rPr>
        <w:t xml:space="preserve">was </w:t>
      </w:r>
      <w:r w:rsidRPr="00DD6692">
        <w:rPr>
          <w:rFonts w:ascii="Times" w:eastAsia="Times New Roman" w:hAnsi="Times" w:cs="Segoe UI"/>
          <w:color w:val="000000" w:themeColor="text1"/>
          <w:sz w:val="24"/>
          <w:szCs w:val="24"/>
          <w:shd w:val="clear" w:color="auto" w:fill="FFFFFF"/>
        </w:rPr>
        <w:t xml:space="preserve">carried out using </w:t>
      </w:r>
      <w:proofErr w:type="spellStart"/>
      <w:r w:rsidRPr="00DD6692">
        <w:rPr>
          <w:rFonts w:ascii="Times" w:eastAsia="Times New Roman" w:hAnsi="Times" w:cs="Segoe UI"/>
          <w:color w:val="000000" w:themeColor="text1"/>
          <w:sz w:val="24"/>
          <w:szCs w:val="24"/>
          <w:shd w:val="clear" w:color="auto" w:fill="FFFFFF"/>
        </w:rPr>
        <w:t>TruSeq</w:t>
      </w:r>
      <w:proofErr w:type="spellEnd"/>
      <w:r w:rsidRPr="00DD6692">
        <w:rPr>
          <w:rFonts w:ascii="Times" w:eastAsia="Times New Roman" w:hAnsi="Times" w:cs="Segoe UI"/>
          <w:color w:val="000000" w:themeColor="text1"/>
          <w:sz w:val="24"/>
          <w:szCs w:val="24"/>
          <w:shd w:val="clear" w:color="auto" w:fill="FFFFFF"/>
        </w:rPr>
        <w:t xml:space="preserve"> Paired</w:t>
      </w:r>
      <w:r w:rsidR="00964A61" w:rsidRPr="00DD6692">
        <w:rPr>
          <w:rFonts w:ascii="Times" w:eastAsia="Times New Roman" w:hAnsi="Times" w:cs="Segoe UI"/>
          <w:color w:val="000000" w:themeColor="text1"/>
          <w:sz w:val="24"/>
          <w:szCs w:val="24"/>
          <w:shd w:val="clear" w:color="auto" w:fill="FFFFFF"/>
        </w:rPr>
        <w:t>-End</w:t>
      </w:r>
      <w:r w:rsidRPr="00DD6692">
        <w:rPr>
          <w:rFonts w:ascii="Times" w:eastAsia="Times New Roman" w:hAnsi="Times" w:cs="Segoe UI"/>
          <w:color w:val="000000" w:themeColor="text1"/>
          <w:sz w:val="24"/>
          <w:szCs w:val="24"/>
          <w:shd w:val="clear" w:color="auto" w:fill="FFFFFF"/>
        </w:rPr>
        <w:t xml:space="preserve"> Cluster Kit V3 (Illumina Inc.</w:t>
      </w:r>
      <w:r w:rsidR="004B0BAC" w:rsidRPr="00DD6692">
        <w:rPr>
          <w:rFonts w:ascii="Times" w:eastAsia="Times New Roman" w:hAnsi="Times" w:cs="Segoe UI"/>
          <w:color w:val="000000" w:themeColor="text1"/>
          <w:sz w:val="24"/>
          <w:szCs w:val="24"/>
          <w:shd w:val="clear" w:color="auto" w:fill="FFFFFF"/>
        </w:rPr>
        <w:t>,</w:t>
      </w:r>
      <w:r w:rsidRPr="00DD6692">
        <w:rPr>
          <w:rFonts w:ascii="Times" w:eastAsia="Times New Roman" w:hAnsi="Times" w:cs="Segoe UI"/>
          <w:color w:val="000000" w:themeColor="text1"/>
          <w:sz w:val="24"/>
          <w:szCs w:val="24"/>
          <w:shd w:val="clear" w:color="auto" w:fill="FFFFFF"/>
        </w:rPr>
        <w:t xml:space="preserve"> USA) </w:t>
      </w:r>
      <w:r w:rsidR="004B0BAC" w:rsidRPr="00DD6692">
        <w:rPr>
          <w:rFonts w:ascii="Times" w:eastAsia="Times New Roman" w:hAnsi="Times" w:cs="Segoe UI"/>
          <w:color w:val="000000" w:themeColor="text1"/>
          <w:sz w:val="24"/>
          <w:szCs w:val="24"/>
          <w:shd w:val="clear" w:color="auto" w:fill="FFFFFF"/>
        </w:rPr>
        <w:t xml:space="preserve">and </w:t>
      </w:r>
      <w:r w:rsidRPr="00DD6692">
        <w:rPr>
          <w:rFonts w:ascii="Times" w:eastAsia="Times New Roman" w:hAnsi="Times" w:cs="Segoe UI"/>
          <w:color w:val="000000" w:themeColor="text1"/>
          <w:sz w:val="24"/>
          <w:szCs w:val="24"/>
          <w:shd w:val="clear" w:color="auto" w:fill="FFFFFF"/>
        </w:rPr>
        <w:t xml:space="preserve">were later sequenced on </w:t>
      </w:r>
      <w:proofErr w:type="spellStart"/>
      <w:r w:rsidRPr="00DD6692">
        <w:rPr>
          <w:rFonts w:ascii="Times" w:eastAsia="Times New Roman" w:hAnsi="Times" w:cs="Segoe UI"/>
          <w:color w:val="000000" w:themeColor="text1"/>
          <w:sz w:val="24"/>
          <w:szCs w:val="24"/>
          <w:shd w:val="clear" w:color="auto" w:fill="FFFFFF"/>
        </w:rPr>
        <w:t>HiSeq</w:t>
      </w:r>
      <w:proofErr w:type="spellEnd"/>
      <w:r w:rsidRPr="00DD6692">
        <w:rPr>
          <w:rFonts w:ascii="Times" w:eastAsia="Times New Roman" w:hAnsi="Times" w:cs="Segoe UI"/>
          <w:color w:val="000000" w:themeColor="text1"/>
          <w:sz w:val="24"/>
          <w:szCs w:val="24"/>
          <w:shd w:val="clear" w:color="auto" w:fill="FFFFFF"/>
        </w:rPr>
        <w:t xml:space="preserve"> 2000 Illumina platform. Furthermore, extracted raw paired-end </w:t>
      </w:r>
      <w:r w:rsidR="004B0BAC" w:rsidRPr="00DD6692">
        <w:rPr>
          <w:rFonts w:ascii="Times" w:eastAsia="Times New Roman" w:hAnsi="Times" w:cs="Segoe UI"/>
          <w:color w:val="000000" w:themeColor="text1"/>
          <w:sz w:val="24"/>
          <w:szCs w:val="24"/>
          <w:shd w:val="clear" w:color="auto" w:fill="FFFFFF"/>
        </w:rPr>
        <w:t xml:space="preserve">100 bp </w:t>
      </w:r>
      <w:r w:rsidRPr="00DD6692">
        <w:rPr>
          <w:rFonts w:ascii="Times" w:eastAsia="Times New Roman" w:hAnsi="Times" w:cs="Segoe UI"/>
          <w:color w:val="000000" w:themeColor="text1"/>
          <w:sz w:val="24"/>
          <w:szCs w:val="24"/>
          <w:shd w:val="clear" w:color="auto" w:fill="FFFFFF"/>
        </w:rPr>
        <w:t>reads</w:t>
      </w:r>
      <w:r w:rsidR="004B0BAC" w:rsidRPr="00DD6692">
        <w:rPr>
          <w:rFonts w:ascii="Times" w:eastAsia="Times New Roman" w:hAnsi="Times" w:cs="Segoe UI"/>
          <w:color w:val="000000" w:themeColor="text1"/>
          <w:sz w:val="24"/>
          <w:szCs w:val="24"/>
          <w:shd w:val="clear" w:color="auto" w:fill="FFFFFF"/>
        </w:rPr>
        <w:t xml:space="preserve"> were </w:t>
      </w:r>
      <w:r w:rsidRPr="00DD6692">
        <w:rPr>
          <w:rFonts w:ascii="Times" w:eastAsia="Times New Roman" w:hAnsi="Times" w:cs="Segoe UI"/>
          <w:color w:val="000000" w:themeColor="text1"/>
          <w:sz w:val="24"/>
          <w:szCs w:val="24"/>
          <w:shd w:val="clear" w:color="auto" w:fill="FFFFFF"/>
        </w:rPr>
        <w:t>mapped to the human genome reference (GRCh37) using Burrows-Wheeler Aligner using default parameters (</w:t>
      </w:r>
      <w:r w:rsidR="00487FA9">
        <w:rPr>
          <w:rFonts w:ascii="Times" w:eastAsia="Times New Roman" w:hAnsi="Times" w:cs="Segoe UI"/>
          <w:color w:val="000000" w:themeColor="text1"/>
          <w:sz w:val="24"/>
          <w:szCs w:val="24"/>
          <w:shd w:val="clear" w:color="auto" w:fill="FFFFFF"/>
        </w:rPr>
        <w:t>48</w:t>
      </w:r>
      <w:r w:rsidRPr="00DD6692">
        <w:rPr>
          <w:rFonts w:ascii="Times" w:eastAsia="Times New Roman" w:hAnsi="Times" w:cs="Segoe UI"/>
          <w:color w:val="000000" w:themeColor="text1"/>
          <w:sz w:val="24"/>
          <w:szCs w:val="24"/>
          <w:shd w:val="clear" w:color="auto" w:fill="FFFFFF"/>
        </w:rPr>
        <w:t xml:space="preserve">). Aligned reads were converted to compressed binary format (BAM) files using </w:t>
      </w:r>
      <w:proofErr w:type="spellStart"/>
      <w:r w:rsidRPr="00DD6692">
        <w:rPr>
          <w:rFonts w:ascii="Times" w:hAnsi="Times" w:cs="Segoe UI"/>
          <w:color w:val="000000" w:themeColor="text1"/>
          <w:sz w:val="24"/>
          <w:szCs w:val="24"/>
          <w:shd w:val="clear" w:color="auto" w:fill="FFFFFF"/>
        </w:rPr>
        <w:t>SAMtools</w:t>
      </w:r>
      <w:proofErr w:type="spellEnd"/>
      <w:r w:rsidRPr="00DD6692">
        <w:rPr>
          <w:rFonts w:ascii="Times" w:hAnsi="Times" w:cs="Segoe UI"/>
          <w:color w:val="000000" w:themeColor="text1"/>
          <w:sz w:val="24"/>
          <w:szCs w:val="24"/>
          <w:shd w:val="clear" w:color="auto" w:fill="FFFFFF"/>
        </w:rPr>
        <w:t xml:space="preserve"> (</w:t>
      </w:r>
      <w:r w:rsidR="00487FA9">
        <w:rPr>
          <w:rFonts w:ascii="Times" w:hAnsi="Times" w:cs="Segoe UI"/>
          <w:color w:val="000000" w:themeColor="text1"/>
          <w:sz w:val="24"/>
          <w:szCs w:val="24"/>
          <w:shd w:val="clear" w:color="auto" w:fill="FFFFFF"/>
        </w:rPr>
        <w:t>49</w:t>
      </w:r>
      <w:r w:rsidRPr="00DD6692">
        <w:rPr>
          <w:rFonts w:ascii="Times" w:hAnsi="Times" w:cs="Segoe UI"/>
          <w:color w:val="000000" w:themeColor="text1"/>
          <w:sz w:val="24"/>
          <w:szCs w:val="24"/>
          <w:shd w:val="clear" w:color="auto" w:fill="FFFFFF"/>
        </w:rPr>
        <w:t>) followed by the removal of duplicate reads via Picard tool version 2.20.2 (</w:t>
      </w:r>
      <w:hyperlink r:id="rId9" w:history="1">
        <w:r w:rsidRPr="00DD6692">
          <w:rPr>
            <w:rStyle w:val="Hyperlink"/>
            <w:rFonts w:ascii="Times" w:hAnsi="Times" w:cs="Segoe UI"/>
            <w:color w:val="000000" w:themeColor="text1"/>
            <w:sz w:val="24"/>
            <w:szCs w:val="24"/>
          </w:rPr>
          <w:t>http://broadinstitute.github.io/picard</w:t>
        </w:r>
      </w:hyperlink>
      <w:r w:rsidRPr="00DD6692">
        <w:rPr>
          <w:rFonts w:ascii="Times" w:hAnsi="Times" w:cs="Segoe UI"/>
          <w:color w:val="000000" w:themeColor="text1"/>
          <w:sz w:val="24"/>
          <w:szCs w:val="24"/>
          <w:shd w:val="clear" w:color="auto" w:fill="FFFFFF"/>
        </w:rPr>
        <w:t>). Genome Analysis Tool Kit (GATK) version v3.8-1-0 (</w:t>
      </w:r>
      <w:r w:rsidR="00487FA9">
        <w:rPr>
          <w:rFonts w:ascii="Times" w:hAnsi="Times" w:cs="Segoe UI"/>
          <w:color w:val="000000" w:themeColor="text1"/>
          <w:sz w:val="24"/>
          <w:szCs w:val="24"/>
          <w:shd w:val="clear" w:color="auto" w:fill="FFFFFF"/>
        </w:rPr>
        <w:t>50</w:t>
      </w:r>
      <w:r w:rsidRPr="00DD6692">
        <w:rPr>
          <w:rFonts w:ascii="Times" w:hAnsi="Times" w:cs="Segoe UI"/>
          <w:color w:val="000000" w:themeColor="text1"/>
          <w:sz w:val="24"/>
          <w:szCs w:val="24"/>
          <w:shd w:val="clear" w:color="auto" w:fill="FFFFFF"/>
        </w:rPr>
        <w:t xml:space="preserve">) was used to estimate exome coverage as well as </w:t>
      </w:r>
      <w:r w:rsidR="004B0BAC" w:rsidRPr="00DD6692">
        <w:rPr>
          <w:rFonts w:ascii="Times" w:hAnsi="Times" w:cs="Segoe UI"/>
          <w:color w:val="000000" w:themeColor="text1"/>
          <w:sz w:val="24"/>
          <w:szCs w:val="24"/>
          <w:shd w:val="clear" w:color="auto" w:fill="FFFFFF"/>
        </w:rPr>
        <w:t xml:space="preserve">to perform </w:t>
      </w:r>
      <w:r w:rsidRPr="00DD6692">
        <w:rPr>
          <w:rFonts w:ascii="Times" w:hAnsi="Times" w:cs="Segoe UI"/>
          <w:color w:val="000000" w:themeColor="text1"/>
          <w:sz w:val="24"/>
          <w:szCs w:val="24"/>
          <w:shd w:val="clear" w:color="auto" w:fill="FFFFFF"/>
        </w:rPr>
        <w:t>variants calling.</w:t>
      </w:r>
    </w:p>
    <w:p w14:paraId="4B532775" w14:textId="77777777" w:rsidR="004B0BAC" w:rsidRPr="00DD6692" w:rsidRDefault="004B0BAC" w:rsidP="00130CC7">
      <w:pPr>
        <w:autoSpaceDE w:val="0"/>
        <w:autoSpaceDN w:val="0"/>
        <w:adjustRightInd w:val="0"/>
        <w:spacing w:line="360" w:lineRule="auto"/>
        <w:jc w:val="both"/>
        <w:rPr>
          <w:rFonts w:asciiTheme="majorBidi" w:hAnsiTheme="majorBidi" w:cstheme="majorBidi"/>
          <w:b/>
          <w:bCs/>
          <w:i/>
          <w:color w:val="000000" w:themeColor="text1"/>
          <w:sz w:val="24"/>
          <w:szCs w:val="24"/>
        </w:rPr>
      </w:pPr>
    </w:p>
    <w:p w14:paraId="20D72280" w14:textId="32CF072D" w:rsidR="006C7A56" w:rsidRPr="00487FA9" w:rsidRDefault="00A70010" w:rsidP="00130CC7">
      <w:pPr>
        <w:autoSpaceDE w:val="0"/>
        <w:autoSpaceDN w:val="0"/>
        <w:adjustRightInd w:val="0"/>
        <w:spacing w:line="360" w:lineRule="auto"/>
        <w:jc w:val="both"/>
        <w:rPr>
          <w:rFonts w:asciiTheme="majorBidi" w:hAnsiTheme="majorBidi" w:cstheme="majorBidi"/>
          <w:bCs/>
          <w:i/>
          <w:iCs/>
          <w:color w:val="000000" w:themeColor="text1"/>
          <w:sz w:val="24"/>
          <w:szCs w:val="24"/>
        </w:rPr>
      </w:pPr>
      <w:r w:rsidRPr="00DD6692">
        <w:rPr>
          <w:rFonts w:asciiTheme="majorBidi" w:hAnsiTheme="majorBidi" w:cstheme="majorBidi"/>
          <w:b/>
          <w:bCs/>
          <w:i/>
          <w:color w:val="000000" w:themeColor="text1"/>
          <w:sz w:val="24"/>
          <w:szCs w:val="24"/>
        </w:rPr>
        <w:t>A.2. Estimation of zygosity among twins</w:t>
      </w:r>
      <w:r w:rsidRPr="00487FA9">
        <w:rPr>
          <w:rFonts w:asciiTheme="majorBidi" w:hAnsiTheme="majorBidi" w:cstheme="majorBidi"/>
          <w:bCs/>
          <w:i/>
          <w:iCs/>
          <w:color w:val="000000" w:themeColor="text1"/>
          <w:sz w:val="24"/>
          <w:szCs w:val="24"/>
        </w:rPr>
        <w:t xml:space="preserve"> </w:t>
      </w:r>
    </w:p>
    <w:p w14:paraId="785353BA" w14:textId="1A2375E9" w:rsidR="006C7A56" w:rsidRPr="00487FA9" w:rsidRDefault="006C7A56" w:rsidP="00130CC7">
      <w:pPr>
        <w:autoSpaceDE w:val="0"/>
        <w:autoSpaceDN w:val="0"/>
        <w:adjustRightInd w:val="0"/>
        <w:spacing w:line="360" w:lineRule="auto"/>
        <w:jc w:val="both"/>
        <w:rPr>
          <w:rFonts w:asciiTheme="majorBidi" w:hAnsiTheme="majorBidi" w:cstheme="majorBidi"/>
          <w:color w:val="000000" w:themeColor="text1"/>
          <w:sz w:val="24"/>
          <w:szCs w:val="24"/>
        </w:rPr>
      </w:pPr>
      <w:r w:rsidRPr="00487FA9">
        <w:rPr>
          <w:rFonts w:asciiTheme="majorBidi" w:hAnsiTheme="majorBidi" w:cstheme="majorBidi"/>
          <w:color w:val="000000" w:themeColor="text1"/>
          <w:sz w:val="24"/>
          <w:szCs w:val="24"/>
        </w:rPr>
        <w:t>Total heterozygous SNP</w:t>
      </w:r>
      <w:r w:rsidR="004B0BAC" w:rsidRPr="00487FA9">
        <w:rPr>
          <w:rFonts w:asciiTheme="majorBidi" w:hAnsiTheme="majorBidi" w:cstheme="majorBidi"/>
          <w:color w:val="000000" w:themeColor="text1"/>
          <w:sz w:val="24"/>
          <w:szCs w:val="24"/>
        </w:rPr>
        <w:t>s</w:t>
      </w:r>
      <w:r w:rsidRPr="00487FA9">
        <w:rPr>
          <w:rFonts w:asciiTheme="majorBidi" w:hAnsiTheme="majorBidi" w:cstheme="majorBidi"/>
          <w:color w:val="000000" w:themeColor="text1"/>
          <w:sz w:val="24"/>
          <w:szCs w:val="24"/>
        </w:rPr>
        <w:t xml:space="preserve"> identified from the </w:t>
      </w:r>
      <w:r w:rsidR="00FD53E4" w:rsidRPr="00487FA9">
        <w:rPr>
          <w:rFonts w:asciiTheme="majorBidi" w:hAnsiTheme="majorBidi" w:cstheme="majorBidi"/>
          <w:color w:val="000000" w:themeColor="text1"/>
          <w:sz w:val="24"/>
          <w:szCs w:val="24"/>
        </w:rPr>
        <w:t xml:space="preserve">dizygotic </w:t>
      </w:r>
      <w:r w:rsidRPr="00487FA9">
        <w:rPr>
          <w:rFonts w:asciiTheme="majorBidi" w:hAnsiTheme="majorBidi" w:cstheme="majorBidi"/>
          <w:color w:val="000000" w:themeColor="text1"/>
          <w:sz w:val="24"/>
          <w:szCs w:val="24"/>
        </w:rPr>
        <w:t>twin</w:t>
      </w:r>
      <w:r w:rsidR="004B0BAC" w:rsidRPr="00487FA9">
        <w:rPr>
          <w:rFonts w:asciiTheme="majorBidi" w:hAnsiTheme="majorBidi" w:cstheme="majorBidi"/>
          <w:color w:val="000000" w:themeColor="text1"/>
          <w:sz w:val="24"/>
          <w:szCs w:val="24"/>
        </w:rPr>
        <w:t>s</w:t>
      </w:r>
      <w:r w:rsidRPr="00487FA9">
        <w:rPr>
          <w:rFonts w:asciiTheme="majorBidi" w:hAnsiTheme="majorBidi" w:cstheme="majorBidi"/>
          <w:color w:val="000000" w:themeColor="text1"/>
          <w:sz w:val="24"/>
          <w:szCs w:val="24"/>
        </w:rPr>
        <w:t xml:space="preserve"> in family A were 17,249 and 17,063 in which 10,185 (42%) </w:t>
      </w:r>
      <w:r w:rsidR="004B0BAC" w:rsidRPr="00487FA9">
        <w:rPr>
          <w:rFonts w:asciiTheme="majorBidi" w:hAnsiTheme="majorBidi" w:cstheme="majorBidi"/>
          <w:color w:val="000000" w:themeColor="text1"/>
          <w:sz w:val="24"/>
          <w:szCs w:val="24"/>
        </w:rPr>
        <w:t xml:space="preserve">were seen </w:t>
      </w:r>
      <w:r w:rsidRPr="00487FA9">
        <w:rPr>
          <w:rFonts w:asciiTheme="majorBidi" w:hAnsiTheme="majorBidi" w:cstheme="majorBidi"/>
          <w:color w:val="000000" w:themeColor="text1"/>
          <w:sz w:val="24"/>
          <w:szCs w:val="24"/>
        </w:rPr>
        <w:t>to be in common. The total extracted heterozygous SNP</w:t>
      </w:r>
      <w:r w:rsidR="004B0BAC" w:rsidRPr="00487FA9">
        <w:rPr>
          <w:rFonts w:asciiTheme="majorBidi" w:hAnsiTheme="majorBidi" w:cstheme="majorBidi"/>
          <w:color w:val="000000" w:themeColor="text1"/>
          <w:sz w:val="24"/>
          <w:szCs w:val="24"/>
        </w:rPr>
        <w:t>s</w:t>
      </w:r>
      <w:r w:rsidRPr="00487FA9">
        <w:rPr>
          <w:rFonts w:asciiTheme="majorBidi" w:hAnsiTheme="majorBidi" w:cstheme="majorBidi"/>
          <w:color w:val="000000" w:themeColor="text1"/>
          <w:sz w:val="24"/>
          <w:szCs w:val="24"/>
        </w:rPr>
        <w:t xml:space="preserve"> of the </w:t>
      </w:r>
      <w:r w:rsidR="00FD53E4" w:rsidRPr="00487FA9">
        <w:rPr>
          <w:rFonts w:asciiTheme="majorBidi" w:hAnsiTheme="majorBidi" w:cstheme="majorBidi"/>
          <w:color w:val="000000" w:themeColor="text1"/>
          <w:sz w:val="24"/>
          <w:szCs w:val="24"/>
        </w:rPr>
        <w:t xml:space="preserve">monozygotic </w:t>
      </w:r>
      <w:r w:rsidRPr="00487FA9">
        <w:rPr>
          <w:rFonts w:asciiTheme="majorBidi" w:hAnsiTheme="majorBidi" w:cstheme="majorBidi"/>
          <w:color w:val="000000" w:themeColor="text1"/>
          <w:sz w:val="24"/>
          <w:szCs w:val="24"/>
        </w:rPr>
        <w:t>twin</w:t>
      </w:r>
      <w:r w:rsidR="004B0BAC" w:rsidRPr="00487FA9">
        <w:rPr>
          <w:rFonts w:asciiTheme="majorBidi" w:hAnsiTheme="majorBidi" w:cstheme="majorBidi"/>
          <w:color w:val="000000" w:themeColor="text1"/>
          <w:sz w:val="24"/>
          <w:szCs w:val="24"/>
        </w:rPr>
        <w:t>s</w:t>
      </w:r>
      <w:r w:rsidRPr="00487FA9">
        <w:rPr>
          <w:rFonts w:asciiTheme="majorBidi" w:hAnsiTheme="majorBidi" w:cstheme="majorBidi"/>
          <w:color w:val="000000" w:themeColor="text1"/>
          <w:sz w:val="24"/>
          <w:szCs w:val="24"/>
        </w:rPr>
        <w:t xml:space="preserve"> from family B were 17,286 and 17,266 in which 16,573 (92%) </w:t>
      </w:r>
      <w:r w:rsidR="004B0BAC" w:rsidRPr="00487FA9">
        <w:rPr>
          <w:rFonts w:asciiTheme="majorBidi" w:hAnsiTheme="majorBidi" w:cstheme="majorBidi"/>
          <w:color w:val="000000" w:themeColor="text1"/>
          <w:sz w:val="24"/>
          <w:szCs w:val="24"/>
        </w:rPr>
        <w:t xml:space="preserve">were </w:t>
      </w:r>
      <w:r w:rsidRPr="00487FA9">
        <w:rPr>
          <w:rFonts w:asciiTheme="majorBidi" w:hAnsiTheme="majorBidi" w:cstheme="majorBidi"/>
          <w:color w:val="000000" w:themeColor="text1"/>
          <w:sz w:val="24"/>
          <w:szCs w:val="24"/>
        </w:rPr>
        <w:t>found to be in common.</w:t>
      </w:r>
      <w:r w:rsidRPr="00487FA9">
        <w:rPr>
          <w:rFonts w:asciiTheme="majorBidi" w:hAnsiTheme="majorBidi" w:cstheme="majorBidi"/>
          <w:i/>
          <w:iCs/>
          <w:color w:val="000000" w:themeColor="text1"/>
          <w:sz w:val="24"/>
          <w:szCs w:val="24"/>
        </w:rPr>
        <w:t xml:space="preserve"> </w:t>
      </w:r>
      <w:r w:rsidRPr="00487FA9">
        <w:rPr>
          <w:rFonts w:asciiTheme="majorBidi" w:hAnsiTheme="majorBidi" w:cstheme="majorBidi"/>
          <w:color w:val="000000" w:themeColor="text1"/>
          <w:sz w:val="24"/>
          <w:szCs w:val="24"/>
        </w:rPr>
        <w:t xml:space="preserve">Furthermore, total homozygous variants for the </w:t>
      </w:r>
      <w:r w:rsidR="00FD53E4" w:rsidRPr="00487FA9">
        <w:rPr>
          <w:rFonts w:asciiTheme="majorBidi" w:hAnsiTheme="majorBidi" w:cstheme="majorBidi"/>
          <w:color w:val="000000" w:themeColor="text1"/>
          <w:sz w:val="24"/>
          <w:szCs w:val="24"/>
        </w:rPr>
        <w:t xml:space="preserve">dizygotic </w:t>
      </w:r>
      <w:r w:rsidRPr="00487FA9">
        <w:rPr>
          <w:rFonts w:asciiTheme="majorBidi" w:hAnsiTheme="majorBidi" w:cstheme="majorBidi"/>
          <w:color w:val="000000" w:themeColor="text1"/>
          <w:sz w:val="24"/>
          <w:szCs w:val="24"/>
        </w:rPr>
        <w:t>twins in family A were 9,430 and 9,347 in which 7,081 (76</w:t>
      </w:r>
      <w:r w:rsidR="004B0BAC" w:rsidRPr="00487FA9">
        <w:rPr>
          <w:rFonts w:asciiTheme="majorBidi" w:hAnsiTheme="majorBidi" w:cstheme="majorBidi"/>
          <w:color w:val="000000" w:themeColor="text1"/>
          <w:sz w:val="24"/>
          <w:szCs w:val="24"/>
        </w:rPr>
        <w:t>%</w:t>
      </w:r>
      <w:r w:rsidRPr="00487FA9">
        <w:rPr>
          <w:rFonts w:asciiTheme="majorBidi" w:hAnsiTheme="majorBidi" w:cstheme="majorBidi"/>
          <w:color w:val="000000" w:themeColor="text1"/>
          <w:sz w:val="24"/>
          <w:szCs w:val="24"/>
        </w:rPr>
        <w:t xml:space="preserve">) were in common. </w:t>
      </w:r>
      <w:r w:rsidR="00FD53E4" w:rsidRPr="00487FA9">
        <w:rPr>
          <w:rFonts w:asciiTheme="majorBidi" w:hAnsiTheme="majorBidi" w:cstheme="majorBidi"/>
          <w:color w:val="000000" w:themeColor="text1"/>
          <w:sz w:val="24"/>
          <w:szCs w:val="24"/>
        </w:rPr>
        <w:t xml:space="preserve">Total </w:t>
      </w:r>
      <w:r w:rsidRPr="00487FA9">
        <w:rPr>
          <w:rFonts w:asciiTheme="majorBidi" w:hAnsiTheme="majorBidi" w:cstheme="majorBidi"/>
          <w:color w:val="000000" w:themeColor="text1"/>
          <w:sz w:val="24"/>
          <w:szCs w:val="24"/>
        </w:rPr>
        <w:t xml:space="preserve">homozygous variants of the </w:t>
      </w:r>
      <w:r w:rsidR="00614A46" w:rsidRPr="00487FA9">
        <w:rPr>
          <w:rFonts w:asciiTheme="majorBidi" w:hAnsiTheme="majorBidi" w:cstheme="majorBidi"/>
          <w:color w:val="000000" w:themeColor="text1"/>
          <w:sz w:val="24"/>
          <w:szCs w:val="24"/>
        </w:rPr>
        <w:t xml:space="preserve">monozygotic </w:t>
      </w:r>
      <w:r w:rsidRPr="00487FA9">
        <w:rPr>
          <w:rFonts w:asciiTheme="majorBidi" w:hAnsiTheme="majorBidi" w:cstheme="majorBidi"/>
          <w:color w:val="000000" w:themeColor="text1"/>
          <w:sz w:val="24"/>
          <w:szCs w:val="24"/>
        </w:rPr>
        <w:t>twins in family B were 11,214 and 11,221 in which 11,060 variants (97</w:t>
      </w:r>
      <w:r w:rsidR="00FD53E4" w:rsidRPr="00487FA9">
        <w:rPr>
          <w:rFonts w:asciiTheme="majorBidi" w:hAnsiTheme="majorBidi" w:cstheme="majorBidi"/>
          <w:color w:val="000000" w:themeColor="text1"/>
          <w:sz w:val="24"/>
          <w:szCs w:val="24"/>
        </w:rPr>
        <w:t>%</w:t>
      </w:r>
      <w:r w:rsidRPr="00487FA9">
        <w:rPr>
          <w:rFonts w:asciiTheme="majorBidi" w:hAnsiTheme="majorBidi" w:cstheme="majorBidi"/>
          <w:color w:val="000000" w:themeColor="text1"/>
          <w:sz w:val="24"/>
          <w:szCs w:val="24"/>
        </w:rPr>
        <w:t>) were in common.</w:t>
      </w:r>
    </w:p>
    <w:p w14:paraId="7FD98FBF" w14:textId="21BCA8D2" w:rsidR="002A5345" w:rsidRPr="00DD6692" w:rsidRDefault="002A5345" w:rsidP="00130CC7">
      <w:pPr>
        <w:spacing w:line="360" w:lineRule="auto"/>
        <w:rPr>
          <w:rFonts w:ascii="Times New Roman" w:hAnsi="Times New Roman" w:cs="Times New Roman"/>
          <w:b/>
          <w:bCs/>
          <w:color w:val="000000" w:themeColor="text1"/>
          <w:sz w:val="24"/>
          <w:szCs w:val="24"/>
        </w:rPr>
      </w:pPr>
      <w:r w:rsidRPr="00DD6692">
        <w:rPr>
          <w:rFonts w:ascii="Times New Roman" w:hAnsi="Times New Roman" w:cs="Times New Roman"/>
          <w:b/>
          <w:color w:val="000000" w:themeColor="text1"/>
          <w:sz w:val="24"/>
          <w:szCs w:val="24"/>
          <w:lang w:val="en-US"/>
        </w:rPr>
        <w:t>B. HLA typing profile of DRB1, DQA1 and DQB1 alleles in T1D patients</w:t>
      </w:r>
    </w:p>
    <w:p w14:paraId="7D494B45" w14:textId="3BB3A27A" w:rsidR="002A5345" w:rsidRPr="00DD6692" w:rsidRDefault="002A5345" w:rsidP="00130CC7">
      <w:pPr>
        <w:autoSpaceDE w:val="0"/>
        <w:autoSpaceDN w:val="0"/>
        <w:adjustRightInd w:val="0"/>
        <w:spacing w:line="360" w:lineRule="auto"/>
        <w:jc w:val="both"/>
        <w:rPr>
          <w:rFonts w:asciiTheme="majorBidi" w:hAnsiTheme="majorBidi" w:cstheme="majorBidi"/>
          <w:color w:val="000000" w:themeColor="text1"/>
          <w:sz w:val="24"/>
          <w:szCs w:val="24"/>
        </w:rPr>
      </w:pPr>
      <w:r w:rsidRPr="00DD6692">
        <w:rPr>
          <w:rFonts w:asciiTheme="majorBidi" w:hAnsiTheme="majorBidi" w:cstheme="majorBidi"/>
          <w:bCs/>
          <w:color w:val="000000" w:themeColor="text1"/>
          <w:sz w:val="24"/>
          <w:szCs w:val="24"/>
        </w:rPr>
        <w:t xml:space="preserve">Raw </w:t>
      </w:r>
      <w:proofErr w:type="spellStart"/>
      <w:r w:rsidRPr="00DD6692">
        <w:rPr>
          <w:rFonts w:asciiTheme="majorBidi" w:hAnsiTheme="majorBidi" w:cstheme="majorBidi"/>
          <w:bCs/>
          <w:color w:val="000000" w:themeColor="text1"/>
          <w:sz w:val="24"/>
          <w:szCs w:val="24"/>
        </w:rPr>
        <w:t>FastQ</w:t>
      </w:r>
      <w:proofErr w:type="spellEnd"/>
      <w:r w:rsidRPr="00DD6692">
        <w:rPr>
          <w:rFonts w:asciiTheme="majorBidi" w:hAnsiTheme="majorBidi" w:cstheme="majorBidi"/>
          <w:bCs/>
          <w:color w:val="000000" w:themeColor="text1"/>
          <w:sz w:val="24"/>
          <w:szCs w:val="24"/>
        </w:rPr>
        <w:t xml:space="preserve"> files</w:t>
      </w:r>
      <w:r w:rsidR="008052F3" w:rsidRPr="00DD6692">
        <w:rPr>
          <w:rFonts w:asciiTheme="majorBidi" w:hAnsiTheme="majorBidi" w:cstheme="majorBidi"/>
          <w:bCs/>
          <w:color w:val="000000" w:themeColor="text1"/>
          <w:sz w:val="24"/>
          <w:szCs w:val="24"/>
        </w:rPr>
        <w:t xml:space="preserve"> of</w:t>
      </w:r>
      <w:r w:rsidRPr="00DD6692">
        <w:rPr>
          <w:rFonts w:asciiTheme="majorBidi" w:hAnsiTheme="majorBidi" w:cstheme="majorBidi"/>
          <w:bCs/>
          <w:color w:val="000000" w:themeColor="text1"/>
          <w:sz w:val="24"/>
          <w:szCs w:val="24"/>
        </w:rPr>
        <w:t xml:space="preserve"> T1D patients from the three families (A,</w:t>
      </w:r>
      <w:r w:rsidR="0084460A" w:rsidRPr="00DD6692">
        <w:rPr>
          <w:rFonts w:asciiTheme="majorBidi" w:hAnsiTheme="majorBidi" w:cstheme="majorBidi"/>
          <w:bCs/>
          <w:color w:val="000000" w:themeColor="text1"/>
          <w:sz w:val="24"/>
          <w:szCs w:val="24"/>
        </w:rPr>
        <w:t xml:space="preserve"> </w:t>
      </w:r>
      <w:r w:rsidRPr="00DD6692">
        <w:rPr>
          <w:rFonts w:asciiTheme="majorBidi" w:hAnsiTheme="majorBidi" w:cstheme="majorBidi"/>
          <w:bCs/>
          <w:color w:val="000000" w:themeColor="text1"/>
          <w:sz w:val="24"/>
          <w:szCs w:val="24"/>
        </w:rPr>
        <w:t xml:space="preserve">B and C) were used as input for </w:t>
      </w:r>
      <w:r w:rsidR="00614A46" w:rsidRPr="00DD6692">
        <w:rPr>
          <w:rFonts w:asciiTheme="majorBidi" w:hAnsiTheme="majorBidi" w:cstheme="majorBidi"/>
          <w:bCs/>
          <w:color w:val="000000" w:themeColor="text1"/>
          <w:sz w:val="24"/>
          <w:szCs w:val="24"/>
        </w:rPr>
        <w:t xml:space="preserve">the tool of </w:t>
      </w:r>
      <w:r w:rsidRPr="00DD6692">
        <w:rPr>
          <w:rFonts w:asciiTheme="majorBidi" w:hAnsiTheme="majorBidi" w:cstheme="majorBidi"/>
          <w:bCs/>
          <w:color w:val="000000" w:themeColor="text1"/>
          <w:sz w:val="24"/>
          <w:szCs w:val="24"/>
        </w:rPr>
        <w:t xml:space="preserve">HLA -HD Version 1.4.0 (http://www.genome.med.kyoto-u.ac.jp/HLA-HD) </w:t>
      </w:r>
      <w:r w:rsidR="00614A46" w:rsidRPr="00DD6692">
        <w:rPr>
          <w:rFonts w:asciiTheme="majorBidi" w:hAnsiTheme="majorBidi" w:cstheme="majorBidi"/>
          <w:bCs/>
          <w:color w:val="000000" w:themeColor="text1"/>
          <w:sz w:val="24"/>
          <w:szCs w:val="24"/>
        </w:rPr>
        <w:t>to perform</w:t>
      </w:r>
      <w:r w:rsidRPr="00DD6692">
        <w:rPr>
          <w:rFonts w:asciiTheme="majorBidi" w:hAnsiTheme="majorBidi" w:cstheme="majorBidi"/>
          <w:bCs/>
          <w:color w:val="000000" w:themeColor="text1"/>
          <w:sz w:val="24"/>
          <w:szCs w:val="24"/>
        </w:rPr>
        <w:t xml:space="preserve"> </w:t>
      </w:r>
      <w:r w:rsidRPr="00DD6692">
        <w:rPr>
          <w:rFonts w:asciiTheme="majorBidi" w:hAnsiTheme="majorBidi" w:cstheme="majorBidi"/>
          <w:bCs/>
          <w:color w:val="000000" w:themeColor="text1"/>
          <w:sz w:val="24"/>
          <w:szCs w:val="24"/>
        </w:rPr>
        <w:lastRenderedPageBreak/>
        <w:t>HLA typing</w:t>
      </w:r>
      <w:r w:rsidR="00614A46" w:rsidRPr="00DD6692">
        <w:rPr>
          <w:rFonts w:asciiTheme="majorBidi" w:hAnsiTheme="majorBidi" w:cstheme="majorBidi"/>
          <w:bCs/>
          <w:color w:val="000000" w:themeColor="text1"/>
          <w:sz w:val="24"/>
          <w:szCs w:val="24"/>
        </w:rPr>
        <w:t>.</w:t>
      </w:r>
      <w:r w:rsidRPr="00DD6692">
        <w:rPr>
          <w:rFonts w:asciiTheme="majorBidi" w:hAnsiTheme="majorBidi" w:cstheme="majorBidi"/>
          <w:bCs/>
          <w:color w:val="000000" w:themeColor="text1"/>
          <w:sz w:val="24"/>
          <w:szCs w:val="24"/>
        </w:rPr>
        <w:t xml:space="preserve"> </w:t>
      </w:r>
      <w:r w:rsidR="00614A46" w:rsidRPr="00DD6692">
        <w:rPr>
          <w:rFonts w:asciiTheme="majorBidi" w:hAnsiTheme="majorBidi" w:cstheme="majorBidi"/>
          <w:bCs/>
          <w:color w:val="000000" w:themeColor="text1"/>
          <w:sz w:val="24"/>
          <w:szCs w:val="24"/>
        </w:rPr>
        <w:t xml:space="preserve">The </w:t>
      </w:r>
      <w:proofErr w:type="spellStart"/>
      <w:r w:rsidRPr="00DD6692">
        <w:rPr>
          <w:rFonts w:asciiTheme="majorBidi" w:hAnsiTheme="majorBidi" w:cstheme="majorBidi"/>
          <w:bCs/>
          <w:color w:val="000000" w:themeColor="text1"/>
          <w:sz w:val="24"/>
          <w:szCs w:val="24"/>
        </w:rPr>
        <w:t>Immuno</w:t>
      </w:r>
      <w:proofErr w:type="spellEnd"/>
      <w:r w:rsidRPr="00DD6692">
        <w:rPr>
          <w:rFonts w:asciiTheme="majorBidi" w:hAnsiTheme="majorBidi" w:cstheme="majorBidi"/>
          <w:bCs/>
          <w:color w:val="000000" w:themeColor="text1"/>
          <w:sz w:val="24"/>
          <w:szCs w:val="24"/>
        </w:rPr>
        <w:t xml:space="preserve"> Polymorphism Database (IPD)</w:t>
      </w:r>
      <w:r w:rsidR="00614A46" w:rsidRPr="00DD6692">
        <w:rPr>
          <w:rFonts w:asciiTheme="majorBidi" w:hAnsiTheme="majorBidi" w:cstheme="majorBidi"/>
          <w:bCs/>
          <w:color w:val="000000" w:themeColor="text1"/>
          <w:sz w:val="24"/>
          <w:szCs w:val="24"/>
        </w:rPr>
        <w:t>,</w:t>
      </w:r>
      <w:r w:rsidRPr="00DD6692">
        <w:rPr>
          <w:rFonts w:asciiTheme="majorBidi" w:hAnsiTheme="majorBidi" w:cstheme="majorBidi"/>
          <w:bCs/>
          <w:color w:val="000000" w:themeColor="text1"/>
          <w:sz w:val="24"/>
          <w:szCs w:val="24"/>
        </w:rPr>
        <w:t xml:space="preserve"> which </w:t>
      </w:r>
      <w:r w:rsidR="00614A46" w:rsidRPr="00DD6692">
        <w:rPr>
          <w:rFonts w:asciiTheme="majorBidi" w:hAnsiTheme="majorBidi" w:cstheme="majorBidi"/>
          <w:bCs/>
          <w:color w:val="000000" w:themeColor="text1"/>
          <w:sz w:val="24"/>
          <w:szCs w:val="24"/>
        </w:rPr>
        <w:t xml:space="preserve">is </w:t>
      </w:r>
      <w:r w:rsidRPr="00DD6692">
        <w:rPr>
          <w:rFonts w:asciiTheme="majorBidi" w:hAnsiTheme="majorBidi" w:cstheme="majorBidi"/>
          <w:bCs/>
          <w:color w:val="000000" w:themeColor="text1"/>
          <w:sz w:val="24"/>
          <w:szCs w:val="24"/>
        </w:rPr>
        <w:t xml:space="preserve">partially part of the international </w:t>
      </w:r>
      <w:proofErr w:type="spellStart"/>
      <w:r w:rsidRPr="00DD6692">
        <w:rPr>
          <w:rFonts w:asciiTheme="majorBidi" w:hAnsiTheme="majorBidi" w:cstheme="majorBidi"/>
          <w:bCs/>
          <w:color w:val="000000" w:themeColor="text1"/>
          <w:sz w:val="24"/>
          <w:szCs w:val="24"/>
        </w:rPr>
        <w:t>ImMunoGeneTics</w:t>
      </w:r>
      <w:proofErr w:type="spellEnd"/>
      <w:r w:rsidRPr="00DD6692">
        <w:rPr>
          <w:rFonts w:asciiTheme="majorBidi" w:hAnsiTheme="majorBidi" w:cstheme="majorBidi"/>
          <w:bCs/>
          <w:color w:val="000000" w:themeColor="text1"/>
          <w:sz w:val="24"/>
          <w:szCs w:val="24"/>
        </w:rPr>
        <w:t xml:space="preserve"> project (IMGT) HLA database version 3.46 (2021-October) build 2d19adf (https://www.ebi.ac.uk/ipd/imgt/hla/)</w:t>
      </w:r>
      <w:r w:rsidR="00614A46" w:rsidRPr="00DD6692">
        <w:rPr>
          <w:rFonts w:asciiTheme="majorBidi" w:hAnsiTheme="majorBidi" w:cstheme="majorBidi"/>
          <w:bCs/>
          <w:color w:val="000000" w:themeColor="text1"/>
          <w:sz w:val="24"/>
          <w:szCs w:val="24"/>
        </w:rPr>
        <w:t>,</w:t>
      </w:r>
      <w:r w:rsidRPr="00DD6692">
        <w:rPr>
          <w:rFonts w:asciiTheme="majorBidi" w:hAnsiTheme="majorBidi" w:cstheme="majorBidi"/>
          <w:bCs/>
          <w:color w:val="000000" w:themeColor="text1"/>
          <w:sz w:val="24"/>
          <w:szCs w:val="24"/>
        </w:rPr>
        <w:t xml:space="preserve"> </w:t>
      </w:r>
      <w:r w:rsidR="00614A46" w:rsidRPr="00DD6692">
        <w:rPr>
          <w:rFonts w:asciiTheme="majorBidi" w:hAnsiTheme="majorBidi" w:cstheme="majorBidi"/>
          <w:bCs/>
          <w:color w:val="000000" w:themeColor="text1"/>
          <w:sz w:val="24"/>
          <w:szCs w:val="24"/>
        </w:rPr>
        <w:t xml:space="preserve">was used </w:t>
      </w:r>
      <w:r w:rsidRPr="00DD6692">
        <w:rPr>
          <w:rFonts w:asciiTheme="majorBidi" w:hAnsiTheme="majorBidi" w:cstheme="majorBidi"/>
          <w:bCs/>
          <w:color w:val="000000" w:themeColor="text1"/>
          <w:sz w:val="24"/>
          <w:szCs w:val="24"/>
        </w:rPr>
        <w:t xml:space="preserve">for assignment </w:t>
      </w:r>
      <w:r w:rsidR="00614A46" w:rsidRPr="00DD6692">
        <w:rPr>
          <w:rFonts w:asciiTheme="majorBidi" w:hAnsiTheme="majorBidi" w:cstheme="majorBidi"/>
          <w:bCs/>
          <w:color w:val="000000" w:themeColor="text1"/>
          <w:sz w:val="24"/>
          <w:szCs w:val="24"/>
        </w:rPr>
        <w:t xml:space="preserve">of </w:t>
      </w:r>
      <w:r w:rsidRPr="00DD6692">
        <w:rPr>
          <w:rFonts w:asciiTheme="majorBidi" w:hAnsiTheme="majorBidi" w:cstheme="majorBidi"/>
          <w:bCs/>
          <w:color w:val="000000" w:themeColor="text1"/>
          <w:sz w:val="24"/>
          <w:szCs w:val="24"/>
        </w:rPr>
        <w:t>official HLA names.</w:t>
      </w:r>
    </w:p>
    <w:p w14:paraId="2FC00580" w14:textId="1498523B" w:rsidR="00A70010" w:rsidRPr="00DD6692" w:rsidRDefault="002A5345" w:rsidP="00130CC7">
      <w:pPr>
        <w:spacing w:line="360" w:lineRule="auto"/>
        <w:rPr>
          <w:rFonts w:ascii="Times New Roman" w:hAnsi="Times New Roman" w:cs="Times New Roman"/>
          <w:b/>
          <w:bCs/>
          <w:color w:val="000000" w:themeColor="text1"/>
          <w:sz w:val="24"/>
          <w:szCs w:val="24"/>
        </w:rPr>
      </w:pPr>
      <w:r w:rsidRPr="00DD6692">
        <w:rPr>
          <w:rFonts w:ascii="Times New Roman" w:hAnsi="Times New Roman" w:cs="Times New Roman"/>
          <w:b/>
          <w:color w:val="000000" w:themeColor="text1"/>
          <w:sz w:val="24"/>
          <w:szCs w:val="24"/>
          <w:lang w:val="en-US"/>
        </w:rPr>
        <w:t>C</w:t>
      </w:r>
      <w:r w:rsidR="00A70010" w:rsidRPr="00DD6692">
        <w:rPr>
          <w:rFonts w:ascii="Times New Roman" w:hAnsi="Times New Roman" w:cs="Times New Roman"/>
          <w:b/>
          <w:color w:val="000000" w:themeColor="text1"/>
          <w:sz w:val="24"/>
          <w:szCs w:val="24"/>
          <w:lang w:val="en-US"/>
        </w:rPr>
        <w:t xml:space="preserve">. </w:t>
      </w:r>
      <w:proofErr w:type="spellStart"/>
      <w:r w:rsidR="00A70010" w:rsidRPr="00DD6692">
        <w:rPr>
          <w:rFonts w:ascii="Times New Roman" w:hAnsi="Times New Roman" w:cs="Times New Roman"/>
          <w:b/>
          <w:color w:val="000000" w:themeColor="text1"/>
          <w:sz w:val="24"/>
          <w:szCs w:val="24"/>
          <w:lang w:val="en-US"/>
        </w:rPr>
        <w:t>DNAm</w:t>
      </w:r>
      <w:proofErr w:type="spellEnd"/>
      <w:r w:rsidR="00A70010" w:rsidRPr="00DD6692">
        <w:rPr>
          <w:rFonts w:ascii="Times New Roman" w:hAnsi="Times New Roman" w:cs="Times New Roman"/>
          <w:b/>
          <w:color w:val="000000" w:themeColor="text1"/>
          <w:sz w:val="24"/>
          <w:szCs w:val="24"/>
          <w:lang w:val="en-US"/>
        </w:rPr>
        <w:t xml:space="preserve"> alignment and quality control results</w:t>
      </w:r>
    </w:p>
    <w:p w14:paraId="749FCDF2" w14:textId="65AE53CE" w:rsidR="006C7A56" w:rsidRDefault="00614A46" w:rsidP="00130CC7">
      <w:pPr>
        <w:spacing w:line="360" w:lineRule="auto"/>
        <w:jc w:val="both"/>
        <w:rPr>
          <w:rFonts w:ascii="Times New Roman" w:hAnsi="Times New Roman" w:cs="Times New Roman"/>
          <w:bCs/>
          <w:color w:val="000000" w:themeColor="text1"/>
          <w:sz w:val="24"/>
          <w:szCs w:val="24"/>
        </w:rPr>
      </w:pPr>
      <w:r w:rsidRPr="00DD6692">
        <w:rPr>
          <w:rFonts w:ascii="Times New Roman" w:hAnsi="Times New Roman" w:cs="Times New Roman"/>
          <w:bCs/>
          <w:color w:val="000000" w:themeColor="text1"/>
          <w:sz w:val="24"/>
          <w:szCs w:val="24"/>
        </w:rPr>
        <w:t>The number of a</w:t>
      </w:r>
      <w:r w:rsidR="006C7A56" w:rsidRPr="00DD6692">
        <w:rPr>
          <w:rFonts w:ascii="Times New Roman" w:hAnsi="Times New Roman" w:cs="Times New Roman"/>
          <w:bCs/>
          <w:color w:val="000000" w:themeColor="text1"/>
          <w:sz w:val="24"/>
          <w:szCs w:val="24"/>
        </w:rPr>
        <w:t xml:space="preserve">ligned </w:t>
      </w:r>
      <w:proofErr w:type="gramStart"/>
      <w:r w:rsidR="006C7A56" w:rsidRPr="00DD6692">
        <w:rPr>
          <w:rFonts w:ascii="Times New Roman" w:hAnsi="Times New Roman" w:cs="Times New Roman"/>
          <w:bCs/>
          <w:color w:val="000000" w:themeColor="text1"/>
          <w:sz w:val="24"/>
          <w:szCs w:val="24"/>
        </w:rPr>
        <w:t>paired-end</w:t>
      </w:r>
      <w:proofErr w:type="gramEnd"/>
      <w:r w:rsidR="006C7A56" w:rsidRPr="00DD6692">
        <w:rPr>
          <w:rFonts w:ascii="Times New Roman" w:hAnsi="Times New Roman" w:cs="Times New Roman"/>
          <w:bCs/>
          <w:color w:val="000000" w:themeColor="text1"/>
          <w:sz w:val="24"/>
          <w:szCs w:val="24"/>
        </w:rPr>
        <w:t xml:space="preserve"> reads of an average sequence length of 70 bp with a unique best hit to the human genome reference </w:t>
      </w:r>
      <w:r w:rsidRPr="00DD6692">
        <w:rPr>
          <w:rFonts w:ascii="Times New Roman" w:hAnsi="Times New Roman" w:cs="Times New Roman"/>
          <w:bCs/>
          <w:color w:val="000000" w:themeColor="text1"/>
          <w:sz w:val="24"/>
          <w:szCs w:val="24"/>
        </w:rPr>
        <w:t xml:space="preserve">was found to be </w:t>
      </w:r>
      <w:r w:rsidR="006C7A56" w:rsidRPr="00DD6692">
        <w:rPr>
          <w:rFonts w:ascii="Times New Roman" w:hAnsi="Times New Roman" w:cs="Times New Roman"/>
          <w:bCs/>
          <w:color w:val="000000" w:themeColor="text1"/>
          <w:sz w:val="24"/>
          <w:szCs w:val="24"/>
        </w:rPr>
        <w:t>about 11 million reads</w:t>
      </w:r>
      <w:r w:rsidRPr="00DD6692">
        <w:rPr>
          <w:rFonts w:ascii="Times New Roman" w:hAnsi="Times New Roman" w:cs="Times New Roman"/>
          <w:bCs/>
          <w:color w:val="000000" w:themeColor="text1"/>
          <w:sz w:val="24"/>
          <w:szCs w:val="24"/>
        </w:rPr>
        <w:t xml:space="preserve">, </w:t>
      </w:r>
      <w:r w:rsidR="006C7A56" w:rsidRPr="00DD6692">
        <w:rPr>
          <w:rFonts w:ascii="Times New Roman" w:hAnsi="Times New Roman" w:cs="Times New Roman"/>
          <w:bCs/>
          <w:color w:val="000000" w:themeColor="text1"/>
          <w:sz w:val="24"/>
          <w:szCs w:val="24"/>
        </w:rPr>
        <w:t xml:space="preserve">which is more than 85% of the total sequence pairs. In total, a conversion rate of at least 99.6% of all non-CpG cytosine positions being converted to uracil </w:t>
      </w:r>
      <w:r w:rsidR="00536FDD" w:rsidRPr="00DD6692">
        <w:rPr>
          <w:rFonts w:ascii="Times New Roman" w:hAnsi="Times New Roman" w:cs="Times New Roman"/>
          <w:bCs/>
          <w:color w:val="000000" w:themeColor="text1"/>
          <w:sz w:val="24"/>
          <w:szCs w:val="24"/>
        </w:rPr>
        <w:t>and</w:t>
      </w:r>
      <w:r w:rsidR="006C7A56" w:rsidRPr="00DD6692">
        <w:rPr>
          <w:rFonts w:ascii="Times New Roman" w:hAnsi="Times New Roman" w:cs="Times New Roman"/>
          <w:bCs/>
          <w:color w:val="000000" w:themeColor="text1"/>
          <w:sz w:val="24"/>
          <w:szCs w:val="24"/>
        </w:rPr>
        <w:t xml:space="preserve"> an average 45% of methylation CpG across all the samples </w:t>
      </w:r>
      <w:r w:rsidR="00536FDD" w:rsidRPr="00DD6692">
        <w:rPr>
          <w:rFonts w:ascii="Times New Roman" w:hAnsi="Times New Roman" w:cs="Times New Roman"/>
          <w:bCs/>
          <w:color w:val="000000" w:themeColor="text1"/>
          <w:sz w:val="24"/>
          <w:szCs w:val="24"/>
        </w:rPr>
        <w:t xml:space="preserve">were seen. </w:t>
      </w:r>
      <w:r w:rsidR="00536FDD" w:rsidRPr="00487FA9">
        <w:rPr>
          <w:rFonts w:ascii="Times New Roman" w:hAnsi="Times New Roman" w:cs="Times New Roman"/>
          <w:color w:val="000000" w:themeColor="text1"/>
          <w:spacing w:val="2"/>
          <w:sz w:val="24"/>
          <w:szCs w:val="24"/>
          <w:shd w:val="clear" w:color="auto" w:fill="FCFCFC"/>
        </w:rPr>
        <w:t>This pattern is consistent across all the samples demonstrating that there is no significance difference between affected and unaffected individuals</w:t>
      </w:r>
      <w:r w:rsidR="000F3BD3">
        <w:rPr>
          <w:rFonts w:ascii="Times New Roman" w:hAnsi="Times New Roman" w:cs="Times New Roman"/>
          <w:bCs/>
          <w:color w:val="000000" w:themeColor="text1"/>
          <w:sz w:val="24"/>
          <w:szCs w:val="24"/>
        </w:rPr>
        <w:t xml:space="preserve"> </w:t>
      </w:r>
      <w:r w:rsidR="006C7A56" w:rsidRPr="00DD6692">
        <w:rPr>
          <w:rFonts w:ascii="Times New Roman" w:hAnsi="Times New Roman" w:cs="Times New Roman"/>
          <w:bCs/>
          <w:color w:val="000000" w:themeColor="text1"/>
          <w:sz w:val="24"/>
          <w:szCs w:val="24"/>
        </w:rPr>
        <w:t xml:space="preserve">(see Supplementary Figure S1). Similarly, the </w:t>
      </w:r>
      <w:r w:rsidR="002D2ADD" w:rsidRPr="00DD6692">
        <w:rPr>
          <w:rFonts w:ascii="Times New Roman" w:hAnsi="Times New Roman" w:cs="Times New Roman"/>
          <w:bCs/>
          <w:color w:val="000000" w:themeColor="text1"/>
          <w:sz w:val="24"/>
          <w:szCs w:val="24"/>
        </w:rPr>
        <w:t xml:space="preserve">distribution of </w:t>
      </w:r>
      <w:r w:rsidR="006C7A56" w:rsidRPr="00DD6692">
        <w:rPr>
          <w:rFonts w:ascii="Times New Roman" w:hAnsi="Times New Roman" w:cs="Times New Roman"/>
          <w:bCs/>
          <w:color w:val="000000" w:themeColor="text1"/>
          <w:sz w:val="24"/>
          <w:szCs w:val="24"/>
        </w:rPr>
        <w:t xml:space="preserve">methylation read coverage per base across all the samples </w:t>
      </w:r>
      <w:r w:rsidR="002D2ADD" w:rsidRPr="00DD6692">
        <w:rPr>
          <w:rFonts w:ascii="Times New Roman" w:hAnsi="Times New Roman" w:cs="Times New Roman"/>
          <w:bCs/>
          <w:color w:val="000000" w:themeColor="text1"/>
          <w:sz w:val="24"/>
          <w:szCs w:val="24"/>
        </w:rPr>
        <w:t xml:space="preserve">was seen as bimodal </w:t>
      </w:r>
      <w:r w:rsidR="006C7A56" w:rsidRPr="00DD6692">
        <w:rPr>
          <w:rFonts w:ascii="Times New Roman" w:hAnsi="Times New Roman" w:cs="Times New Roman"/>
          <w:bCs/>
          <w:color w:val="000000" w:themeColor="text1"/>
          <w:sz w:val="24"/>
          <w:szCs w:val="24"/>
        </w:rPr>
        <w:t xml:space="preserve">indicating </w:t>
      </w:r>
      <w:r w:rsidR="002D2ADD" w:rsidRPr="00DD6692">
        <w:rPr>
          <w:rFonts w:ascii="Times New Roman" w:hAnsi="Times New Roman" w:cs="Times New Roman"/>
          <w:bCs/>
          <w:color w:val="000000" w:themeColor="text1"/>
          <w:sz w:val="24"/>
          <w:szCs w:val="24"/>
        </w:rPr>
        <w:t xml:space="preserve">that </w:t>
      </w:r>
      <w:r w:rsidR="006C7A56" w:rsidRPr="00DD6692">
        <w:rPr>
          <w:rFonts w:ascii="Times New Roman" w:hAnsi="Times New Roman" w:cs="Times New Roman"/>
          <w:bCs/>
          <w:color w:val="000000" w:themeColor="text1"/>
          <w:sz w:val="24"/>
          <w:szCs w:val="24"/>
        </w:rPr>
        <w:t xml:space="preserve">the experiment did not experience </w:t>
      </w:r>
      <w:r w:rsidR="006C7A56" w:rsidRPr="00DD6692">
        <w:rPr>
          <w:rFonts w:ascii="Times New Roman" w:hAnsi="Times New Roman" w:cs="Times New Roman"/>
          <w:color w:val="000000" w:themeColor="text1"/>
          <w:spacing w:val="2"/>
          <w:sz w:val="24"/>
          <w:szCs w:val="24"/>
          <w:shd w:val="clear" w:color="auto" w:fill="FCFCFC"/>
        </w:rPr>
        <w:t xml:space="preserve">PCR duplication bias </w:t>
      </w:r>
      <w:r w:rsidR="006C7A56" w:rsidRPr="00DD6692">
        <w:rPr>
          <w:rFonts w:ascii="Times New Roman" w:hAnsi="Times New Roman" w:cs="Times New Roman"/>
          <w:bCs/>
          <w:color w:val="000000" w:themeColor="text1"/>
          <w:sz w:val="24"/>
          <w:szCs w:val="24"/>
        </w:rPr>
        <w:t xml:space="preserve">(see Supplementary Figure S2). </w:t>
      </w:r>
    </w:p>
    <w:p w14:paraId="6BD1FF98" w14:textId="77777777" w:rsidR="00A2432B" w:rsidRDefault="00A2432B" w:rsidP="00130CC7">
      <w:pPr>
        <w:spacing w:line="360" w:lineRule="auto"/>
        <w:jc w:val="both"/>
        <w:rPr>
          <w:rFonts w:ascii="Times New Roman" w:hAnsi="Times New Roman" w:cs="Times New Roman"/>
          <w:bCs/>
          <w:color w:val="000000" w:themeColor="text1"/>
          <w:sz w:val="24"/>
          <w:szCs w:val="24"/>
        </w:rPr>
      </w:pPr>
    </w:p>
    <w:p w14:paraId="4B456E1F" w14:textId="77777777" w:rsidR="00A2432B" w:rsidRPr="00A2432B" w:rsidRDefault="00A2432B" w:rsidP="00130CC7">
      <w:pPr>
        <w:spacing w:line="360" w:lineRule="auto"/>
        <w:rPr>
          <w:rFonts w:asciiTheme="majorBidi" w:hAnsiTheme="majorBidi" w:cstheme="majorBidi"/>
          <w:b/>
          <w:bCs/>
          <w:sz w:val="24"/>
          <w:szCs w:val="24"/>
        </w:rPr>
      </w:pPr>
      <w:r w:rsidRPr="00A2432B">
        <w:rPr>
          <w:rFonts w:asciiTheme="majorBidi" w:hAnsiTheme="majorBidi" w:cstheme="majorBidi"/>
          <w:b/>
          <w:bCs/>
          <w:sz w:val="24"/>
          <w:szCs w:val="24"/>
        </w:rPr>
        <w:t>Supplementary figures</w:t>
      </w:r>
    </w:p>
    <w:p w14:paraId="419E6DFC" w14:textId="77777777" w:rsidR="00A2432B" w:rsidRPr="00A2432B" w:rsidRDefault="00A2432B" w:rsidP="00130CC7">
      <w:pPr>
        <w:pStyle w:val="p"/>
        <w:shd w:val="clear" w:color="auto" w:fill="FFFFFF"/>
        <w:spacing w:before="166" w:beforeAutospacing="0" w:after="166" w:afterAutospacing="0" w:line="360" w:lineRule="auto"/>
        <w:jc w:val="both"/>
        <w:rPr>
          <w:rFonts w:asciiTheme="majorBidi" w:hAnsiTheme="majorBidi" w:cstheme="majorBidi"/>
          <w:spacing w:val="2"/>
          <w:shd w:val="clear" w:color="auto" w:fill="FCFCFC"/>
        </w:rPr>
      </w:pPr>
      <w:r w:rsidRPr="00A2432B">
        <w:rPr>
          <w:rFonts w:asciiTheme="majorBidi" w:hAnsiTheme="majorBidi" w:cstheme="majorBidi"/>
          <w:b/>
          <w:bCs/>
        </w:rPr>
        <w:t xml:space="preserve">Supplementary Figure S1. </w:t>
      </w:r>
      <w:r w:rsidRPr="00A2432B">
        <w:rPr>
          <w:rFonts w:asciiTheme="majorBidi" w:hAnsiTheme="majorBidi" w:cstheme="majorBidi"/>
          <w:b/>
          <w:bCs/>
          <w:spacing w:val="2"/>
          <w:shd w:val="clear" w:color="auto" w:fill="FCFCFC"/>
        </w:rPr>
        <w:t>Percentage CpG methylation distribution across all the samples</w:t>
      </w:r>
      <w:r w:rsidRPr="00A2432B">
        <w:rPr>
          <w:rFonts w:asciiTheme="majorBidi" w:hAnsiTheme="majorBidi" w:cstheme="majorBidi"/>
          <w:spacing w:val="2"/>
          <w:shd w:val="clear" w:color="auto" w:fill="FCFCFC"/>
        </w:rPr>
        <w:t>.</w:t>
      </w:r>
      <w:r w:rsidRPr="00A2432B">
        <w:rPr>
          <w:rFonts w:asciiTheme="majorBidi" w:hAnsiTheme="majorBidi" w:cstheme="majorBidi"/>
        </w:rPr>
        <w:t xml:space="preserve"> </w:t>
      </w:r>
      <w:r w:rsidRPr="00A2432B">
        <w:rPr>
          <w:rFonts w:asciiTheme="majorBidi" w:hAnsiTheme="majorBidi" w:cstheme="majorBidi"/>
          <w:spacing w:val="2"/>
          <w:shd w:val="clear" w:color="auto" w:fill="FCFCFC"/>
        </w:rPr>
        <w:t xml:space="preserve">Histograms showing the overall percentage methylation showing two peaks at both ends of the plot representing that most of the bases are either methylated or unmethylated. This pattern is consistent across all the samples demonstrating that there is no significance difference between affected and unaffected individuals. </w:t>
      </w:r>
    </w:p>
    <w:p w14:paraId="75EE2466" w14:textId="77777777" w:rsidR="00A2432B" w:rsidRPr="00A2432B" w:rsidRDefault="00A2432B" w:rsidP="00130CC7">
      <w:pPr>
        <w:pStyle w:val="p"/>
        <w:shd w:val="clear" w:color="auto" w:fill="FFFFFF"/>
        <w:spacing w:before="166" w:beforeAutospacing="0" w:after="166" w:afterAutospacing="0" w:line="360" w:lineRule="auto"/>
        <w:jc w:val="both"/>
        <w:rPr>
          <w:rFonts w:asciiTheme="majorBidi" w:hAnsiTheme="majorBidi" w:cstheme="majorBidi"/>
          <w:spacing w:val="2"/>
          <w:shd w:val="clear" w:color="auto" w:fill="FCFCFC"/>
        </w:rPr>
      </w:pPr>
      <w:r w:rsidRPr="00A2432B">
        <w:rPr>
          <w:rFonts w:asciiTheme="majorBidi" w:hAnsiTheme="majorBidi" w:cstheme="majorBidi"/>
          <w:b/>
          <w:bCs/>
        </w:rPr>
        <w:t>Supplementary Figure S2.</w:t>
      </w:r>
      <w:r w:rsidRPr="00A2432B">
        <w:rPr>
          <w:rFonts w:asciiTheme="majorBidi" w:hAnsiTheme="majorBidi" w:cstheme="majorBidi"/>
          <w:b/>
        </w:rPr>
        <w:t xml:space="preserve"> </w:t>
      </w:r>
      <w:r w:rsidRPr="00A2432B">
        <w:rPr>
          <w:rFonts w:asciiTheme="majorBidi" w:hAnsiTheme="majorBidi" w:cstheme="majorBidi"/>
          <w:b/>
          <w:bCs/>
          <w:spacing w:val="2"/>
          <w:shd w:val="clear" w:color="auto" w:fill="FCFCFC"/>
        </w:rPr>
        <w:t>Read coverage per base of CpG sites distribution across all the samples.</w:t>
      </w:r>
      <w:r w:rsidRPr="00A2432B">
        <w:rPr>
          <w:rFonts w:asciiTheme="majorBidi" w:hAnsiTheme="majorBidi" w:cstheme="majorBidi"/>
        </w:rPr>
        <w:t xml:space="preserve"> </w:t>
      </w:r>
      <w:r w:rsidRPr="00A2432B">
        <w:rPr>
          <w:rFonts w:asciiTheme="majorBidi" w:hAnsiTheme="majorBidi" w:cstheme="majorBidi"/>
          <w:spacing w:val="2"/>
          <w:shd w:val="clear" w:color="auto" w:fill="FCFCFC"/>
        </w:rPr>
        <w:t>Histograms of the overall read coverage per base of CpG sites showing one peak toward the left indicating most of the bases either have high or low methylation as well as the experiment did not suffer from PCR duplication bias.</w:t>
      </w:r>
    </w:p>
    <w:p w14:paraId="4BF764AD" w14:textId="77777777" w:rsidR="00A2432B" w:rsidRPr="00A2432B" w:rsidRDefault="00A2432B" w:rsidP="00130CC7">
      <w:pPr>
        <w:pStyle w:val="p"/>
        <w:shd w:val="clear" w:color="auto" w:fill="FFFFFF"/>
        <w:spacing w:before="166" w:beforeAutospacing="0" w:after="166" w:afterAutospacing="0" w:line="360" w:lineRule="auto"/>
        <w:rPr>
          <w:rFonts w:asciiTheme="majorBidi" w:eastAsiaTheme="minorHAnsi" w:hAnsiTheme="majorBidi" w:cstheme="majorBidi"/>
          <w:b/>
          <w:bCs/>
          <w:lang w:eastAsia="en-US"/>
        </w:rPr>
      </w:pPr>
      <w:r w:rsidRPr="00A2432B">
        <w:rPr>
          <w:rFonts w:asciiTheme="majorBidi" w:hAnsiTheme="majorBidi" w:cstheme="majorBidi"/>
          <w:b/>
          <w:bCs/>
        </w:rPr>
        <w:t>Supplementary Figure S3</w:t>
      </w:r>
      <w:r w:rsidRPr="00A2432B">
        <w:rPr>
          <w:rFonts w:asciiTheme="majorBidi" w:eastAsiaTheme="minorHAnsi" w:hAnsiTheme="majorBidi" w:cstheme="majorBidi"/>
          <w:b/>
          <w:bCs/>
          <w:lang w:eastAsia="en-US"/>
        </w:rPr>
        <w:t>: Scree plot displays variance for the first 10 principal components.</w:t>
      </w:r>
    </w:p>
    <w:p w14:paraId="17BEDA81" w14:textId="75D62F6E" w:rsidR="004B0BAC" w:rsidRDefault="00A2432B" w:rsidP="00130CC7">
      <w:pPr>
        <w:pStyle w:val="p"/>
        <w:shd w:val="clear" w:color="auto" w:fill="FFFFFF"/>
        <w:spacing w:before="166" w:beforeAutospacing="0" w:after="166" w:afterAutospacing="0" w:line="360" w:lineRule="auto"/>
        <w:jc w:val="both"/>
        <w:rPr>
          <w:rFonts w:asciiTheme="majorBidi" w:hAnsiTheme="majorBidi" w:cstheme="majorBidi"/>
        </w:rPr>
      </w:pPr>
      <w:r w:rsidRPr="00A2432B">
        <w:rPr>
          <w:rFonts w:asciiTheme="majorBidi" w:hAnsiTheme="majorBidi" w:cstheme="majorBidi"/>
          <w:b/>
          <w:bCs/>
        </w:rPr>
        <w:t>Supplementary Figure S4.</w:t>
      </w:r>
      <w:r w:rsidRPr="00A2432B">
        <w:rPr>
          <w:rFonts w:asciiTheme="majorBidi" w:hAnsiTheme="majorBidi" w:cstheme="majorBidi"/>
          <w:b/>
        </w:rPr>
        <w:t xml:space="preserve"> </w:t>
      </w:r>
      <w:r w:rsidRPr="00A2432B">
        <w:rPr>
          <w:rFonts w:asciiTheme="majorBidi" w:hAnsiTheme="majorBidi" w:cstheme="majorBidi"/>
          <w:b/>
          <w:bCs/>
        </w:rPr>
        <w:t>Differentially methylated CpG annotation across all familial T1D.</w:t>
      </w:r>
      <w:r w:rsidRPr="00A2432B">
        <w:rPr>
          <w:rFonts w:asciiTheme="majorBidi" w:hAnsiTheme="majorBidi" w:cstheme="majorBidi"/>
        </w:rPr>
        <w:t xml:space="preserve"> Pie charts showing percentages of differentially methylated CpG single sites (A), tiles (B), </w:t>
      </w:r>
      <w:proofErr w:type="spellStart"/>
      <w:r w:rsidRPr="00A2432B">
        <w:rPr>
          <w:rFonts w:asciiTheme="majorBidi" w:hAnsiTheme="majorBidi" w:cstheme="majorBidi"/>
        </w:rPr>
        <w:t>truseq</w:t>
      </w:r>
      <w:proofErr w:type="spellEnd"/>
      <w:r w:rsidRPr="00A2432B">
        <w:rPr>
          <w:rFonts w:asciiTheme="majorBidi" w:hAnsiTheme="majorBidi" w:cstheme="majorBidi"/>
        </w:rPr>
        <w:t xml:space="preserve"> </w:t>
      </w:r>
      <w:r w:rsidRPr="00A2432B">
        <w:rPr>
          <w:rFonts w:asciiTheme="majorBidi" w:hAnsiTheme="majorBidi" w:cstheme="majorBidi"/>
        </w:rPr>
        <w:lastRenderedPageBreak/>
        <w:t>regions (C) across genomic (1) and CpG (2) features. Methylated events are more prevalent in intronic and intergenic regions outside of CpG islands and shores.</w:t>
      </w:r>
    </w:p>
    <w:p w14:paraId="34E67B15" w14:textId="72283CDB" w:rsidR="00A01F69" w:rsidRDefault="00A01F69" w:rsidP="00130CC7">
      <w:pPr>
        <w:pStyle w:val="p"/>
        <w:shd w:val="clear" w:color="auto" w:fill="FFFFFF"/>
        <w:spacing w:before="166" w:beforeAutospacing="0" w:after="166" w:afterAutospacing="0" w:line="360" w:lineRule="auto"/>
        <w:jc w:val="both"/>
        <w:rPr>
          <w:rFonts w:asciiTheme="majorBidi" w:hAnsiTheme="majorBidi" w:cstheme="majorBidi"/>
        </w:rPr>
      </w:pPr>
    </w:p>
    <w:p w14:paraId="4727661B" w14:textId="77777777" w:rsidR="00A01F69" w:rsidRPr="00A01F69" w:rsidRDefault="00A01F69" w:rsidP="00130CC7">
      <w:pPr>
        <w:spacing w:line="360" w:lineRule="auto"/>
        <w:rPr>
          <w:rFonts w:asciiTheme="majorBidi" w:hAnsiTheme="majorBidi" w:cstheme="majorBidi"/>
          <w:b/>
          <w:bCs/>
          <w:sz w:val="24"/>
          <w:szCs w:val="24"/>
        </w:rPr>
      </w:pPr>
    </w:p>
    <w:p w14:paraId="4D84E809" w14:textId="77777777" w:rsidR="00A01F69" w:rsidRPr="00A01F69" w:rsidRDefault="00A01F69" w:rsidP="00130CC7">
      <w:pPr>
        <w:spacing w:line="360" w:lineRule="auto"/>
        <w:rPr>
          <w:rFonts w:asciiTheme="majorBidi" w:hAnsiTheme="majorBidi" w:cstheme="majorBidi"/>
          <w:b/>
          <w:bCs/>
          <w:sz w:val="24"/>
          <w:szCs w:val="24"/>
        </w:rPr>
      </w:pPr>
      <w:r w:rsidRPr="00A01F69">
        <w:rPr>
          <w:rFonts w:asciiTheme="majorBidi" w:hAnsiTheme="majorBidi" w:cstheme="majorBidi"/>
          <w:b/>
          <w:bCs/>
          <w:sz w:val="24"/>
          <w:szCs w:val="24"/>
        </w:rPr>
        <w:t>Supplementary tables</w:t>
      </w:r>
    </w:p>
    <w:p w14:paraId="7EC66D05" w14:textId="77777777" w:rsidR="00A01F69" w:rsidRPr="00A01F69" w:rsidRDefault="00A01F69" w:rsidP="00130CC7">
      <w:pPr>
        <w:spacing w:line="360" w:lineRule="auto"/>
        <w:rPr>
          <w:rFonts w:asciiTheme="majorBidi" w:hAnsiTheme="majorBidi" w:cstheme="majorBidi"/>
          <w:sz w:val="24"/>
          <w:szCs w:val="24"/>
        </w:rPr>
      </w:pPr>
      <w:r w:rsidRPr="00A01F69">
        <w:rPr>
          <w:rFonts w:asciiTheme="majorBidi" w:eastAsiaTheme="majorEastAsia" w:hAnsiTheme="majorBidi" w:cstheme="majorBidi"/>
          <w:b/>
          <w:bCs/>
          <w:sz w:val="24"/>
          <w:szCs w:val="24"/>
        </w:rPr>
        <w:t>Supplementary Table S1.</w:t>
      </w:r>
      <w:r w:rsidRPr="00A01F69">
        <w:rPr>
          <w:rFonts w:asciiTheme="majorBidi" w:eastAsiaTheme="majorEastAsia" w:hAnsiTheme="majorBidi" w:cstheme="majorBidi"/>
          <w:sz w:val="24"/>
          <w:szCs w:val="24"/>
        </w:rPr>
        <w:t xml:space="preserve"> </w:t>
      </w:r>
      <w:r w:rsidRPr="00A01F69">
        <w:rPr>
          <w:rFonts w:asciiTheme="majorBidi" w:hAnsiTheme="majorBidi" w:cstheme="majorBidi"/>
          <w:sz w:val="24"/>
          <w:szCs w:val="24"/>
        </w:rPr>
        <w:t>Differential methylation events identified across the three T1D families.</w:t>
      </w:r>
    </w:p>
    <w:p w14:paraId="1D514B29" w14:textId="77777777" w:rsidR="00A01F69" w:rsidRPr="00A01F69" w:rsidRDefault="00A01F69" w:rsidP="00130CC7">
      <w:pPr>
        <w:spacing w:line="360" w:lineRule="auto"/>
        <w:rPr>
          <w:rFonts w:asciiTheme="majorBidi" w:eastAsiaTheme="majorEastAsia" w:hAnsiTheme="majorBidi" w:cstheme="majorBidi"/>
          <w:sz w:val="24"/>
          <w:szCs w:val="24"/>
        </w:rPr>
      </w:pPr>
      <w:r w:rsidRPr="00A01F69">
        <w:rPr>
          <w:rFonts w:asciiTheme="majorBidi" w:eastAsiaTheme="majorEastAsia" w:hAnsiTheme="majorBidi" w:cstheme="majorBidi"/>
          <w:b/>
          <w:bCs/>
          <w:sz w:val="24"/>
          <w:szCs w:val="24"/>
        </w:rPr>
        <w:t>Supplementary Table S2.</w:t>
      </w:r>
      <w:r w:rsidRPr="00A01F69">
        <w:rPr>
          <w:rFonts w:asciiTheme="majorBidi" w:eastAsiaTheme="majorEastAsia" w:hAnsiTheme="majorBidi" w:cstheme="majorBidi"/>
          <w:sz w:val="24"/>
          <w:szCs w:val="24"/>
        </w:rPr>
        <w:t xml:space="preserve"> The 84 unique differentially methylated genes across the three familial T1D.</w:t>
      </w:r>
    </w:p>
    <w:p w14:paraId="52BD1E90" w14:textId="77777777" w:rsidR="00A01F69" w:rsidRPr="00A01F69" w:rsidRDefault="00A01F69" w:rsidP="00130CC7">
      <w:pPr>
        <w:spacing w:line="360" w:lineRule="auto"/>
        <w:rPr>
          <w:rFonts w:asciiTheme="majorBidi" w:hAnsiTheme="majorBidi" w:cstheme="majorBidi"/>
          <w:sz w:val="24"/>
          <w:szCs w:val="24"/>
        </w:rPr>
      </w:pPr>
      <w:r w:rsidRPr="00A01F69">
        <w:rPr>
          <w:rFonts w:asciiTheme="majorBidi" w:eastAsiaTheme="majorEastAsia" w:hAnsiTheme="majorBidi" w:cstheme="majorBidi"/>
          <w:b/>
          <w:bCs/>
          <w:sz w:val="24"/>
          <w:szCs w:val="24"/>
        </w:rPr>
        <w:t>Supplementary Table S3.</w:t>
      </w:r>
      <w:r w:rsidRPr="00A01F69">
        <w:rPr>
          <w:rFonts w:asciiTheme="majorBidi" w:eastAsiaTheme="majorEastAsia" w:hAnsiTheme="majorBidi" w:cstheme="majorBidi"/>
          <w:sz w:val="24"/>
          <w:szCs w:val="24"/>
        </w:rPr>
        <w:t xml:space="preserve"> Differentially expressed genes of published T1D gene expression data.</w:t>
      </w:r>
      <w:r w:rsidRPr="00A01F69" w:rsidDel="00DE5510">
        <w:rPr>
          <w:rFonts w:asciiTheme="majorBidi" w:hAnsiTheme="majorBidi" w:cstheme="majorBidi"/>
          <w:sz w:val="24"/>
          <w:szCs w:val="24"/>
        </w:rPr>
        <w:t xml:space="preserve"> </w:t>
      </w:r>
    </w:p>
    <w:p w14:paraId="3C4A5CC5" w14:textId="77777777" w:rsidR="00A01F69" w:rsidRPr="00A01F69" w:rsidRDefault="00A01F69" w:rsidP="00130CC7">
      <w:pPr>
        <w:spacing w:line="360" w:lineRule="auto"/>
        <w:rPr>
          <w:rFonts w:asciiTheme="majorBidi" w:hAnsiTheme="majorBidi" w:cstheme="majorBidi"/>
          <w:sz w:val="24"/>
          <w:szCs w:val="24"/>
        </w:rPr>
      </w:pPr>
    </w:p>
    <w:p w14:paraId="0CB39A9E" w14:textId="77777777" w:rsidR="00A01F69" w:rsidRPr="00A01F69" w:rsidRDefault="00A01F69" w:rsidP="00A01F69">
      <w:pPr>
        <w:pStyle w:val="p"/>
        <w:shd w:val="clear" w:color="auto" w:fill="FFFFFF"/>
        <w:spacing w:before="166" w:beforeAutospacing="0" w:after="166" w:afterAutospacing="0"/>
        <w:jc w:val="both"/>
        <w:rPr>
          <w:rFonts w:asciiTheme="majorBidi" w:hAnsiTheme="majorBidi" w:cstheme="majorBidi"/>
        </w:rPr>
      </w:pPr>
    </w:p>
    <w:sectPr w:rsidR="00A01F69" w:rsidRPr="00A01F69" w:rsidSect="00FE3AAF">
      <w:footerReference w:type="even"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0BD774" w14:textId="77777777" w:rsidR="00ED7FFD" w:rsidRDefault="00ED7FFD" w:rsidP="00017198">
      <w:pPr>
        <w:spacing w:after="0" w:line="240" w:lineRule="auto"/>
      </w:pPr>
      <w:r>
        <w:separator/>
      </w:r>
    </w:p>
  </w:endnote>
  <w:endnote w:type="continuationSeparator" w:id="0">
    <w:p w14:paraId="77620D21" w14:textId="77777777" w:rsidR="00ED7FFD" w:rsidRDefault="00ED7FFD" w:rsidP="000171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50669295"/>
      <w:docPartObj>
        <w:docPartGallery w:val="Page Numbers (Bottom of Page)"/>
        <w:docPartUnique/>
      </w:docPartObj>
    </w:sdtPr>
    <w:sdtEndPr>
      <w:rPr>
        <w:rStyle w:val="PageNumber"/>
      </w:rPr>
    </w:sdtEndPr>
    <w:sdtContent>
      <w:p w14:paraId="673E5472" w14:textId="2BDC4E4F" w:rsidR="00017198" w:rsidRDefault="00017198" w:rsidP="00A0410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31211B7" w14:textId="77777777" w:rsidR="00017198" w:rsidRDefault="00017198" w:rsidP="0001719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21491636"/>
      <w:docPartObj>
        <w:docPartGallery w:val="Page Numbers (Bottom of Page)"/>
        <w:docPartUnique/>
      </w:docPartObj>
    </w:sdtPr>
    <w:sdtEndPr>
      <w:rPr>
        <w:rStyle w:val="PageNumber"/>
      </w:rPr>
    </w:sdtEndPr>
    <w:sdtContent>
      <w:p w14:paraId="2091369B" w14:textId="79008655" w:rsidR="00017198" w:rsidRDefault="00017198" w:rsidP="00A0410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6B6741D" w14:textId="77777777" w:rsidR="00017198" w:rsidRDefault="00017198" w:rsidP="0001719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E14787" w14:textId="77777777" w:rsidR="00ED7FFD" w:rsidRDefault="00ED7FFD" w:rsidP="00017198">
      <w:pPr>
        <w:spacing w:after="0" w:line="240" w:lineRule="auto"/>
      </w:pPr>
      <w:r>
        <w:separator/>
      </w:r>
    </w:p>
  </w:footnote>
  <w:footnote w:type="continuationSeparator" w:id="0">
    <w:p w14:paraId="61EBB3FF" w14:textId="77777777" w:rsidR="00ED7FFD" w:rsidRDefault="00ED7FFD" w:rsidP="0001719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A56"/>
    <w:rsid w:val="00017198"/>
    <w:rsid w:val="000971EB"/>
    <w:rsid w:val="000F3BD3"/>
    <w:rsid w:val="00110F33"/>
    <w:rsid w:val="001173CA"/>
    <w:rsid w:val="00130CC7"/>
    <w:rsid w:val="002A5345"/>
    <w:rsid w:val="002D2ADD"/>
    <w:rsid w:val="002E70C6"/>
    <w:rsid w:val="00403034"/>
    <w:rsid w:val="0047322A"/>
    <w:rsid w:val="00487FA9"/>
    <w:rsid w:val="004B0BAC"/>
    <w:rsid w:val="00505CCA"/>
    <w:rsid w:val="00536FDD"/>
    <w:rsid w:val="00614A46"/>
    <w:rsid w:val="006C7A56"/>
    <w:rsid w:val="00755E4C"/>
    <w:rsid w:val="008052F3"/>
    <w:rsid w:val="0084460A"/>
    <w:rsid w:val="0086241D"/>
    <w:rsid w:val="008B5158"/>
    <w:rsid w:val="00901212"/>
    <w:rsid w:val="00964A61"/>
    <w:rsid w:val="0097729D"/>
    <w:rsid w:val="00A01F69"/>
    <w:rsid w:val="00A2432B"/>
    <w:rsid w:val="00A70010"/>
    <w:rsid w:val="00BB40F6"/>
    <w:rsid w:val="00DD6692"/>
    <w:rsid w:val="00E65993"/>
    <w:rsid w:val="00E71B5F"/>
    <w:rsid w:val="00E84726"/>
    <w:rsid w:val="00ED7FFD"/>
    <w:rsid w:val="00EF27D7"/>
    <w:rsid w:val="00F42D4F"/>
    <w:rsid w:val="00FD53E4"/>
    <w:rsid w:val="00FE3AA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839338"/>
  <w15:docId w15:val="{1F3D8705-B101-CC40-9797-2DBFDE69E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5345"/>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6C7A56"/>
    <w:rPr>
      <w:color w:val="0000FF"/>
      <w:u w:val="single"/>
    </w:rPr>
  </w:style>
  <w:style w:type="paragraph" w:styleId="Footer">
    <w:name w:val="footer"/>
    <w:basedOn w:val="Normal"/>
    <w:link w:val="FooterChar"/>
    <w:uiPriority w:val="99"/>
    <w:unhideWhenUsed/>
    <w:rsid w:val="000171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7198"/>
    <w:rPr>
      <w:lang w:val="en-GB"/>
    </w:rPr>
  </w:style>
  <w:style w:type="character" w:styleId="PageNumber">
    <w:name w:val="page number"/>
    <w:basedOn w:val="DefaultParagraphFont"/>
    <w:uiPriority w:val="99"/>
    <w:semiHidden/>
    <w:unhideWhenUsed/>
    <w:rsid w:val="00017198"/>
  </w:style>
  <w:style w:type="paragraph" w:styleId="Revision">
    <w:name w:val="Revision"/>
    <w:hidden/>
    <w:uiPriority w:val="99"/>
    <w:semiHidden/>
    <w:rsid w:val="0084460A"/>
    <w:pPr>
      <w:spacing w:after="0" w:line="240" w:lineRule="auto"/>
    </w:pPr>
    <w:rPr>
      <w:lang w:val="en-GB"/>
    </w:rPr>
  </w:style>
  <w:style w:type="character" w:styleId="CommentReference">
    <w:name w:val="annotation reference"/>
    <w:basedOn w:val="DefaultParagraphFont"/>
    <w:uiPriority w:val="99"/>
    <w:semiHidden/>
    <w:unhideWhenUsed/>
    <w:rsid w:val="00614A46"/>
    <w:rPr>
      <w:sz w:val="16"/>
      <w:szCs w:val="16"/>
    </w:rPr>
  </w:style>
  <w:style w:type="paragraph" w:styleId="CommentText">
    <w:name w:val="annotation text"/>
    <w:basedOn w:val="Normal"/>
    <w:link w:val="CommentTextChar"/>
    <w:uiPriority w:val="99"/>
    <w:semiHidden/>
    <w:unhideWhenUsed/>
    <w:rsid w:val="00614A46"/>
    <w:pPr>
      <w:spacing w:line="240" w:lineRule="auto"/>
    </w:pPr>
    <w:rPr>
      <w:sz w:val="20"/>
      <w:szCs w:val="20"/>
    </w:rPr>
  </w:style>
  <w:style w:type="character" w:customStyle="1" w:styleId="CommentTextChar">
    <w:name w:val="Comment Text Char"/>
    <w:basedOn w:val="DefaultParagraphFont"/>
    <w:link w:val="CommentText"/>
    <w:uiPriority w:val="99"/>
    <w:semiHidden/>
    <w:rsid w:val="00614A46"/>
    <w:rPr>
      <w:sz w:val="20"/>
      <w:szCs w:val="20"/>
      <w:lang w:val="en-GB"/>
    </w:rPr>
  </w:style>
  <w:style w:type="paragraph" w:styleId="CommentSubject">
    <w:name w:val="annotation subject"/>
    <w:basedOn w:val="CommentText"/>
    <w:next w:val="CommentText"/>
    <w:link w:val="CommentSubjectChar"/>
    <w:uiPriority w:val="99"/>
    <w:semiHidden/>
    <w:unhideWhenUsed/>
    <w:rsid w:val="00614A46"/>
    <w:rPr>
      <w:b/>
      <w:bCs/>
    </w:rPr>
  </w:style>
  <w:style w:type="character" w:customStyle="1" w:styleId="CommentSubjectChar">
    <w:name w:val="Comment Subject Char"/>
    <w:basedOn w:val="CommentTextChar"/>
    <w:link w:val="CommentSubject"/>
    <w:uiPriority w:val="99"/>
    <w:semiHidden/>
    <w:rsid w:val="00614A46"/>
    <w:rPr>
      <w:b/>
      <w:bCs/>
      <w:sz w:val="20"/>
      <w:szCs w:val="20"/>
      <w:lang w:val="en-GB"/>
    </w:rPr>
  </w:style>
  <w:style w:type="paragraph" w:customStyle="1" w:styleId="p">
    <w:name w:val="p"/>
    <w:basedOn w:val="Normal"/>
    <w:rsid w:val="00536FDD"/>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broadinstitute.github.io/pica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9D71A9019065E498DE0747110472807" ma:contentTypeVersion="8" ma:contentTypeDescription="Create a new document." ma:contentTypeScope="" ma:versionID="10f01c473c3caca64ecc74fb1a72c1eb">
  <xsd:schema xmlns:xsd="http://www.w3.org/2001/XMLSchema" xmlns:xs="http://www.w3.org/2001/XMLSchema" xmlns:p="http://schemas.microsoft.com/office/2006/metadata/properties" xmlns:ns2="10e5a57e-0355-42ab-91b2-a6160ce64506" targetNamespace="http://schemas.microsoft.com/office/2006/metadata/properties" ma:root="true" ma:fieldsID="844fa24274509b497005f05f91de05d5" ns2:_="">
    <xsd:import namespace="10e5a57e-0355-42ab-91b2-a6160ce6450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e5a57e-0355-42ab-91b2-a6160ce645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7C92EBB-A7E4-4E84-8623-52C2D820D3B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8043CF6-5FA2-407B-954F-F56ACC432C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e5a57e-0355-42ab-91b2-a6160ce645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26D216B-3552-45F3-9CFC-92FCF9B29E6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677</Words>
  <Characters>3864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Mohammad Dashti</dc:creator>
  <cp:lastModifiedBy>Dr. Mohammad Dashti</cp:lastModifiedBy>
  <cp:revision>2</cp:revision>
  <dcterms:created xsi:type="dcterms:W3CDTF">2022-03-16T11:11:00Z</dcterms:created>
  <dcterms:modified xsi:type="dcterms:W3CDTF">2022-03-16T11:11:00Z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0x01010049D71A9019065E498DE0747110472807</vt:lpwstr>
  </property>
</Properties>
</file>