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cs="Times New Roman"/>
          <w:b/>
          <w:bCs/>
          <w:sz w:val="24"/>
          <w:szCs w:val="24"/>
        </w:rPr>
      </w:pPr>
      <w:r>
        <w:rPr>
          <w:rFonts w:hint="default" w:ascii="Times New Roman" w:hAnsi="Times New Roman" w:cs="Times New Roman"/>
          <w:b/>
          <w:bCs/>
          <w:sz w:val="24"/>
          <w:szCs w:val="24"/>
        </w:rPr>
        <w:t>Supplementary Figure and Figure Legend</w:t>
      </w:r>
    </w:p>
    <w:p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271135" cy="2798445"/>
            <wp:effectExtent l="0" t="0" r="5715" b="1905"/>
            <wp:docPr id="3" name="图片 3" descr="附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附图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798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Supplementary Figure 1. (</w:t>
      </w:r>
      <w:r>
        <w:rPr>
          <w:rFonts w:hint="eastAsia" w:ascii="Times New Roman" w:hAnsi="Times New Roman" w:cs="Times New Roman"/>
          <w:sz w:val="24"/>
        </w:rPr>
        <w:t>A-F) The Cancer Genome Atlas (TCGA) database indicated that THAP7-AS1 was expressed more highly in various types of human cancer, such as adrenocortical (A), AML (B), esophageal (C), liver (D), lung (E), and pancreatic cancer (F). Kaplan Meier-plotter assay indicated that THAP7-AS1 overexpression associated with poor prognosis in lung cancer (G) and gastric cancer (H).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266690" cy="2962910"/>
            <wp:effectExtent l="0" t="0" r="635" b="8890"/>
            <wp:docPr id="4" name="图片 4" descr="附图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附图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sz w:val="24"/>
        </w:rPr>
        <w:t>2. (A-B) Heat maps to suggest the most differentially expressed genes in MDA-MB-231 cells (A) and MDA-MB-468 cells (B) with THAP7-AS1 knockdown by RNA-seq assay. Colored bands represented the change of the indicated gene expression: upregulation red and downregulation green. (C-D) KEGG pathway revealed that THAP7-AS1 regulates many genes that associate with important signaling processes including the ERBB (EGFR) signaling pathway in MDA-MB-231 cells (C) and MDA-MB-468 cells (D).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270500" cy="3338830"/>
            <wp:effectExtent l="0" t="0" r="6350" b="4445"/>
            <wp:docPr id="5" name="图片 5" descr="附图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附图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3338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sz w:val="24"/>
        </w:rPr>
        <w:t xml:space="preserve">3. (A-D) Transwell migration and invasion assays were performed to observe cells migration and invasion abilities in SNF2H-, SNF2L- and BAF155- respectively silenced BC cells. (E) Western Blot assay was performed to explore the expression of EGFR and major EGFR targets in SNF2H-, SNF2L- and BAF155- respectively silenced BC cells. 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lang w:eastAsia="zh-CN"/>
        </w:rPr>
      </w:pPr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270500" cy="2148205"/>
            <wp:effectExtent l="0" t="0" r="6350" b="4445"/>
            <wp:docPr id="6" name="图片 6" descr="附图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附图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14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sz w:val="24"/>
        </w:rPr>
        <w:t xml:space="preserve">4. (A) The expression of P300 were detected in BC tumors and non-tumorous breast tissues. (B)  Gene Expression Profiling Interactive Analysis (GEPIA) in BC from TCGA based on RNA-seq data was performed to explore correlation between P300 and THAP7-AS1 </w:t>
      </w:r>
      <w:r>
        <w:rPr>
          <w:rFonts w:ascii="Times New Roman" w:hAnsi="Times New Roman" w:cs="Times New Roman"/>
          <w:sz w:val="24"/>
        </w:rPr>
        <w:t>expression. (</w:t>
      </w:r>
      <w:r>
        <w:rPr>
          <w:rFonts w:hint="eastAsia" w:ascii="Times New Roman" w:hAnsi="Times New Roman" w:cs="Times New Roman"/>
          <w:sz w:val="24"/>
        </w:rPr>
        <w:t xml:space="preserve">C) A significant positive correlation was found between the levels of P300 and THAP7-AS1 in BC tissues.(D-E) ChIP-qPCR analysis indicated higher fold enrichment of promoter regions of c-MYC and c-JUN in anti-c-MYC (D) and anti-c-JUN antibody (E) group than that of IgG group in </w:t>
      </w:r>
      <w:bookmarkStart w:id="0" w:name="OLE_LINK1"/>
      <w:r>
        <w:rPr>
          <w:rFonts w:hint="eastAsia" w:ascii="Times New Roman" w:hAnsi="Times New Roman" w:cs="Times New Roman"/>
          <w:sz w:val="24"/>
        </w:rPr>
        <w:t>MDA-MB-231 cells</w:t>
      </w:r>
      <w:bookmarkEnd w:id="0"/>
      <w:r>
        <w:rPr>
          <w:rFonts w:hint="eastAsia" w:ascii="Times New Roman" w:hAnsi="Times New Roman" w:cs="Times New Roman"/>
          <w:sz w:val="24"/>
        </w:rPr>
        <w:t>. (F) RT-qPCR assay showed that P300 was worked synergistically with c-MYC to increase THAP7-AS1 expression in MDA-MB-231 cells. (G-H) ELISA assay was performed to detect IL-10 levels in THAP7-AS1 over-expressed BC cells. (I-J) ELISA assay was performed to observe IL-4 levels in THAP7-AS1 silenced BC cells. (K) The gene expression of typical M0 marker (CD10B) and M2 markers (CD206, IL-10 and CD163) was investigated in THP-1 (human myeloid leukemia mononuclear cells) co-cultured with THAP7-AS</w:t>
      </w:r>
      <w:r>
        <w:rPr>
          <w:rFonts w:ascii="Times New Roman" w:hAnsi="Times New Roman" w:cs="Times New Roman"/>
          <w:sz w:val="24"/>
        </w:rPr>
        <w:t>1 silenced</w:t>
      </w:r>
      <w:r>
        <w:rPr>
          <w:rFonts w:hint="eastAsia" w:ascii="Times New Roman" w:hAnsi="Times New Roman" w:cs="Times New Roman"/>
          <w:sz w:val="24"/>
        </w:rPr>
        <w:t xml:space="preserve"> BC cells.</w:t>
      </w:r>
    </w:p>
    <w:p>
      <w:pPr>
        <w:spacing w:line="360" w:lineRule="auto"/>
        <w:rPr>
          <w:rFonts w:hint="eastAsia" w:ascii="Times New Roman" w:hAnsi="Times New Roman" w:cs="Times New Roman" w:eastAsiaTheme="minorEastAsia"/>
          <w:sz w:val="24"/>
          <w:lang w:eastAsia="zh-CN"/>
        </w:rPr>
      </w:pPr>
      <w:bookmarkStart w:id="1" w:name="_GoBack"/>
      <w:r>
        <w:rPr>
          <w:rFonts w:hint="eastAsia" w:ascii="Times New Roman" w:hAnsi="Times New Roman" w:cs="Times New Roman" w:eastAsiaTheme="minorEastAsia"/>
          <w:sz w:val="24"/>
          <w:lang w:eastAsia="zh-CN"/>
        </w:rPr>
        <w:drawing>
          <wp:inline distT="0" distB="0" distL="114300" distR="114300">
            <wp:extent cx="5271770" cy="2536825"/>
            <wp:effectExtent l="0" t="0" r="5080" b="6350"/>
            <wp:docPr id="7" name="图片 7" descr="附图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附图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53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1"/>
    </w:p>
    <w:p>
      <w:pPr>
        <w:spacing w:line="360" w:lineRule="auto"/>
        <w:rPr>
          <w:rFonts w:hint="eastAsia" w:ascii="Times New Roman" w:hAnsi="Times New Roman" w:cs="Times New Roman"/>
          <w:bCs/>
          <w:color w:val="000000"/>
          <w:sz w:val="24"/>
        </w:rPr>
      </w:pPr>
      <w:r>
        <w:rPr>
          <w:rFonts w:ascii="Times New Roman" w:hAnsi="Times New Roman" w:cs="Times New Roman"/>
          <w:sz w:val="24"/>
        </w:rPr>
        <w:t xml:space="preserve">Supplementary Figure </w:t>
      </w:r>
      <w:r>
        <w:rPr>
          <w:rFonts w:hint="eastAsia" w:ascii="Times New Roman" w:hAnsi="Times New Roman" w:cs="Times New Roman"/>
          <w:sz w:val="24"/>
        </w:rPr>
        <w:t xml:space="preserve">5. (A-D) </w:t>
      </w:r>
      <w:r>
        <w:rPr>
          <w:rFonts w:ascii="Times New Roman" w:hAnsi="Times New Roman" w:cs="Times New Roman"/>
          <w:sz w:val="24"/>
        </w:rPr>
        <w:t xml:space="preserve">Gene Expression Profiling Interactive Analysis (GEPIA) </w:t>
      </w:r>
      <w:r>
        <w:rPr>
          <w:rFonts w:hint="eastAsia" w:ascii="Times New Roman" w:hAnsi="Times New Roman" w:cs="Times New Roman"/>
          <w:sz w:val="24"/>
        </w:rPr>
        <w:t xml:space="preserve">was performed to explore the correlation between </w:t>
      </w:r>
      <w:r>
        <w:rPr>
          <w:rFonts w:ascii="Times New Roman" w:hAnsi="Times New Roman" w:cs="Times New Roman"/>
          <w:sz w:val="24"/>
        </w:rPr>
        <w:t>EGF, FGF2</w:t>
      </w:r>
      <w:r>
        <w:rPr>
          <w:rFonts w:hint="eastAsia" w:ascii="Times New Roman" w:hAnsi="Times New Roman" w:cs="Times New Roman"/>
          <w:sz w:val="24"/>
        </w:rPr>
        <w:t xml:space="preserve">, IL-6 </w:t>
      </w:r>
      <w:r>
        <w:rPr>
          <w:rFonts w:ascii="Times New Roman" w:hAnsi="Times New Roman" w:cs="Times New Roman"/>
          <w:sz w:val="24"/>
        </w:rPr>
        <w:t>and IL-10</w:t>
      </w:r>
      <w:r>
        <w:rPr>
          <w:rFonts w:hint="eastAsia" w:ascii="Times New Roman" w:hAnsi="Times New Roman" w:cs="Times New Roman"/>
          <w:sz w:val="24"/>
        </w:rPr>
        <w:t xml:space="preserve"> and P300 expression </w:t>
      </w:r>
      <w:r>
        <w:rPr>
          <w:rFonts w:ascii="Times New Roman" w:hAnsi="Times New Roman" w:cs="Times New Roman"/>
          <w:sz w:val="24"/>
        </w:rPr>
        <w:t>in BC from TCGA based on RNA-seq data.</w:t>
      </w:r>
      <w:r>
        <w:rPr>
          <w:rFonts w:hint="eastAsia" w:ascii="Times New Roman" w:hAnsi="Times New Roman" w:cs="Times New Roman"/>
          <w:sz w:val="24"/>
        </w:rPr>
        <w:t xml:space="preserve"> （E）The promoter activities of PGL3-2000/0 led to increase in luciferase activity compared to that of pGL3-basic in 293T cells. </w:t>
      </w:r>
      <w:r>
        <w:rPr>
          <w:rFonts w:hint="eastAsia" w:ascii="Times New Roman" w:hAnsi="Times New Roman" w:cs="Times New Roman"/>
          <w:bCs/>
          <w:color w:val="000000"/>
          <w:sz w:val="24"/>
        </w:rPr>
        <w:t>(F) ChIP-qPCR analysis showed higher fold enrichment of promoter regions of CEBP</w:t>
      </w:r>
      <w:r>
        <w:rPr>
          <w:rFonts w:ascii="Times New Roman" w:hAnsi="Times New Roman" w:cs="Times New Roman"/>
          <w:bCs/>
          <w:color w:val="000000"/>
          <w:sz w:val="24"/>
        </w:rPr>
        <w:t>-β</w:t>
      </w:r>
      <w:r>
        <w:rPr>
          <w:rFonts w:hint="eastAsia" w:ascii="Times New Roman" w:hAnsi="Times New Roman" w:cs="Times New Roman"/>
          <w:bCs/>
          <w:color w:val="000000"/>
          <w:sz w:val="24"/>
        </w:rPr>
        <w:t xml:space="preserve"> in anti-CEBP</w:t>
      </w:r>
      <w:r>
        <w:rPr>
          <w:rFonts w:ascii="Times New Roman" w:hAnsi="Times New Roman" w:eastAsia="宋体" w:cs="Times New Roman"/>
          <w:bCs/>
          <w:color w:val="000000"/>
          <w:sz w:val="24"/>
        </w:rPr>
        <w:t>-β an</w:t>
      </w:r>
      <w:r>
        <w:rPr>
          <w:rFonts w:hint="eastAsia" w:ascii="Times New Roman" w:hAnsi="Times New Roman" w:cs="Times New Roman"/>
          <w:bCs/>
          <w:color w:val="000000"/>
          <w:sz w:val="24"/>
        </w:rPr>
        <w:t xml:space="preserve">tibody group than that of IgG group in MDA-MB-231 </w:t>
      </w:r>
      <w:r>
        <w:rPr>
          <w:rFonts w:ascii="Times New Roman" w:hAnsi="Times New Roman" w:cs="Times New Roman"/>
          <w:bCs/>
          <w:color w:val="000000"/>
          <w:sz w:val="24"/>
        </w:rPr>
        <w:t>cells. (</w:t>
      </w:r>
      <w:r>
        <w:rPr>
          <w:rFonts w:hint="eastAsia" w:ascii="Times New Roman" w:hAnsi="Times New Roman" w:cs="Times New Roman"/>
          <w:bCs/>
          <w:color w:val="000000"/>
          <w:sz w:val="24"/>
        </w:rPr>
        <w:t xml:space="preserve">G)TAM promote the expression of the key molecules in EGFR </w:t>
      </w:r>
      <w:r>
        <w:rPr>
          <w:rFonts w:ascii="Times New Roman" w:hAnsi="Times New Roman" w:cs="Times New Roman"/>
          <w:bCs/>
          <w:color w:val="000000"/>
          <w:sz w:val="24"/>
        </w:rPr>
        <w:t>signaling</w:t>
      </w:r>
      <w:r>
        <w:rPr>
          <w:rFonts w:hint="eastAsia" w:ascii="Times New Roman" w:hAnsi="Times New Roman" w:cs="Times New Roman"/>
          <w:bCs/>
          <w:color w:val="000000"/>
          <w:sz w:val="24"/>
        </w:rPr>
        <w:t xml:space="preserve"> pathway.</w:t>
      </w:r>
    </w:p>
    <w:p>
      <w:pPr>
        <w:spacing w:line="360" w:lineRule="auto"/>
        <w:rPr>
          <w:rFonts w:hint="eastAsia" w:ascii="Times New Roman" w:hAnsi="Times New Roman" w:cs="Times New Roman"/>
          <w:b/>
          <w:bCs w:val="0"/>
          <w:color w:val="000000"/>
          <w:sz w:val="24"/>
        </w:rPr>
      </w:pPr>
      <w:r>
        <w:rPr>
          <w:rFonts w:hint="eastAsia" w:ascii="Times New Roman" w:hAnsi="Times New Roman" w:cs="Times New Roman"/>
          <w:b/>
          <w:bCs w:val="0"/>
          <w:color w:val="000000"/>
          <w:sz w:val="24"/>
        </w:rPr>
        <w:t>Supplementary Table 1-4</w:t>
      </w:r>
    </w:p>
    <w:p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hint="eastAsia"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Supplementary Table 1: The target sequences of THAP7-AS1 Smart Silence</w:t>
      </w:r>
      <w:r>
        <w:rPr>
          <w:rFonts w:hint="eastAsia" w:ascii="Times New Roman" w:hAnsi="Times New Roman" w:cs="Times New Roman"/>
          <w:b/>
          <w:sz w:val="24"/>
          <w:szCs w:val="24"/>
        </w:rPr>
        <w:t>r</w:t>
      </w:r>
    </w:p>
    <w:tbl>
      <w:tblPr>
        <w:tblStyle w:val="4"/>
        <w:tblW w:w="7748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74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7749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The target sequences of THAP7-AS1 Smart Silencer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5’- AGAAATGGGAGCTCATTAA-3’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5’-TGCCCACATCTTCATAATC-3’,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5’- TCAGAGCTGTGGACCAGTT-3’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5’- TAAGGCGCACTTGGCCGAAC-3’,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5’- TAATGCCCACCTGTCAGAGA-3’,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5’- TATATTGGCCTCAGAAATGG-3’</w:t>
            </w:r>
          </w:p>
        </w:tc>
      </w:tr>
    </w:tbl>
    <w:p>
      <w:pPr>
        <w:rPr>
          <w:rFonts w:ascii="Times New Roman" w:hAnsi="Times New Roman" w:cs="Times New Roman"/>
          <w:b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Table </w:t>
      </w:r>
      <w:r>
        <w:rPr>
          <w:rFonts w:hint="eastAsia" w:ascii="Times New Roman" w:hAnsi="Times New Roman" w:cs="Times New Roman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eastAsia="等线" w:cs="Times New Roman"/>
          <w:b/>
          <w:color w:val="000000"/>
          <w:kern w:val="0"/>
          <w:sz w:val="24"/>
          <w:szCs w:val="24"/>
        </w:rPr>
        <w:t xml:space="preserve"> The target sequences of </w:t>
      </w:r>
      <w:r>
        <w:rPr>
          <w:rFonts w:hint="eastAsia" w:ascii="Times New Roman" w:hAnsi="Times New Roman" w:eastAsia="等线" w:cs="Times New Roman"/>
          <w:b/>
          <w:color w:val="000000"/>
          <w:kern w:val="0"/>
          <w:sz w:val="24"/>
          <w:szCs w:val="24"/>
        </w:rPr>
        <w:t>SI-RNA</w:t>
      </w:r>
    </w:p>
    <w:tbl>
      <w:tblPr>
        <w:tblStyle w:val="4"/>
        <w:tblW w:w="831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3656"/>
        <w:gridCol w:w="364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7" w:hRule="atLeast"/>
        </w:trPr>
        <w:tc>
          <w:tcPr>
            <w:tcW w:w="1017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729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The target sequences of SI-RNA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rPr>
                <w:rFonts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sense</w:t>
            </w:r>
            <w:r>
              <w:rPr>
                <w:rStyle w:val="8"/>
                <w:rFonts w:hint="default"/>
                <w:lang w:bidi="ar"/>
              </w:rPr>
              <w:t>（</w:t>
            </w:r>
            <w:r>
              <w:rPr>
                <w:rStyle w:val="9"/>
                <w:rFonts w:eastAsia="宋体"/>
                <w:lang w:bidi="ar"/>
              </w:rPr>
              <w:t>5'-3'</w:t>
            </w:r>
            <w:r>
              <w:rPr>
                <w:rStyle w:val="8"/>
                <w:rFonts w:hint="default"/>
                <w:lang w:bidi="ar"/>
              </w:rPr>
              <w:t>）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color w:val="00000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  <w:lang w:bidi="ar"/>
              </w:rPr>
              <w:t>antisense</w:t>
            </w:r>
            <w:r>
              <w:rPr>
                <w:rStyle w:val="8"/>
                <w:rFonts w:hint="default"/>
                <w:lang w:bidi="ar"/>
              </w:rPr>
              <w:t>（</w:t>
            </w:r>
            <w:r>
              <w:rPr>
                <w:rStyle w:val="9"/>
                <w:rFonts w:eastAsia="宋体"/>
                <w:lang w:bidi="ar"/>
              </w:rPr>
              <w:t>5'-3'</w:t>
            </w:r>
            <w:r>
              <w:rPr>
                <w:rStyle w:val="8"/>
                <w:rFonts w:hint="default"/>
                <w:lang w:bidi="ar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si-SNF2H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GCGACUGCUGAUGUAGUAATT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UUACUACAUCAGCAGUCGCTT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si-SNF2L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GCAUGAACUGUGGGCCUUATT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UAAGGCCCACAGUUCAUGCTT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si-BAF155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GGAUCUAGAUGAGCAGGAUTT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AUCCUGCUCAUCUAGAUCCTT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si-P300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CCGGUGAACUCUCCUAUAATT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UUAUAGGAGAGUUCACCGGTT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Table 3. Sequences of EGFR ChIP primers.</w:t>
      </w:r>
    </w:p>
    <w:tbl>
      <w:tblPr>
        <w:tblStyle w:val="4"/>
        <w:tblW w:w="831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2896"/>
        <w:gridCol w:w="440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 w:hRule="atLeast"/>
        </w:trPr>
        <w:tc>
          <w:tcPr>
            <w:tcW w:w="10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Name</w:t>
            </w:r>
          </w:p>
        </w:tc>
        <w:tc>
          <w:tcPr>
            <w:tcW w:w="289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       Sense primer</w:t>
            </w:r>
          </w:p>
        </w:tc>
        <w:tc>
          <w:tcPr>
            <w:tcW w:w="440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Antisense primer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Primers for ChIP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CCTCCTCCGCCGCCTGGTCC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TCGTCCGGTCTGGGCGGCGG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AGGGGCAGTGCTGGGAACGC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GGGATCGGGAGGAGCAGAGG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GGTGGGGACCCGAATAAAGG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CAGCACTGCCCCTCTGGACC 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GGAGGCCTGTCTCTGCACCC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CCACCTCCCCTGCAGCACTA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AAGCTCAGTTTCTTTTGGCC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GTTTATTGCAACCAGCCATG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TGTGATTTTTGACAGAGCCG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GCCAAAAGAAACTGAGCTTT3'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TCACAGGGAAGTTCCAGGTT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GATCTCTCGGCTCTGTCAAA 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TTGTGCTTCCCATTTGCCTT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CCGCACAACCTGGAACTTCC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TGCTGTCTTTTTGGGCACTC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GCAAATGGGAAGCACAACAG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EGFR-10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CCATTCTTCTCTGTTCCCTG 3'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TTGAGTGCCCAAAAAGACAG 3'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b/>
          <w:bCs/>
          <w:sz w:val="24"/>
          <w:szCs w:val="24"/>
        </w:rPr>
        <w:t>Supplementary Table 4. Sequences of THAP7-AS1 ChIP primers.</w:t>
      </w:r>
    </w:p>
    <w:tbl>
      <w:tblPr>
        <w:tblStyle w:val="4"/>
        <w:tblW w:w="831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7"/>
        <w:gridCol w:w="2896"/>
        <w:gridCol w:w="4403"/>
      </w:tblGrid>
      <w:tr>
        <w:trPr>
          <w:trHeight w:val="322" w:hRule="atLeast"/>
        </w:trPr>
        <w:tc>
          <w:tcPr>
            <w:tcW w:w="1017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Name</w:t>
            </w:r>
          </w:p>
        </w:tc>
        <w:tc>
          <w:tcPr>
            <w:tcW w:w="2896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 xml:space="preserve">           Sense primer</w:t>
            </w:r>
          </w:p>
        </w:tc>
        <w:tc>
          <w:tcPr>
            <w:tcW w:w="4403" w:type="dxa"/>
            <w:tcBorders>
              <w:top w:val="single" w:color="000000" w:sz="8" w:space="0"/>
              <w:left w:val="nil"/>
              <w:bottom w:val="single" w:color="000000" w:sz="8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ind w:firstLine="480" w:firstLineChars="200"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bidi="ar"/>
              </w:rPr>
              <w:t>Antisense primer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1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Primers for ChIP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jc w:val="left"/>
              <w:rPr>
                <w:rFonts w:ascii="Times New Roman" w:hAnsi="Times New Roman" w:eastAsia="宋体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P300-1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TCTTGGGAAGTCTGTGGAGC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GGGTCTGCGTTTCCCCTC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P300-2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GGAAACGCAGACCCAACAC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CGGGCGGTGGTGCTTAC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P300-3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GGGCACAGACGAGGCAA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CGCCCCACTCTGTTACCTG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P300-4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AAGCAGTTTCCTCAGCGTCA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CATGCGCTAGTTGTTGCTCG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P300-5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CCTCGGGTTGTCCTTCTTGG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CTCCGTTGCCTCGTCTGTG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P300-6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GAGACCTCCCTGCGACCC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GCCCCACTCTGTTACCTGC3'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P300-7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ATCTGGCAGGTAACAGAGTGG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TAGTTGTTGCTCGCCTCGG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c-MYC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CTCCCACCCACAGGTTCAAG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 GGCATCTCCTTCCACAGGTC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c-JUN-1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GAAACGCAGACCCAACACG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CTGAATGCAGTCGGGAAGGG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c-JUN-2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CTCCCACCCACAGGTTCAAG 3'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AACCGCGGCATCTCCTTC 3'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c-JUN-3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 xml:space="preserve"> 5'  GAAGGAGATGCCGCGGTT 3'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8" w:type="dxa"/>
              <w:left w:w="8" w:type="dxa"/>
              <w:right w:w="8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color w:val="000000"/>
                <w:sz w:val="16"/>
                <w:szCs w:val="16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16"/>
                <w:szCs w:val="16"/>
                <w:lang w:bidi="ar"/>
              </w:rPr>
              <w:t>5' CTTTCCCAGATGCCGCGT 3'</w:t>
            </w:r>
          </w:p>
        </w:tc>
      </w:tr>
    </w:tbl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</w:t>
      </w:r>
    </w:p>
    <w:p>
      <w:pPr>
        <w:spacing w:line="360" w:lineRule="auto"/>
        <w:rPr>
          <w:rFonts w:ascii="Times New Roman" w:hAnsi="Times New Roman" w:cs="Times New Roman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6A9A"/>
    <w:rsid w:val="00506A9A"/>
    <w:rsid w:val="008735F3"/>
    <w:rsid w:val="00B718E9"/>
    <w:rsid w:val="00BC5198"/>
    <w:rsid w:val="010E7153"/>
    <w:rsid w:val="016D11C7"/>
    <w:rsid w:val="01E6033B"/>
    <w:rsid w:val="06CA695D"/>
    <w:rsid w:val="07D668C1"/>
    <w:rsid w:val="0B1F1DCE"/>
    <w:rsid w:val="0C8F6725"/>
    <w:rsid w:val="0E6F3BD7"/>
    <w:rsid w:val="0F0E5692"/>
    <w:rsid w:val="0F554BA5"/>
    <w:rsid w:val="0F7049A0"/>
    <w:rsid w:val="10765175"/>
    <w:rsid w:val="19325616"/>
    <w:rsid w:val="1D9F4666"/>
    <w:rsid w:val="25512BB2"/>
    <w:rsid w:val="25BD3227"/>
    <w:rsid w:val="25CC53DF"/>
    <w:rsid w:val="28BB2836"/>
    <w:rsid w:val="2A0A245C"/>
    <w:rsid w:val="2A19542F"/>
    <w:rsid w:val="342A6BE1"/>
    <w:rsid w:val="35004FFD"/>
    <w:rsid w:val="35B470E7"/>
    <w:rsid w:val="388E65C7"/>
    <w:rsid w:val="38D851DF"/>
    <w:rsid w:val="39D41117"/>
    <w:rsid w:val="3CAF1772"/>
    <w:rsid w:val="47F3280D"/>
    <w:rsid w:val="49FF1CAB"/>
    <w:rsid w:val="4C4850E8"/>
    <w:rsid w:val="4E0F4CD0"/>
    <w:rsid w:val="4E8A46A4"/>
    <w:rsid w:val="508F4C15"/>
    <w:rsid w:val="50955766"/>
    <w:rsid w:val="5213139E"/>
    <w:rsid w:val="55225260"/>
    <w:rsid w:val="583A70C1"/>
    <w:rsid w:val="586E4131"/>
    <w:rsid w:val="58A27327"/>
    <w:rsid w:val="5A2A43B5"/>
    <w:rsid w:val="5E1672BB"/>
    <w:rsid w:val="5F784F19"/>
    <w:rsid w:val="603C624F"/>
    <w:rsid w:val="61B91947"/>
    <w:rsid w:val="61D75A87"/>
    <w:rsid w:val="61EF4C69"/>
    <w:rsid w:val="62906ED2"/>
    <w:rsid w:val="63AA70AA"/>
    <w:rsid w:val="646A2A6B"/>
    <w:rsid w:val="647C0EF0"/>
    <w:rsid w:val="64BF66E9"/>
    <w:rsid w:val="706547AC"/>
    <w:rsid w:val="7465251B"/>
    <w:rsid w:val="760206C3"/>
    <w:rsid w:val="78D848BF"/>
    <w:rsid w:val="79EA6128"/>
    <w:rsid w:val="7DEF787C"/>
    <w:rsid w:val="7F240A2B"/>
    <w:rsid w:val="7F3B0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font01"/>
    <w:basedOn w:val="5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">
    <w:name w:val="font21"/>
    <w:basedOn w:val="5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5.tiff"/><Relationship Id="rId7" Type="http://schemas.openxmlformats.org/officeDocument/2006/relationships/image" Target="media/image4.tiff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439</Words>
  <Characters>2507</Characters>
  <Lines>20</Lines>
  <Paragraphs>5</Paragraphs>
  <TotalTime>1</TotalTime>
  <ScaleCrop>false</ScaleCrop>
  <LinksUpToDate>false</LinksUpToDate>
  <CharactersWithSpaces>2941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EVA</dc:creator>
  <cp:lastModifiedBy>EVA</cp:lastModifiedBy>
  <dcterms:modified xsi:type="dcterms:W3CDTF">2021-05-15T03:11:00Z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656C12BEBBA34D568A27C66367332EDE</vt:lpwstr>
  </property>
</Properties>
</file>