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160" w:vertAnchor="text" w:horzAnchor="margin" w:tblpXSpec="center" w:tblpY="439"/>
        <w:bidiVisual/>
        <w:tblW w:w="5011" w:type="pct"/>
        <w:tblBorders>
          <w:top w:val="single" w:sz="2" w:space="0" w:color="C9C9C9"/>
          <w:bottom w:val="single" w:sz="2" w:space="0" w:color="C9C9C9"/>
          <w:insideH w:val="single" w:sz="2" w:space="0" w:color="C9C9C9"/>
          <w:insideV w:val="single" w:sz="2" w:space="0" w:color="C9C9C9"/>
        </w:tblBorders>
        <w:tblLook w:val="04A0" w:firstRow="1" w:lastRow="0" w:firstColumn="1" w:lastColumn="0" w:noHBand="0" w:noVBand="1"/>
      </w:tblPr>
      <w:tblGrid>
        <w:gridCol w:w="1291"/>
        <w:gridCol w:w="1616"/>
        <w:gridCol w:w="1762"/>
        <w:gridCol w:w="1467"/>
        <w:gridCol w:w="1910"/>
        <w:gridCol w:w="1325"/>
      </w:tblGrid>
      <w:tr w:rsidR="00C82607" w:rsidTr="00C82607">
        <w:trPr>
          <w:trHeight w:val="1432"/>
        </w:trPr>
        <w:tc>
          <w:tcPr>
            <w:tcW w:w="5000" w:type="pct"/>
            <w:gridSpan w:val="6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82607" w:rsidRDefault="00C8260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Table 1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.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Optimization of conditions in the reaction of ethyl acetoacetate (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), 4-chlorobenzaldehyde (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3a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), urea (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) under different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conditions.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  <w:proofErr w:type="spellEnd"/>
            <w:proofErr w:type="gramEnd"/>
          </w:p>
          <w:p w:rsidR="00C82607" w:rsidRDefault="00C8260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</w:rPr>
              <w:object w:dxaOrig="8325" w:dyaOrig="243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16.1pt;height:121.85pt" o:ole="">
                  <v:imagedata r:id="rId4" o:title=""/>
                </v:shape>
                <o:OLEObject Type="Embed" ProgID="ChemDraw.Document.6.0" ShapeID="_x0000_i1025" DrawAspect="Content" ObjectID="_1672502432" r:id="rId5"/>
              </w:object>
            </w:r>
          </w:p>
        </w:tc>
      </w:tr>
      <w:tr w:rsidR="00C82607" w:rsidTr="00C82607">
        <w:trPr>
          <w:trHeight w:val="683"/>
        </w:trPr>
        <w:tc>
          <w:tcPr>
            <w:tcW w:w="689" w:type="pct"/>
            <w:tcBorders>
              <w:top w:val="single" w:sz="18" w:space="0" w:color="auto"/>
              <w:left w:val="single" w:sz="4" w:space="0" w:color="auto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GB"/>
              </w:rPr>
            </w:pPr>
            <w:bookmarkStart w:id="0" w:name="_Hlk524548902"/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Yield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b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(%)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5a</w:t>
            </w:r>
          </w:p>
        </w:tc>
        <w:tc>
          <w:tcPr>
            <w:tcW w:w="862" w:type="pct"/>
            <w:tcBorders>
              <w:top w:val="single" w:sz="18" w:space="0" w:color="auto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Time (min)</w:t>
            </w:r>
          </w:p>
        </w:tc>
        <w:tc>
          <w:tcPr>
            <w:tcW w:w="940" w:type="pct"/>
            <w:tcBorders>
              <w:top w:val="single" w:sz="18" w:space="0" w:color="auto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Temperature (°C)</w:t>
            </w:r>
          </w:p>
        </w:tc>
        <w:tc>
          <w:tcPr>
            <w:tcW w:w="783" w:type="pct"/>
            <w:tcBorders>
              <w:top w:val="single" w:sz="18" w:space="0" w:color="auto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Solvent</w:t>
            </w:r>
          </w:p>
        </w:tc>
        <w:tc>
          <w:tcPr>
            <w:tcW w:w="1019" w:type="pct"/>
            <w:tcBorders>
              <w:top w:val="single" w:sz="18" w:space="0" w:color="auto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Catalyst loading (mg)</w:t>
            </w:r>
          </w:p>
        </w:tc>
        <w:tc>
          <w:tcPr>
            <w:tcW w:w="707" w:type="pct"/>
            <w:tcBorders>
              <w:top w:val="single" w:sz="18" w:space="0" w:color="auto"/>
              <w:left w:val="single" w:sz="2" w:space="0" w:color="C9C9C9"/>
              <w:bottom w:val="single" w:sz="2" w:space="0" w:color="C9C9C9"/>
              <w:right w:val="single" w:sz="4" w:space="0" w:color="auto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Entry</w:t>
            </w:r>
          </w:p>
        </w:tc>
      </w:tr>
      <w:tr w:rsidR="00C82607" w:rsidTr="00C82607">
        <w:trPr>
          <w:trHeight w:val="576"/>
        </w:trPr>
        <w:tc>
          <w:tcPr>
            <w:tcW w:w="689" w:type="pct"/>
            <w:tcBorders>
              <w:top w:val="single" w:sz="2" w:space="0" w:color="C9C9C9"/>
              <w:left w:val="single" w:sz="4" w:space="0" w:color="auto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862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940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r.t</w:t>
            </w:r>
          </w:p>
        </w:tc>
        <w:tc>
          <w:tcPr>
            <w:tcW w:w="783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MeOH</w:t>
            </w:r>
            <w:proofErr w:type="spellEnd"/>
          </w:p>
        </w:tc>
        <w:tc>
          <w:tcPr>
            <w:tcW w:w="1019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07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4" w:space="0" w:color="auto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C82607" w:rsidTr="00C82607">
        <w:trPr>
          <w:trHeight w:val="576"/>
        </w:trPr>
        <w:tc>
          <w:tcPr>
            <w:tcW w:w="689" w:type="pct"/>
            <w:tcBorders>
              <w:top w:val="single" w:sz="2" w:space="0" w:color="C9C9C9"/>
              <w:left w:val="single" w:sz="4" w:space="0" w:color="auto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862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940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Reflux</w:t>
            </w:r>
          </w:p>
        </w:tc>
        <w:tc>
          <w:tcPr>
            <w:tcW w:w="783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EtOH</w:t>
            </w:r>
            <w:proofErr w:type="spellEnd"/>
          </w:p>
        </w:tc>
        <w:tc>
          <w:tcPr>
            <w:tcW w:w="1019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07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4" w:space="0" w:color="auto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</w:p>
        </w:tc>
      </w:tr>
      <w:tr w:rsidR="00C82607" w:rsidTr="00C82607">
        <w:trPr>
          <w:trHeight w:val="576"/>
        </w:trPr>
        <w:tc>
          <w:tcPr>
            <w:tcW w:w="689" w:type="pct"/>
            <w:tcBorders>
              <w:top w:val="single" w:sz="2" w:space="0" w:color="C9C9C9"/>
              <w:left w:val="single" w:sz="4" w:space="0" w:color="auto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862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940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Reflux</w:t>
            </w:r>
          </w:p>
        </w:tc>
        <w:tc>
          <w:tcPr>
            <w:tcW w:w="783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Cl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019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07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4" w:space="0" w:color="auto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C82607" w:rsidTr="00C82607">
        <w:trPr>
          <w:trHeight w:val="576"/>
        </w:trPr>
        <w:tc>
          <w:tcPr>
            <w:tcW w:w="689" w:type="pct"/>
            <w:tcBorders>
              <w:top w:val="single" w:sz="2" w:space="0" w:color="C9C9C9"/>
              <w:left w:val="single" w:sz="4" w:space="0" w:color="auto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862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40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83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CN</w:t>
            </w:r>
          </w:p>
        </w:tc>
        <w:tc>
          <w:tcPr>
            <w:tcW w:w="1019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07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4" w:space="0" w:color="auto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</w:t>
            </w:r>
          </w:p>
        </w:tc>
      </w:tr>
      <w:tr w:rsidR="00C82607" w:rsidTr="00C82607">
        <w:trPr>
          <w:trHeight w:val="576"/>
        </w:trPr>
        <w:tc>
          <w:tcPr>
            <w:tcW w:w="689" w:type="pct"/>
            <w:tcBorders>
              <w:top w:val="single" w:sz="2" w:space="0" w:color="C9C9C9"/>
              <w:left w:val="single" w:sz="4" w:space="0" w:color="auto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862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40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Reflux</w:t>
            </w:r>
          </w:p>
        </w:tc>
        <w:tc>
          <w:tcPr>
            <w:tcW w:w="783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DMF</w:t>
            </w:r>
          </w:p>
        </w:tc>
        <w:tc>
          <w:tcPr>
            <w:tcW w:w="1019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07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4" w:space="0" w:color="auto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C82607" w:rsidTr="00C82607">
        <w:trPr>
          <w:trHeight w:val="576"/>
        </w:trPr>
        <w:tc>
          <w:tcPr>
            <w:tcW w:w="689" w:type="pct"/>
            <w:tcBorders>
              <w:top w:val="single" w:sz="2" w:space="0" w:color="C9C9C9"/>
              <w:left w:val="single" w:sz="4" w:space="0" w:color="auto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862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940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Reflux</w:t>
            </w:r>
          </w:p>
        </w:tc>
        <w:tc>
          <w:tcPr>
            <w:tcW w:w="783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Toluene</w:t>
            </w:r>
          </w:p>
        </w:tc>
        <w:tc>
          <w:tcPr>
            <w:tcW w:w="1019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</w:t>
            </w:r>
          </w:p>
        </w:tc>
        <w:tc>
          <w:tcPr>
            <w:tcW w:w="707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4" w:space="0" w:color="auto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C82607" w:rsidTr="00C82607">
        <w:trPr>
          <w:trHeight w:val="576"/>
        </w:trPr>
        <w:tc>
          <w:tcPr>
            <w:tcW w:w="689" w:type="pct"/>
            <w:tcBorders>
              <w:top w:val="single" w:sz="2" w:space="0" w:color="C9C9C9"/>
              <w:left w:val="single" w:sz="4" w:space="0" w:color="auto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35</w:t>
            </w:r>
          </w:p>
        </w:tc>
        <w:tc>
          <w:tcPr>
            <w:tcW w:w="862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240</w:t>
            </w:r>
          </w:p>
        </w:tc>
        <w:tc>
          <w:tcPr>
            <w:tcW w:w="940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r.t</w:t>
            </w:r>
          </w:p>
        </w:tc>
        <w:tc>
          <w:tcPr>
            <w:tcW w:w="783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Et2O</w:t>
            </w:r>
          </w:p>
        </w:tc>
        <w:tc>
          <w:tcPr>
            <w:tcW w:w="1019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07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4" w:space="0" w:color="auto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C82607" w:rsidTr="00C82607">
        <w:trPr>
          <w:trHeight w:val="576"/>
        </w:trPr>
        <w:tc>
          <w:tcPr>
            <w:tcW w:w="689" w:type="pct"/>
            <w:tcBorders>
              <w:top w:val="single" w:sz="2" w:space="0" w:color="C9C9C9"/>
              <w:left w:val="single" w:sz="4" w:space="0" w:color="auto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75</w:t>
            </w:r>
          </w:p>
        </w:tc>
        <w:tc>
          <w:tcPr>
            <w:tcW w:w="862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120</w:t>
            </w:r>
          </w:p>
        </w:tc>
        <w:tc>
          <w:tcPr>
            <w:tcW w:w="940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83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CHCl3</w:t>
            </w:r>
          </w:p>
        </w:tc>
        <w:tc>
          <w:tcPr>
            <w:tcW w:w="1019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07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4" w:space="0" w:color="auto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C82607" w:rsidTr="00C82607">
        <w:trPr>
          <w:trHeight w:val="576"/>
        </w:trPr>
        <w:tc>
          <w:tcPr>
            <w:tcW w:w="689" w:type="pct"/>
            <w:tcBorders>
              <w:top w:val="single" w:sz="2" w:space="0" w:color="C9C9C9"/>
              <w:left w:val="single" w:sz="4" w:space="0" w:color="auto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862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940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Reflux</w:t>
            </w:r>
          </w:p>
        </w:tc>
        <w:tc>
          <w:tcPr>
            <w:tcW w:w="783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EtOH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/ 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 (1:2)</w:t>
            </w:r>
          </w:p>
        </w:tc>
        <w:tc>
          <w:tcPr>
            <w:tcW w:w="1019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07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4" w:space="0" w:color="auto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C82607" w:rsidTr="00C82607">
        <w:trPr>
          <w:trHeight w:val="576"/>
        </w:trPr>
        <w:tc>
          <w:tcPr>
            <w:tcW w:w="689" w:type="pct"/>
            <w:tcBorders>
              <w:top w:val="single" w:sz="2" w:space="0" w:color="C9C9C9"/>
              <w:left w:val="single" w:sz="4" w:space="0" w:color="auto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73</w:t>
            </w:r>
          </w:p>
        </w:tc>
        <w:tc>
          <w:tcPr>
            <w:tcW w:w="862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70</w:t>
            </w:r>
          </w:p>
        </w:tc>
        <w:tc>
          <w:tcPr>
            <w:tcW w:w="940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Reflux</w:t>
            </w:r>
          </w:p>
        </w:tc>
        <w:tc>
          <w:tcPr>
            <w:tcW w:w="783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EtOH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/ 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 (1:1)</w:t>
            </w:r>
          </w:p>
        </w:tc>
        <w:tc>
          <w:tcPr>
            <w:tcW w:w="1019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07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4" w:space="0" w:color="auto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C82607" w:rsidTr="00C82607">
        <w:trPr>
          <w:trHeight w:val="576"/>
        </w:trPr>
        <w:tc>
          <w:tcPr>
            <w:tcW w:w="689" w:type="pct"/>
            <w:tcBorders>
              <w:top w:val="single" w:sz="2" w:space="0" w:color="C9C9C9"/>
              <w:left w:val="single" w:sz="4" w:space="0" w:color="auto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862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940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783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Solvent-free</w:t>
            </w:r>
          </w:p>
        </w:tc>
        <w:tc>
          <w:tcPr>
            <w:tcW w:w="1019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707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4" w:space="0" w:color="auto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</w:t>
            </w:r>
          </w:p>
        </w:tc>
      </w:tr>
      <w:tr w:rsidR="00C82607" w:rsidTr="00C82607">
        <w:trPr>
          <w:trHeight w:val="576"/>
        </w:trPr>
        <w:tc>
          <w:tcPr>
            <w:tcW w:w="689" w:type="pct"/>
            <w:tcBorders>
              <w:top w:val="single" w:sz="2" w:space="0" w:color="C9C9C9"/>
              <w:left w:val="single" w:sz="4" w:space="0" w:color="auto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69</w:t>
            </w:r>
          </w:p>
        </w:tc>
        <w:tc>
          <w:tcPr>
            <w:tcW w:w="862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65</w:t>
            </w:r>
          </w:p>
        </w:tc>
        <w:tc>
          <w:tcPr>
            <w:tcW w:w="940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783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Solvent-free</w:t>
            </w:r>
          </w:p>
        </w:tc>
        <w:tc>
          <w:tcPr>
            <w:tcW w:w="1019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</w:t>
            </w:r>
          </w:p>
        </w:tc>
        <w:tc>
          <w:tcPr>
            <w:tcW w:w="707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4" w:space="0" w:color="auto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</w:t>
            </w:r>
          </w:p>
        </w:tc>
      </w:tr>
      <w:tr w:rsidR="00C82607" w:rsidTr="00C82607">
        <w:trPr>
          <w:trHeight w:val="576"/>
        </w:trPr>
        <w:tc>
          <w:tcPr>
            <w:tcW w:w="689" w:type="pct"/>
            <w:tcBorders>
              <w:top w:val="single" w:sz="2" w:space="0" w:color="C9C9C9"/>
              <w:left w:val="single" w:sz="4" w:space="0" w:color="auto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60</w:t>
            </w:r>
          </w:p>
        </w:tc>
        <w:tc>
          <w:tcPr>
            <w:tcW w:w="862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90</w:t>
            </w:r>
          </w:p>
        </w:tc>
        <w:tc>
          <w:tcPr>
            <w:tcW w:w="940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783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Solvent-free</w:t>
            </w:r>
          </w:p>
        </w:tc>
        <w:tc>
          <w:tcPr>
            <w:tcW w:w="1019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</w:t>
            </w:r>
          </w:p>
        </w:tc>
        <w:tc>
          <w:tcPr>
            <w:tcW w:w="707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4" w:space="0" w:color="auto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</w:t>
            </w:r>
          </w:p>
        </w:tc>
      </w:tr>
      <w:tr w:rsidR="00C82607" w:rsidTr="00C82607">
        <w:trPr>
          <w:trHeight w:val="576"/>
        </w:trPr>
        <w:tc>
          <w:tcPr>
            <w:tcW w:w="689" w:type="pct"/>
            <w:tcBorders>
              <w:top w:val="single" w:sz="2" w:space="0" w:color="C9C9C9"/>
              <w:left w:val="single" w:sz="4" w:space="0" w:color="auto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lastRenderedPageBreak/>
              <w:t>57</w:t>
            </w:r>
          </w:p>
        </w:tc>
        <w:tc>
          <w:tcPr>
            <w:tcW w:w="862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120</w:t>
            </w:r>
          </w:p>
        </w:tc>
        <w:tc>
          <w:tcPr>
            <w:tcW w:w="940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783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Solvent-free</w:t>
            </w:r>
          </w:p>
        </w:tc>
        <w:tc>
          <w:tcPr>
            <w:tcW w:w="1019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707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4" w:space="0" w:color="auto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</w:t>
            </w:r>
          </w:p>
        </w:tc>
      </w:tr>
      <w:tr w:rsidR="00C82607" w:rsidTr="00C82607">
        <w:trPr>
          <w:trHeight w:val="576"/>
        </w:trPr>
        <w:tc>
          <w:tcPr>
            <w:tcW w:w="689" w:type="pct"/>
            <w:tcBorders>
              <w:top w:val="single" w:sz="2" w:space="0" w:color="C9C9C9"/>
              <w:left w:val="single" w:sz="4" w:space="0" w:color="auto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</w:t>
            </w:r>
          </w:p>
        </w:tc>
        <w:tc>
          <w:tcPr>
            <w:tcW w:w="862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180</w:t>
            </w:r>
          </w:p>
        </w:tc>
        <w:tc>
          <w:tcPr>
            <w:tcW w:w="940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783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Solvent-free</w:t>
            </w:r>
          </w:p>
        </w:tc>
        <w:tc>
          <w:tcPr>
            <w:tcW w:w="1019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2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707" w:type="pct"/>
            <w:tcBorders>
              <w:top w:val="single" w:sz="2" w:space="0" w:color="C9C9C9"/>
              <w:left w:val="single" w:sz="2" w:space="0" w:color="C9C9C9"/>
              <w:bottom w:val="single" w:sz="2" w:space="0" w:color="C9C9C9"/>
              <w:right w:val="single" w:sz="4" w:space="0" w:color="auto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</w:t>
            </w:r>
          </w:p>
        </w:tc>
      </w:tr>
      <w:tr w:rsidR="00C82607" w:rsidTr="00C82607">
        <w:trPr>
          <w:trHeight w:val="762"/>
        </w:trPr>
        <w:tc>
          <w:tcPr>
            <w:tcW w:w="5000" w:type="pct"/>
            <w:gridSpan w:val="6"/>
            <w:tcBorders>
              <w:top w:val="single" w:sz="2" w:space="0" w:color="C9C9C9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C82607" w:rsidRDefault="00C82607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Reaction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conditions:   ethyl acetoacetate  (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, 2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mmol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), 4-chlorobenzaldehyde (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3a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, 1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mmol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), urea (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, 1.2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mmol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), MCM-41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-APS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-PMDA-SO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 under different conditions.</w:t>
            </w:r>
          </w:p>
        </w:tc>
      </w:tr>
      <w:bookmarkEnd w:id="0"/>
    </w:tbl>
    <w:p w:rsidR="00C82607" w:rsidRDefault="00C82607" w:rsidP="00C82607">
      <w:pPr>
        <w:spacing w:line="480" w:lineRule="auto"/>
        <w:rPr>
          <w:rFonts w:asciiTheme="majorBidi" w:hAnsiTheme="majorBidi" w:cstheme="majorBidi"/>
          <w:sz w:val="20"/>
          <w:szCs w:val="20"/>
          <w:rtl/>
        </w:rPr>
      </w:pPr>
    </w:p>
    <w:tbl>
      <w:tblPr>
        <w:tblW w:w="0" w:type="auto"/>
        <w:jc w:val="center"/>
        <w:tblBorders>
          <w:top w:val="single" w:sz="4" w:space="0" w:color="C9C9C9"/>
          <w:left w:val="single" w:sz="4" w:space="0" w:color="C9C9C9"/>
          <w:bottom w:val="single" w:sz="4" w:space="0" w:color="C9C9C9"/>
          <w:right w:val="single" w:sz="4" w:space="0" w:color="C9C9C9"/>
          <w:insideH w:val="single" w:sz="4" w:space="0" w:color="C9C9C9"/>
          <w:insideV w:val="single" w:sz="4" w:space="0" w:color="C9C9C9"/>
        </w:tblBorders>
        <w:tblLook w:val="04A0" w:firstRow="1" w:lastRow="0" w:firstColumn="1" w:lastColumn="0" w:noHBand="0" w:noVBand="1"/>
      </w:tblPr>
      <w:tblGrid>
        <w:gridCol w:w="752"/>
        <w:gridCol w:w="2336"/>
        <w:gridCol w:w="2241"/>
        <w:gridCol w:w="978"/>
        <w:gridCol w:w="974"/>
        <w:gridCol w:w="1004"/>
        <w:gridCol w:w="1065"/>
      </w:tblGrid>
      <w:tr w:rsidR="00C82607" w:rsidTr="00C82607">
        <w:trPr>
          <w:jc w:val="center"/>
        </w:trPr>
        <w:tc>
          <w:tcPr>
            <w:tcW w:w="9016" w:type="dxa"/>
            <w:gridSpan w:val="7"/>
            <w:tcBorders>
              <w:top w:val="single" w:sz="24" w:space="0" w:color="auto"/>
              <w:left w:val="single" w:sz="4" w:space="0" w:color="auto"/>
              <w:bottom w:val="single" w:sz="4" w:space="0" w:color="A5A5A5"/>
              <w:right w:val="single" w:sz="4" w:space="0" w:color="auto"/>
            </w:tcBorders>
            <w:shd w:val="clear" w:color="auto" w:fill="A5A5A5"/>
            <w:vAlign w:val="center"/>
            <w:hideMark/>
          </w:tcPr>
          <w:p w:rsidR="00C82607" w:rsidRDefault="00C82607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  <w:t xml:space="preserve">Table 2.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Scope of the</w:t>
            </w:r>
            <w:bookmarkStart w:id="1" w:name="_Hlk29803586"/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Biginelli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bookmarkEnd w:id="1"/>
            <w:r>
              <w:rPr>
                <w:rFonts w:ascii="Times New Roman" w:hAnsi="Times New Roman" w:cs="Times New Roman"/>
                <w:sz w:val="18"/>
                <w:szCs w:val="18"/>
              </w:rPr>
              <w:t>3,4-dihydropyrimidin-2-(1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)-ones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catalyzed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), MCM-41-APS-PMDA-SO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GB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GB"/>
              </w:rPr>
              <w:t>a</w:t>
            </w:r>
          </w:p>
        </w:tc>
      </w:tr>
      <w:tr w:rsidR="00C82607" w:rsidTr="00C82607">
        <w:trPr>
          <w:jc w:val="center"/>
        </w:trPr>
        <w:tc>
          <w:tcPr>
            <w:tcW w:w="768" w:type="dxa"/>
            <w:tcBorders>
              <w:top w:val="single" w:sz="4" w:space="0" w:color="C9C9C9"/>
              <w:left w:val="single" w:sz="4" w:space="0" w:color="auto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7B7B7B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7B7B7B"/>
                <w:sz w:val="18"/>
                <w:szCs w:val="18"/>
              </w:rPr>
              <w:t>Entry</w:t>
            </w:r>
          </w:p>
        </w:tc>
        <w:tc>
          <w:tcPr>
            <w:tcW w:w="1674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7B7B7B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7B7B7B"/>
                <w:sz w:val="18"/>
                <w:szCs w:val="18"/>
              </w:rPr>
              <w:t>Aldehyde (3)</w:t>
            </w:r>
          </w:p>
        </w:tc>
        <w:tc>
          <w:tcPr>
            <w:tcW w:w="2285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7B7B7B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7B7B7B"/>
                <w:sz w:val="18"/>
                <w:szCs w:val="18"/>
              </w:rPr>
              <w:t>Product</w:t>
            </w:r>
          </w:p>
        </w:tc>
        <w:tc>
          <w:tcPr>
            <w:tcW w:w="1041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7B7B7B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7B7B7B"/>
                <w:sz w:val="18"/>
                <w:szCs w:val="18"/>
              </w:rPr>
              <w:t>Time (min)</w:t>
            </w:r>
          </w:p>
        </w:tc>
        <w:tc>
          <w:tcPr>
            <w:tcW w:w="1038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7B7B7B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7B7B7B"/>
                <w:sz w:val="18"/>
                <w:szCs w:val="18"/>
              </w:rPr>
              <w:t>Yield (%)</w:t>
            </w:r>
            <w:r>
              <w:rPr>
                <w:rFonts w:ascii="Times New Roman" w:hAnsi="Times New Roman" w:cs="Times New Roman"/>
                <w:b/>
                <w:bCs/>
                <w:color w:val="7B7B7B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061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7B7B7B"/>
                <w:sz w:val="18"/>
                <w:szCs w:val="18"/>
              </w:rPr>
              <w:t>mp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7B7B7B"/>
                <w:sz w:val="18"/>
                <w:szCs w:val="18"/>
              </w:rPr>
              <w:t xml:space="preserve"> °C (Obs.)</w:t>
            </w:r>
          </w:p>
        </w:tc>
        <w:tc>
          <w:tcPr>
            <w:tcW w:w="1149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auto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7B7B7B"/>
                <w:sz w:val="18"/>
                <w:szCs w:val="18"/>
              </w:rPr>
              <w:t>mp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7B7B7B"/>
                <w:sz w:val="18"/>
                <w:szCs w:val="18"/>
              </w:rPr>
              <w:t xml:space="preserve"> °C (Lit.)</w:t>
            </w:r>
          </w:p>
        </w:tc>
      </w:tr>
      <w:tr w:rsidR="00C82607" w:rsidTr="00C82607">
        <w:trPr>
          <w:jc w:val="center"/>
        </w:trPr>
        <w:tc>
          <w:tcPr>
            <w:tcW w:w="768" w:type="dxa"/>
            <w:tcBorders>
              <w:top w:val="single" w:sz="4" w:space="0" w:color="C9C9C9"/>
              <w:left w:val="single" w:sz="4" w:space="0" w:color="auto"/>
              <w:bottom w:val="single" w:sz="4" w:space="0" w:color="C9C9C9"/>
              <w:right w:val="single" w:sz="4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674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4-ClC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285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575" w:dyaOrig="2010">
                <v:shape id="_x0000_i1026" type="#_x0000_t75" style="width:78.9pt;height:100.4pt" o:ole="">
                  <v:imagedata r:id="rId6" o:title=""/>
                </v:shape>
                <o:OLEObject Type="Embed" ProgID="ChemDraw.Document.6.0" ShapeID="_x0000_i1026" DrawAspect="Content" ObjectID="_1672502433" r:id="rId7"/>
              </w:object>
            </w:r>
          </w:p>
        </w:tc>
        <w:tc>
          <w:tcPr>
            <w:tcW w:w="1041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038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1061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210-211</w:t>
            </w:r>
          </w:p>
        </w:tc>
        <w:tc>
          <w:tcPr>
            <w:tcW w:w="1149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auto"/>
            </w:tcBorders>
            <w:vAlign w:val="center"/>
            <w:hideMark/>
          </w:tcPr>
          <w:p w:rsidR="00C82607" w:rsidRDefault="00C82607">
            <w:pPr>
              <w:bidi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210-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211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instrText xml:space="preserve"> ADDIN EN.CITE &lt;EndNote&gt;&lt;Cite&gt;&lt;Author&gt;Romanelli&lt;/Author&gt;&lt;Year&gt;2007&lt;/Year&gt;&lt;RecNum&gt;10&lt;/RecNum&gt;&lt;DisplayText&gt;&lt;style face="superscript"&gt;62&lt;/style&gt;&lt;/DisplayText&gt;&lt;record&gt;&lt;rec-number&gt;10&lt;/rec-number&gt;&lt;foreign-keys&gt;&lt;key app="EN" db-id="d090zt59qe5przedaz9xtp5bsads9zvt99f2" timestamp="1602234694"&gt;10&lt;/key&gt;&lt;/foreign-keys&gt;&lt;ref-type name="Journal Article"&gt;17&lt;/ref-type&gt;&lt;contributors&gt;&lt;authors&gt;&lt;author&gt;Romanelli, Gustavo P&lt;/author&gt;&lt;author&gt;Sathicq, Angel G&lt;/author&gt;&lt;author&gt;Autino, Juan C&lt;/author&gt;&lt;author&gt;Baronetti, Graciela&lt;/author&gt;&lt;author&gt;Thomas, Horacio J&lt;/author&gt;&lt;/authors&gt;&lt;/contributors&gt;&lt;titles&gt;&lt;title&gt;Solvent</w:instrText>
            </w:r>
            <w:r>
              <w:rPr>
                <w:rFonts w:ascii="Cambria Math" w:hAnsi="Cambria Math" w:cs="Cambria Math"/>
                <w:sz w:val="18"/>
                <w:szCs w:val="18"/>
                <w:lang w:val="en-GB"/>
              </w:rPr>
              <w:instrText>‐</w:instrTex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instrText>Free Approach to 3, 4</w:instrText>
            </w:r>
            <w:r>
              <w:rPr>
                <w:rFonts w:ascii="Cambria Math" w:hAnsi="Cambria Math" w:cs="Cambria Math"/>
                <w:sz w:val="18"/>
                <w:szCs w:val="18"/>
                <w:lang w:val="en-GB"/>
              </w:rPr>
              <w:instrText>‐</w:instrTex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instrText>Dihydropyrimidin</w:instrText>
            </w:r>
            <w:r>
              <w:rPr>
                <w:rFonts w:ascii="Cambria Math" w:hAnsi="Cambria Math" w:cs="Cambria Math"/>
                <w:sz w:val="18"/>
                <w:szCs w:val="18"/>
                <w:lang w:val="en-GB"/>
              </w:rPr>
              <w:instrText>‐</w:instrTex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instrText>2 (1 H)</w:instrText>
            </w:r>
            <w:r>
              <w:rPr>
                <w:rFonts w:ascii="Cambria Math" w:hAnsi="Cambria Math" w:cs="Cambria Math"/>
                <w:sz w:val="18"/>
                <w:szCs w:val="18"/>
                <w:lang w:val="en-GB"/>
              </w:rPr>
              <w:instrText>‐</w:instrTex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instrText>(thio) ones: Biginelli Reaction Catalyzed by a Wells–Dawson Reusable Heteropolyacid&lt;/title&gt;&lt;secondary-title&gt;Synthetic Communications&lt;/secondary-title&gt;&lt;/titles&gt;&lt;periodical&gt;&lt;full-title&gt;Synthetic Communications&lt;/full-title&gt;&lt;/periodical&gt;&lt;pages&gt;3907-3916&lt;/pages&gt;&lt;volume&gt;37&lt;/volume&gt;&lt;number&gt;22&lt;/number&gt;&lt;dates&gt;&lt;year&gt;2007&lt;/year&gt;&lt;/dates&gt;&lt;isbn&gt;0039-7911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  <w:lang w:val="en-GB"/>
              </w:rPr>
              <w:t>62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end"/>
            </w:r>
          </w:p>
        </w:tc>
      </w:tr>
      <w:tr w:rsidR="00C82607" w:rsidTr="00C82607">
        <w:trPr>
          <w:jc w:val="center"/>
        </w:trPr>
        <w:tc>
          <w:tcPr>
            <w:tcW w:w="768" w:type="dxa"/>
            <w:tcBorders>
              <w:top w:val="single" w:sz="4" w:space="0" w:color="C9C9C9"/>
              <w:left w:val="single" w:sz="4" w:space="0" w:color="auto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674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2285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635" w:dyaOrig="1755">
                <v:shape id="_x0000_i1027" type="#_x0000_t75" style="width:81.7pt;height:87.9pt" o:ole="">
                  <v:imagedata r:id="rId8" o:title=""/>
                </v:shape>
                <o:OLEObject Type="Embed" ProgID="ChemDraw.Document.6.0" ShapeID="_x0000_i1027" DrawAspect="Content" ObjectID="_1672502434" r:id="rId9"/>
              </w:object>
            </w:r>
          </w:p>
        </w:tc>
        <w:tc>
          <w:tcPr>
            <w:tcW w:w="1041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038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1061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235-236</w:t>
            </w:r>
          </w:p>
        </w:tc>
        <w:tc>
          <w:tcPr>
            <w:tcW w:w="1149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auto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bidi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234-236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&lt;EndNote&gt;&lt;Cite&gt;&lt;Author&gt;Patel&lt;/Author&gt;&lt;Year&gt;2017&lt;/Year&gt;&lt;RecNum&gt;1&lt;/RecNum&gt;&lt;DisplayText&gt;&lt;style face="superscript"&gt;63&lt;/style&gt;&lt;/DisplayText&gt;&lt;record&gt;&lt;rec-number&gt;1&lt;/rec-number&gt;&lt;foreign-keys&gt;&lt;key app="EN" db-id="9zz2zzzd0a5pr2ezz945f99u9e52atadrv9a" timestamp="1602234858"&gt;1&lt;/key&gt;&lt;/foreign-keys&gt;&lt;ref-type name="Journal Article"&gt;17&lt;/ref-type&gt;&lt;contributors&gt;&lt;authors&gt;&lt;author&gt;Patel, Heta A&lt;/author&gt;&lt;author&gt;Sawant, Aishwarya M&lt;/author&gt;&lt;author&gt;Rao, Vandana J&lt;/author&gt;&lt;author&gt;Patel, Arun L&lt;/author&gt;&lt;author&gt;Bedekar, Ashutosh V&lt;/author&gt;&lt;/authors&gt;&lt;/contributors&gt;&lt;titles&gt;&lt;title&gt;Polyaniline supported FeCl 3: an effective heterogeneous catalyst for Biginelli reaction&lt;/title&gt;&lt;secondary-title&gt;Catalysis Letters&lt;/secondary-title&gt;&lt;/titles&gt;&lt;periodical&gt;&lt;full-title&gt;Catalysis Letters&lt;/full-title&gt;&lt;/periodical&gt;&lt;pages&gt;2306-2312&lt;/pages&gt;&lt;volume&gt;147&lt;/volume&gt;&lt;number&gt;9&lt;/number&gt;&lt;dates&gt;&lt;year&gt;2017&lt;/year&gt;&lt;/dates&gt;&lt;isbn&gt;1011-372X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63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C82607" w:rsidTr="00C82607">
        <w:trPr>
          <w:jc w:val="center"/>
        </w:trPr>
        <w:tc>
          <w:tcPr>
            <w:tcW w:w="768" w:type="dxa"/>
            <w:tcBorders>
              <w:top w:val="single" w:sz="4" w:space="0" w:color="C9C9C9"/>
              <w:left w:val="single" w:sz="4" w:space="0" w:color="auto"/>
              <w:bottom w:val="single" w:sz="4" w:space="0" w:color="C9C9C9"/>
              <w:right w:val="single" w:sz="4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674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4-NO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285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515" w:dyaOrig="1920">
                <v:shape id="_x0000_i1028" type="#_x0000_t75" style="width:75.45pt;height:96.25pt" o:ole="">
                  <v:imagedata r:id="rId10" o:title=""/>
                </v:shape>
                <o:OLEObject Type="Embed" ProgID="ChemDraw.Document.6.0" ShapeID="_x0000_i1028" DrawAspect="Content" ObjectID="_1672502435" r:id="rId11"/>
              </w:object>
            </w:r>
          </w:p>
        </w:tc>
        <w:tc>
          <w:tcPr>
            <w:tcW w:w="1041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038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1061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204</w:t>
            </w:r>
          </w:p>
        </w:tc>
        <w:tc>
          <w:tcPr>
            <w:tcW w:w="1149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auto"/>
            </w:tcBorders>
            <w:vAlign w:val="center"/>
            <w:hideMark/>
          </w:tcPr>
          <w:p w:rsidR="00C82607" w:rsidRDefault="00C82607">
            <w:pPr>
              <w:bidi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204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instrText xml:space="preserve"> ADDIN EN.CITE &lt;EndNote&gt;&lt;Cite&gt;&lt;Author&gt;Hosseini&lt;/Author&gt;&lt;Year&gt;2016&lt;/Year&gt;&lt;RecNum&gt;2&lt;/RecNum&gt;&lt;DisplayText&gt;&lt;style face="superscript"&gt;64&lt;/style&gt;&lt;/DisplayText&gt;&lt;record&gt;&lt;rec-number&gt;2&lt;/rec-number&gt;&lt;foreign-keys&gt;&lt;key app="EN" db-id="9zz2zzzd0a5pr2ezz945f99u9e52atadrv9a" timestamp="1602234925"&gt;2&lt;/key&gt;&lt;/foreign-keys&gt;&lt;ref-type name="Journal Article"&gt;17&lt;/ref-type&gt;&lt;contributors&gt;&lt;authors&gt;&lt;author&gt;Hosseini, Maliheh M&lt;/author&gt;&lt;author&gt;Kolvari, Eskandar&lt;/author&gt;&lt;author&gt;Koukabi, Nadiya&lt;/author&gt;&lt;author&gt;Ziyaei, Maryam&lt;/author&gt;&lt;author&gt;Zolfigol, Mohammad Ali&lt;/author&gt;&lt;/authors&gt;&lt;/contributors&gt;&lt;titles&gt;&lt;title&gt;Zirconia sulfuric acid: an efficient heterogeneous catalyst for the one-pot synthesis of 3, 4-dihydropyrimidinones under solvent-free conditions&lt;/title&gt;&lt;secondary-title&gt;Catalysis Letters&lt;/secondary-title&gt;&lt;/titles&gt;&lt;periodical&gt;&lt;full-title&gt;Catalysis Letters&lt;/full-title&gt;&lt;/periodical&gt;&lt;pages&gt;1040-1049&lt;/pages&gt;&lt;volume&gt;146&lt;/volume&gt;&lt;number&gt;6&lt;/number&gt;&lt;dates&gt;&lt;year&gt;2016&lt;/year&gt;&lt;/dates&gt;&lt;isbn&gt;1011-372X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  <w:lang w:val="en-GB"/>
              </w:rPr>
              <w:t>64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end"/>
            </w:r>
          </w:p>
        </w:tc>
      </w:tr>
      <w:tr w:rsidR="00C82607" w:rsidTr="00C82607">
        <w:trPr>
          <w:jc w:val="center"/>
        </w:trPr>
        <w:tc>
          <w:tcPr>
            <w:tcW w:w="768" w:type="dxa"/>
            <w:tcBorders>
              <w:top w:val="single" w:sz="4" w:space="0" w:color="C9C9C9"/>
              <w:left w:val="single" w:sz="4" w:space="0" w:color="auto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674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3-NO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285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785" w:dyaOrig="1770">
                <v:shape id="_x0000_i1029" type="#_x0000_t75" style="width:89.3pt;height:88.6pt" o:ole="">
                  <v:imagedata r:id="rId12" o:title=""/>
                </v:shape>
                <o:OLEObject Type="Embed" ProgID="ChemDraw.Document.6.0" ShapeID="_x0000_i1029" DrawAspect="Content" ObjectID="_1672502436" r:id="rId13"/>
              </w:object>
            </w:r>
          </w:p>
        </w:tc>
        <w:tc>
          <w:tcPr>
            <w:tcW w:w="1041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038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</w:t>
            </w:r>
          </w:p>
        </w:tc>
        <w:tc>
          <w:tcPr>
            <w:tcW w:w="1061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293-295</w:t>
            </w:r>
          </w:p>
        </w:tc>
        <w:tc>
          <w:tcPr>
            <w:tcW w:w="1149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auto"/>
            </w:tcBorders>
            <w:shd w:val="clear" w:color="auto" w:fill="EDEDED"/>
            <w:vAlign w:val="center"/>
            <w:hideMark/>
          </w:tcPr>
          <w:p w:rsidR="00C82607" w:rsidRDefault="00C82607">
            <w:pPr>
              <w:bidi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224-227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instrText xml:space="preserve"> ADDIN EN.CITE &lt;EndNote&gt;&lt;Cite&gt;&lt;Author&gt;Safaei-Ghomi&lt;/Author&gt;&lt;Year&gt;2018&lt;/Year&gt;&lt;RecNum&gt;3&lt;/RecNum&gt;&lt;DisplayText&gt;&lt;style face="superscript"&gt;65&lt;/style&gt;&lt;/DisplayText&gt;&lt;record&gt;&lt;rec-number&gt;3&lt;/rec-number&gt;&lt;foreign-keys&gt;&lt;key app="EN" db-id="9zz2zzzd0a5pr2ezz945f99u9e52atadrv9a" timestamp="1602234991"&gt;3&lt;/key&gt;&lt;/foreign-keys&gt;&lt;ref-type name="Journal Article"&gt;17&lt;/ref-type&gt;&lt;contributors&gt;&lt;authors&gt;&lt;author&gt;Safaei-Ghomi, Javad&lt;/author&gt;&lt;author&gt;Tavazo, Maryam&lt;/author&gt;&lt;author&gt;Mahdavinia, Gholam Hossein&lt;/author&gt;&lt;/authors&gt;&lt;/contributors&gt;&lt;titles&gt;&lt;title&gt;Ultrasound promoted one-pot synthesis of 3, 4-dihydropyrimidin-2 (1H)-ones/thiones using dendrimer-attached phosphotungstic acid nanoparticles immobilized on nanosilica&lt;/title&gt;&lt;secondary-title&gt;Ultrasonics sonochemistry&lt;/secondary-title&gt;&lt;/titles&gt;&lt;periodical&gt;&lt;full-title&gt;Ultrasonics sonochemistry&lt;/full-title&gt;&lt;/periodical&gt;&lt;pages&gt;230-237&lt;/pages&gt;&lt;volume&gt;40&lt;/volume&gt;&lt;dates&gt;&lt;year&gt;2018&lt;/year&gt;&lt;/dates&gt;&lt;isbn&gt;1350-4177&lt;/isbn&gt;&lt;urls&gt;&lt;/urls&gt;&lt;/record&gt;&lt;/Cite&gt;&lt;/EndNote&gt;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  <w:lang w:val="en-GB"/>
              </w:rPr>
              <w:t>65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end"/>
            </w:r>
          </w:p>
        </w:tc>
      </w:tr>
      <w:tr w:rsidR="00C82607" w:rsidTr="00C82607">
        <w:trPr>
          <w:jc w:val="center"/>
        </w:trPr>
        <w:tc>
          <w:tcPr>
            <w:tcW w:w="768" w:type="dxa"/>
            <w:tcBorders>
              <w:top w:val="single" w:sz="4" w:space="0" w:color="C9C9C9"/>
              <w:left w:val="single" w:sz="4" w:space="0" w:color="auto"/>
              <w:bottom w:val="single" w:sz="4" w:space="0" w:color="C9C9C9"/>
              <w:right w:val="single" w:sz="4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>5</w:t>
            </w:r>
          </w:p>
        </w:tc>
        <w:tc>
          <w:tcPr>
            <w:tcW w:w="1674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4-CH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OC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285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695" w:dyaOrig="2160">
                <v:shape id="_x0000_i1030" type="#_x0000_t75" style="width:84.45pt;height:108pt" o:ole="">
                  <v:imagedata r:id="rId14" o:title=""/>
                </v:shape>
                <o:OLEObject Type="Embed" ProgID="ChemDraw.Document.6.0" ShapeID="_x0000_i1030" DrawAspect="Content" ObjectID="_1672502437" r:id="rId15"/>
              </w:object>
            </w:r>
          </w:p>
        </w:tc>
        <w:tc>
          <w:tcPr>
            <w:tcW w:w="1041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038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1061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201-203</w:t>
            </w:r>
          </w:p>
        </w:tc>
        <w:tc>
          <w:tcPr>
            <w:tcW w:w="1149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auto"/>
            </w:tcBorders>
            <w:vAlign w:val="center"/>
            <w:hideMark/>
          </w:tcPr>
          <w:p w:rsidR="00C82607" w:rsidRDefault="00C82607">
            <w:pPr>
              <w:bidi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202-204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&lt;EndNote&gt;&lt;Cite&gt;&lt;Author&gt;Li&lt;/Author&gt;&lt;Year&gt;2011&lt;/Year&gt;&lt;RecNum&gt;4&lt;/RecNum&gt;&lt;DisplayText&gt;&lt;style face="superscript"&gt;66&lt;/style&gt;&lt;/DisplayText&gt;&lt;record&gt;&lt;rec-number&gt;4&lt;/rec-number&gt;&lt;foreign-keys&gt;&lt;key app="EN" db-id="9zz2zzzd0a5pr2ezz945f99u9e52atadrv9a" timestamp="1602235058"&gt;4&lt;/key&gt;&lt;/foreign-keys&gt;&lt;ref-type name="Journal Article"&gt;17&lt;/ref-type&gt;&lt;contributors&gt;&lt;authors&gt;&lt;author&gt;Li, Wanmei&lt;/author&gt;&lt;author&gt;Zhou, Guobin&lt;/author&gt;&lt;author&gt;Zhang, Pengfei&lt;/author&gt;&lt;/authors&gt;&lt;/contributors&gt;&lt;titles&gt;&lt;title&gt;One-pot synthesis of dihydropyrimidiones via environmentally friendly enzyme-catalyzed Biginelli reaction&lt;/title&gt;&lt;secondary-title&gt;Heterocycles&lt;/secondary-title&gt;&lt;/titles&gt;&lt;periodical&gt;&lt;full-title&gt;Heterocycles&lt;/full-title&gt;&lt;/periodical&gt;&lt;pages&gt;2067-2077&lt;/pages&gt;&lt;volume&gt;83&lt;/volume&gt;&lt;number&gt;9&lt;/number&gt;&lt;dates&gt;&lt;year&gt;2011&lt;/year&gt;&lt;/dates&gt;&lt;isbn&gt;0385-5414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66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C82607" w:rsidTr="00C82607">
        <w:trPr>
          <w:jc w:val="center"/>
        </w:trPr>
        <w:tc>
          <w:tcPr>
            <w:tcW w:w="768" w:type="dxa"/>
            <w:tcBorders>
              <w:top w:val="single" w:sz="4" w:space="0" w:color="C9C9C9"/>
              <w:left w:val="single" w:sz="4" w:space="0" w:color="auto"/>
              <w:bottom w:val="single" w:sz="4" w:space="0" w:color="C9C9C9"/>
              <w:right w:val="single" w:sz="4" w:space="0" w:color="C9C9C9"/>
            </w:tcBorders>
            <w:shd w:val="clear" w:color="auto" w:fill="E7E6E6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674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7E6E6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2-ClC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285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7E6E6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710" w:dyaOrig="1755">
                <v:shape id="_x0000_i1031" type="#_x0000_t75" style="width:85.85pt;height:87.9pt" o:ole="">
                  <v:imagedata r:id="rId16" o:title=""/>
                </v:shape>
                <o:OLEObject Type="Embed" ProgID="ChemDraw.Document.6.0" ShapeID="_x0000_i1031" DrawAspect="Content" ObjectID="_1672502438" r:id="rId17"/>
              </w:object>
            </w:r>
          </w:p>
        </w:tc>
        <w:tc>
          <w:tcPr>
            <w:tcW w:w="1041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7E6E6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038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7E6E6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1061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7E6E6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211-213</w:t>
            </w:r>
          </w:p>
        </w:tc>
        <w:tc>
          <w:tcPr>
            <w:tcW w:w="1149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C82607" w:rsidRDefault="00C82607">
            <w:pPr>
              <w:bidi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211-213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&lt;EndNote&gt;&lt;Cite&gt;&lt;Author&gt;Hosseini&lt;/Author&gt;&lt;Year&gt;2016&lt;/Year&gt;&lt;RecNum&gt;2&lt;/RecNum&gt;&lt;DisplayText&gt;&lt;style face="superscript"&gt;64&lt;/style&gt;&lt;/DisplayText&gt;&lt;record&gt;&lt;rec-number&gt;2&lt;/rec-number&gt;&lt;foreign-keys&gt;&lt;key app="EN" db-id="9zz2zzzd0a5pr2ezz945f99u9e52atadrv9a" timestamp="1602234925"&gt;2&lt;/key&gt;&lt;/foreign-keys&gt;&lt;ref-type name="Journal Article"&gt;17&lt;/ref-type&gt;&lt;contributors&gt;&lt;authors&gt;&lt;author&gt;Hosseini, Maliheh M&lt;/author&gt;&lt;author&gt;Kolvari, Eskandar&lt;/author&gt;&lt;author&gt;Koukabi, Nadiya&lt;/author&gt;&lt;author&gt;Ziyaei, Maryam&lt;/author&gt;&lt;author&gt;Zolfigol, Mohammad Ali&lt;/author&gt;&lt;/authors&gt;&lt;/contributors&gt;&lt;titles&gt;&lt;title&gt;Zirconia sulfuric acid: an efficient heterogeneous catalyst for the one-pot synthesis of 3, 4-dihydropyrimidinones under solvent-free conditions&lt;/title&gt;&lt;secondary-title&gt;Catalysis Letters&lt;/secondary-title&gt;&lt;/titles&gt;&lt;periodical&gt;&lt;full-title&gt;Catalysis Letters&lt;/full-title&gt;&lt;/periodical&gt;&lt;pages&gt;1040-1049&lt;/pages&gt;&lt;volume&gt;146&lt;/volume&gt;&lt;number&gt;6&lt;/number&gt;&lt;dates&gt;&lt;year&gt;2016&lt;/year&gt;&lt;/dates&gt;&lt;isbn&gt;1011-372X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64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C82607" w:rsidTr="00C82607">
        <w:trPr>
          <w:jc w:val="center"/>
        </w:trPr>
        <w:tc>
          <w:tcPr>
            <w:tcW w:w="768" w:type="dxa"/>
            <w:tcBorders>
              <w:top w:val="single" w:sz="4" w:space="0" w:color="C9C9C9"/>
              <w:left w:val="single" w:sz="4" w:space="0" w:color="auto"/>
              <w:bottom w:val="single" w:sz="4" w:space="0" w:color="C9C9C9"/>
              <w:right w:val="single" w:sz="4" w:space="0" w:color="C9C9C9"/>
            </w:tcBorders>
            <w:shd w:val="clear" w:color="auto" w:fill="FFFFFF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674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FFFFFF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4-OHC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285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FFFFFF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530" w:dyaOrig="1950">
                <v:shape id="_x0000_i1032" type="#_x0000_t75" style="width:76.85pt;height:97.6pt" o:ole="">
                  <v:imagedata r:id="rId18" o:title=""/>
                </v:shape>
                <o:OLEObject Type="Embed" ProgID="ChemDraw.Document.6.0" ShapeID="_x0000_i1032" DrawAspect="Content" ObjectID="_1672502439" r:id="rId19"/>
              </w:object>
            </w:r>
          </w:p>
        </w:tc>
        <w:tc>
          <w:tcPr>
            <w:tcW w:w="1041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FFFFFF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038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FFFFFF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</w:t>
            </w:r>
          </w:p>
        </w:tc>
        <w:tc>
          <w:tcPr>
            <w:tcW w:w="1061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FFFFFF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AdvOT596495f2" w:hAnsi="AdvOT596495f2"/>
                <w:color w:val="000000"/>
                <w:sz w:val="18"/>
                <w:szCs w:val="18"/>
              </w:rPr>
              <w:t>234</w:t>
            </w:r>
            <w:r>
              <w:rPr>
                <w:rFonts w:ascii="AdvOT596495f2+20" w:hAnsi="AdvOT596495f2+20"/>
                <w:color w:val="000000"/>
                <w:sz w:val="18"/>
                <w:szCs w:val="18"/>
              </w:rPr>
              <w:t>–</w:t>
            </w:r>
            <w:r>
              <w:rPr>
                <w:rFonts w:ascii="AdvOT596495f2" w:hAnsi="AdvOT596495f2"/>
                <w:color w:val="000000"/>
                <w:sz w:val="18"/>
                <w:szCs w:val="18"/>
              </w:rPr>
              <w:t>236</w:t>
            </w:r>
          </w:p>
        </w:tc>
        <w:tc>
          <w:tcPr>
            <w:tcW w:w="1149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GB"/>
              </w:rPr>
            </w:pPr>
            <w:r>
              <w:rPr>
                <w:rFonts w:ascii="AdvOT596495f2" w:hAnsi="AdvOT596495f2"/>
                <w:color w:val="000000"/>
                <w:sz w:val="18"/>
                <w:szCs w:val="18"/>
              </w:rPr>
              <w:t>233-235</w:t>
            </w:r>
            <w:r>
              <w:rPr>
                <w:rFonts w:ascii="AdvOT596495f2" w:hAnsi="AdvOT596495f2"/>
                <w:color w:val="000000"/>
                <w:sz w:val="18"/>
                <w:szCs w:val="18"/>
              </w:rPr>
              <w:fldChar w:fldCharType="begin"/>
            </w:r>
            <w:r>
              <w:rPr>
                <w:rFonts w:ascii="AdvOT596495f2" w:hAnsi="AdvOT596495f2"/>
                <w:color w:val="000000"/>
                <w:sz w:val="18"/>
                <w:szCs w:val="18"/>
              </w:rPr>
              <w:instrText xml:space="preserve"> ADDIN EN.CITE &lt;EndNote&gt;&lt;Cite&gt;&lt;Author&gt;Ghafuri&lt;/Author&gt;&lt;Year&gt;2016&lt;/Year&gt;&lt;RecNum&gt;6&lt;/RecNum&gt;&lt;DisplayText&gt;&lt;style face="superscript"&gt;67&lt;/style&gt;&lt;/DisplayText&gt;&lt;record&gt;&lt;rec-number&gt;6&lt;/rec-number&gt;&lt;foreign-keys&gt;&lt;key app="EN" db-id="9zz2zzzd0a5pr2ezz945f99u9e52atadrv9a" timestamp="1602235266"&gt;6&lt;/key&gt;&lt;/foreign-keys&gt;&lt;ref-type name="Journal Article"&gt;17&lt;/ref-type&gt;&lt;contributors&gt;&lt;authors&gt;&lt;author&gt;Ghafuri, Hossein&lt;/author&gt;&lt;author&gt;Talebi, Majid&lt;/author&gt;&lt;/authors&gt;&lt;/contributors&gt;&lt;titles&gt;&lt;title&gt;Water-soluble phosphated graphene: preparation, characterization, catalytic reactivity, and adsorption property&lt;/title&gt;&lt;secondary-title&gt;Industrial &amp;amp; Engineering Chemistry Research&lt;/secondary-title&gt;&lt;/titles&gt;&lt;periodical&gt;&lt;full-title&gt;Industrial &amp;amp; Engineering Chemistry Research&lt;/full-title&gt;&lt;/periodical&gt;&lt;pages&gt;2970-2982&lt;/pages&gt;&lt;volume&gt;55&lt;/volume&gt;&lt;number&gt;11&lt;/number&gt;&lt;dates&gt;&lt;year&gt;2016&lt;/year&gt;&lt;/dates&gt;&lt;isbn&gt;0888-5885&lt;/isbn&gt;&lt;urls&gt;&lt;/urls&gt;&lt;/record&gt;&lt;/Cite&gt;&lt;/EndNote&gt;</w:instrText>
            </w:r>
            <w:r>
              <w:rPr>
                <w:rFonts w:ascii="AdvOT596495f2" w:hAnsi="AdvOT596495f2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AdvOT596495f2" w:hAnsi="AdvOT596495f2"/>
                <w:noProof/>
                <w:color w:val="000000"/>
                <w:sz w:val="18"/>
                <w:szCs w:val="18"/>
                <w:vertAlign w:val="superscript"/>
              </w:rPr>
              <w:t>67</w:t>
            </w:r>
            <w:r>
              <w:rPr>
                <w:rFonts w:ascii="AdvOT596495f2" w:hAnsi="AdvOT596495f2"/>
                <w:color w:val="000000"/>
                <w:sz w:val="18"/>
                <w:szCs w:val="18"/>
              </w:rPr>
              <w:fldChar w:fldCharType="end"/>
            </w:r>
          </w:p>
        </w:tc>
      </w:tr>
      <w:tr w:rsidR="00C82607" w:rsidTr="00C82607">
        <w:trPr>
          <w:jc w:val="center"/>
        </w:trPr>
        <w:tc>
          <w:tcPr>
            <w:tcW w:w="768" w:type="dxa"/>
            <w:tcBorders>
              <w:top w:val="single" w:sz="4" w:space="0" w:color="C9C9C9"/>
              <w:left w:val="single" w:sz="4" w:space="0" w:color="auto"/>
              <w:bottom w:val="single" w:sz="4" w:space="0" w:color="C9C9C9"/>
              <w:right w:val="single" w:sz="4" w:space="0" w:color="C9C9C9"/>
            </w:tcBorders>
            <w:shd w:val="clear" w:color="auto" w:fill="E7E6E6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674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7E6E6"/>
            <w:vAlign w:val="center"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2-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Thiophenecarboxaldehyde</w:t>
            </w:r>
            <w:proofErr w:type="spellEnd"/>
          </w:p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85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7E6E6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695" w:dyaOrig="1695">
                <v:shape id="_x0000_i1033" type="#_x0000_t75" style="width:84.45pt;height:84.45pt" o:ole="">
                  <v:imagedata r:id="rId20" o:title=""/>
                </v:shape>
                <o:OLEObject Type="Embed" ProgID="ChemDraw.Document.6.0" ShapeID="_x0000_i1033" DrawAspect="Content" ObjectID="_1672502440" r:id="rId21"/>
              </w:object>
            </w:r>
          </w:p>
        </w:tc>
        <w:tc>
          <w:tcPr>
            <w:tcW w:w="1041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7E6E6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1038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7E6E6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1061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7E6E6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212-214</w:t>
            </w:r>
          </w:p>
        </w:tc>
        <w:tc>
          <w:tcPr>
            <w:tcW w:w="1149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C82607" w:rsidRDefault="00C82607">
            <w:pPr>
              <w:bidi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210-212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&lt;EndNote&gt;&lt;Cite&gt;&lt;Author&gt;Wang&lt;/Author&gt;&lt;Year&gt;2010&lt;/Year&gt;&lt;RecNum&gt;7&lt;/RecNum&gt;&lt;DisplayText&gt;&lt;style face="superscript"&gt;68&lt;/style&gt;&lt;/DisplayText&gt;&lt;record&gt;&lt;rec-number&gt;7&lt;/rec-number&gt;&lt;foreign-keys&gt;&lt;key app="EN" db-id="9zz2zzzd0a5pr2ezz945f99u9e52atadrv9a" timestamp="1602235343"&gt;7&lt;/key&gt;&lt;/foreign-keys&gt;&lt;ref-type name="Journal Article"&gt;17&lt;/ref-type&gt;&lt;contributors&gt;&lt;authors&gt;&lt;author&gt;Wang, Dong-Chao&lt;/author&gt;&lt;author&gt;Guo, Hai-Ming&lt;/author&gt;&lt;author&gt;Qu, Gui-Rong&lt;/author&gt;&lt;/authors&gt;&lt;/contributors&gt;&lt;titles&gt;&lt;title&gt;Efficient, green, solvent-free synthesis of 3, 4-dihydropyrimidin-2 (1H)-ones via Biginelli reaction catalyzed by Cu (NO3) 2· 3H2O&lt;/title&gt;&lt;secondary-title&gt;Synthetic Communications®&lt;/secondary-title&gt;&lt;/titles&gt;&lt;periodical&gt;&lt;full-title&gt;Synthetic Communications®&lt;/full-title&gt;&lt;/periodical&gt;&lt;pages&gt;1115-1122&lt;/pages&gt;&lt;volume&gt;40&lt;/volume&gt;&lt;number&gt;8&lt;/number&gt;&lt;dates&gt;&lt;year&gt;2010&lt;/year&gt;&lt;/dates&gt;&lt;isbn&gt;0039-7911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68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C82607" w:rsidTr="00C82607">
        <w:trPr>
          <w:jc w:val="center"/>
        </w:trPr>
        <w:tc>
          <w:tcPr>
            <w:tcW w:w="768" w:type="dxa"/>
            <w:tcBorders>
              <w:top w:val="single" w:sz="4" w:space="0" w:color="C9C9C9"/>
              <w:left w:val="single" w:sz="4" w:space="0" w:color="auto"/>
              <w:bottom w:val="single" w:sz="4" w:space="0" w:color="C9C9C9"/>
              <w:right w:val="single" w:sz="4" w:space="0" w:color="C9C9C9"/>
            </w:tcBorders>
            <w:shd w:val="clear" w:color="auto" w:fill="FFFFFF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1674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FFFFFF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4-Dimethylaminobenzaldehyde</w:t>
            </w:r>
          </w:p>
        </w:tc>
        <w:tc>
          <w:tcPr>
            <w:tcW w:w="2285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FFFFFF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575" w:dyaOrig="2070">
                <v:shape id="_x0000_i1034" type="#_x0000_t75" style="width:78.9pt;height:103.85pt" o:ole="">
                  <v:imagedata r:id="rId22" o:title=""/>
                </v:shape>
                <o:OLEObject Type="Embed" ProgID="ChemDraw.Document.6.0" ShapeID="_x0000_i1034" DrawAspect="Content" ObjectID="_1672502441" r:id="rId23"/>
              </w:object>
            </w:r>
          </w:p>
        </w:tc>
        <w:tc>
          <w:tcPr>
            <w:tcW w:w="1041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FFFFFF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1038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FFFFFF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1061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FFFFFF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213-215</w:t>
            </w:r>
          </w:p>
        </w:tc>
        <w:tc>
          <w:tcPr>
            <w:tcW w:w="1149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82607" w:rsidRDefault="00C82607">
            <w:pPr>
              <w:bidi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213-215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&lt;EndNote&gt;&lt;Cite&gt;&lt;Author&gt;Kolvari&lt;/Author&gt;&lt;Year&gt;2016&lt;/Year&gt;&lt;RecNum&gt;8&lt;/RecNum&gt;&lt;DisplayText&gt;&lt;style face="superscript"&gt;69&lt;/style&gt;&lt;/DisplayText&gt;&lt;record&gt;&lt;rec-number&gt;8&lt;/rec-number&gt;&lt;foreign-keys&gt;&lt;key app="EN" db-id="9zz2zzzd0a5pr2ezz945f99u9e52atadrv9a" timestamp="1602236020"&gt;8&lt;/key&gt;&lt;/foreign-keys&gt;&lt;ref-type name="Journal Article"&gt;17&lt;/ref-type&gt;&lt;contributors&gt;&lt;authors&gt;&lt;author&gt;Kolvari, Eskandar&lt;/author&gt;&lt;author&gt;Koukabi, Nadiya&lt;/author&gt;&lt;author&gt;Hosseini, Maliheh M&lt;/author&gt;&lt;author&gt;Vahidian, Mitra&lt;/author&gt;&lt;author&gt;Ghobadi, Elham&lt;/author&gt;&lt;/authors&gt;&lt;/contributors&gt;&lt;titles&gt;&lt;title&gt;Nano-ZrO 2 sulfuric acid: a heterogeneous solid acid nano catalyst for Biginelli reaction under solvent free conditions&lt;/title&gt;&lt;secondary-title&gt;RSC advances&lt;/secondary-title&gt;&lt;/titles&gt;&lt;periodical&gt;&lt;full-title&gt;RSC advances&lt;/full-title&gt;&lt;/periodical&gt;&lt;pages&gt;7419-7425&lt;/pages&gt;&lt;volume&gt;6&lt;/volume&gt;&lt;number&gt;9&lt;/number&gt;&lt;dates&gt;&lt;year&gt;2016&lt;/year&gt;&lt;/dates&gt;&lt;urls&gt;&lt;/urls&gt;&lt;/record&gt;&lt;/Cite&gt;&lt;/EndNote&gt;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69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C82607" w:rsidTr="00C82607">
        <w:trPr>
          <w:jc w:val="center"/>
        </w:trPr>
        <w:tc>
          <w:tcPr>
            <w:tcW w:w="768" w:type="dxa"/>
            <w:tcBorders>
              <w:top w:val="single" w:sz="4" w:space="0" w:color="C9C9C9"/>
              <w:left w:val="single" w:sz="4" w:space="0" w:color="auto"/>
              <w:bottom w:val="single" w:sz="4" w:space="0" w:color="C9C9C9"/>
              <w:right w:val="single" w:sz="4" w:space="0" w:color="C9C9C9"/>
            </w:tcBorders>
            <w:shd w:val="clear" w:color="auto" w:fill="E7E6E6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674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7E6E6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4-FC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285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7E6E6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605" w:dyaOrig="1980">
                <v:shape id="_x0000_i1035" type="#_x0000_t75" style="width:80.3pt;height:99pt" o:ole="">
                  <v:imagedata r:id="rId24" o:title=""/>
                </v:shape>
                <o:OLEObject Type="Embed" ProgID="ChemDraw.Document.6.0" ShapeID="_x0000_i1035" DrawAspect="Content" ObjectID="_1672502442" r:id="rId25"/>
              </w:object>
            </w:r>
          </w:p>
        </w:tc>
        <w:tc>
          <w:tcPr>
            <w:tcW w:w="1041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7E6E6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038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7E6E6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1061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C9C9C9"/>
            </w:tcBorders>
            <w:shd w:val="clear" w:color="auto" w:fill="E7E6E6"/>
            <w:vAlign w:val="center"/>
            <w:hideMark/>
          </w:tcPr>
          <w:p w:rsidR="00C82607" w:rsidRDefault="00C8260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180</w:t>
            </w:r>
          </w:p>
        </w:tc>
        <w:tc>
          <w:tcPr>
            <w:tcW w:w="1149" w:type="dxa"/>
            <w:tcBorders>
              <w:top w:val="single" w:sz="4" w:space="0" w:color="C9C9C9"/>
              <w:left w:val="single" w:sz="4" w:space="0" w:color="C9C9C9"/>
              <w:bottom w:val="single" w:sz="4" w:space="0" w:color="C9C9C9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C82607" w:rsidRDefault="00C82607">
            <w:pPr>
              <w:bidi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&lt;EndNote&gt;&lt;Cite&gt;&lt;Author&gt;Khiratkar&lt;/Author&gt;&lt;Year&gt;2016&lt;/Year&gt;&lt;RecNum&gt;9&lt;/RecNum&gt;&lt;DisplayText&gt;&lt;style face="superscript"&gt;70&lt;/style&gt;&lt;/DisplayText&gt;&lt;record&gt;&lt;rec-number&gt;9&lt;/rec-number&gt;&lt;foreign-keys&gt;&lt;key app="EN" db-id="9zz2zzzd0a5pr2ezz945f99u9e52atadrv9a" timestamp="1602236104"&gt;9&lt;/key&gt;&lt;/foreign-keys&gt;&lt;ref-type name="Journal Article"&gt;17&lt;/ref-type&gt;&lt;contributors&gt;&lt;authors&gt;&lt;author&gt;Khiratkar, Avinash Ganesh&lt;/author&gt;&lt;author&gt;Muskawar, Prashant Narayan&lt;/author&gt;&lt;author&gt;Bhagat, Pundlik Rambhau&lt;/author&gt;&lt;/authors&gt;&lt;/contributors&gt;&lt;titles&gt;&lt;title&gt;Polymer-supported benzimidazolium based ionic liquid: an efficient and reusable Brønsted acid catalyst for Biginelli reaction&lt;/title&gt;&lt;secondary-title&gt;RSC advances&lt;/secondary-title&gt;&lt;/titles&gt;&lt;periodical&gt;&lt;full-title&gt;RSC advances&lt;/full-title&gt;&lt;/periodical&gt;&lt;pages&gt;105087-105093&lt;/pages&gt;&lt;volume&gt;6&lt;/volume&gt;&lt;number&gt;107&lt;/number&gt;&lt;dates&gt;&lt;year&gt;2016&lt;/year&gt;&lt;/dates&gt;&lt;urls&gt;&lt;/urls&gt;&lt;/record&gt;&lt;/Cite&gt;&lt;/EndNote&gt;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70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C82607" w:rsidTr="00C82607">
        <w:trPr>
          <w:jc w:val="center"/>
        </w:trPr>
        <w:tc>
          <w:tcPr>
            <w:tcW w:w="9016" w:type="dxa"/>
            <w:gridSpan w:val="7"/>
            <w:tcBorders>
              <w:top w:val="single" w:sz="4" w:space="0" w:color="C9C9C9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:rsidR="00C82607" w:rsidRDefault="00C82607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lastRenderedPageBreak/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Reaction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conditions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: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  ethyl acetoacetate  (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, 2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mmol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), aldehydes (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, 1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mmol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), urea (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, 1.2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mmol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), MCM-41-APS-PMDA-SO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) under solvent-free conditions was heated to 80 ᵒC. 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b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Isolated yields were reported.</w:t>
            </w:r>
          </w:p>
        </w:tc>
      </w:tr>
    </w:tbl>
    <w:p w:rsidR="00AD1398" w:rsidRDefault="00AD1398"/>
    <w:p w:rsidR="00470BAE" w:rsidRDefault="00470BAE"/>
    <w:p w:rsidR="00470BAE" w:rsidRDefault="00470BAE" w:rsidP="00470BAE">
      <w:pPr>
        <w:rPr>
          <w:rFonts w:asciiTheme="majorBidi" w:hAnsiTheme="majorBidi" w:cstheme="majorBidi"/>
          <w:sz w:val="18"/>
          <w:szCs w:val="18"/>
        </w:rPr>
      </w:pPr>
      <w:r>
        <w:rPr>
          <w:rFonts w:asciiTheme="majorBidi" w:hAnsiTheme="majorBidi" w:cstheme="majorBidi"/>
          <w:b/>
          <w:bCs/>
          <w:sz w:val="18"/>
          <w:szCs w:val="18"/>
        </w:rPr>
        <w:t>Table 3.</w:t>
      </w:r>
      <w:r>
        <w:rPr>
          <w:rFonts w:asciiTheme="majorBidi" w:hAnsiTheme="majorBidi" w:cstheme="majorBidi"/>
          <w:sz w:val="18"/>
          <w:szCs w:val="18"/>
        </w:rPr>
        <w:t xml:space="preserve"> Comparison of the catalytic activity of the </w:t>
      </w:r>
      <w:r>
        <w:rPr>
          <w:rFonts w:asciiTheme="majorBidi" w:hAnsiTheme="majorBidi" w:cstheme="majorBidi"/>
          <w:sz w:val="18"/>
          <w:szCs w:val="18"/>
          <w:lang w:val="en-GB"/>
        </w:rPr>
        <w:t>MCM-41-APS-PMDA-SO</w:t>
      </w:r>
      <w:r>
        <w:rPr>
          <w:rFonts w:asciiTheme="majorBidi" w:hAnsiTheme="majorBidi" w:cstheme="majorBidi"/>
          <w:sz w:val="18"/>
          <w:szCs w:val="18"/>
          <w:vertAlign w:val="subscript"/>
          <w:lang w:val="en-GB"/>
        </w:rPr>
        <w:t>3</w:t>
      </w:r>
      <w:r>
        <w:rPr>
          <w:rFonts w:asciiTheme="majorBidi" w:hAnsiTheme="majorBidi" w:cstheme="majorBidi"/>
          <w:sz w:val="18"/>
          <w:szCs w:val="18"/>
          <w:lang w:val="en-GB"/>
        </w:rPr>
        <w:t>H (</w:t>
      </w:r>
      <w:r>
        <w:rPr>
          <w:rFonts w:asciiTheme="majorBidi" w:hAnsiTheme="majorBidi" w:cstheme="majorBidi"/>
          <w:b/>
          <w:bCs/>
          <w:sz w:val="18"/>
          <w:szCs w:val="18"/>
          <w:lang w:val="en-GB"/>
        </w:rPr>
        <w:t>1</w:t>
      </w:r>
      <w:r>
        <w:rPr>
          <w:rFonts w:asciiTheme="majorBidi" w:hAnsiTheme="majorBidi" w:cstheme="majorBidi"/>
          <w:sz w:val="18"/>
          <w:szCs w:val="18"/>
          <w:lang w:val="en-GB"/>
        </w:rPr>
        <w:t>)</w:t>
      </w:r>
      <w:r>
        <w:rPr>
          <w:rFonts w:asciiTheme="majorBidi" w:hAnsiTheme="majorBidi" w:cstheme="majorBidi"/>
          <w:sz w:val="18"/>
          <w:szCs w:val="18"/>
        </w:rPr>
        <w:t xml:space="preserve"> with other catalysts </w:t>
      </w:r>
    </w:p>
    <w:tbl>
      <w:tblPr>
        <w:tblpPr w:leftFromText="180" w:rightFromText="180" w:bottomFromText="160" w:vertAnchor="text" w:horzAnchor="margin" w:tblpXSpec="center" w:tblpY="271"/>
        <w:tblW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1000"/>
        <w:gridCol w:w="1824"/>
        <w:gridCol w:w="1078"/>
        <w:gridCol w:w="1372"/>
        <w:gridCol w:w="980"/>
        <w:gridCol w:w="882"/>
        <w:gridCol w:w="882"/>
        <w:gridCol w:w="1274"/>
      </w:tblGrid>
      <w:tr w:rsidR="00470BAE" w:rsidTr="00470BAE">
        <w:trPr>
          <w:trHeight w:val="699"/>
        </w:trPr>
        <w:tc>
          <w:tcPr>
            <w:tcW w:w="10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Entry</w:t>
            </w:r>
          </w:p>
        </w:tc>
        <w:tc>
          <w:tcPr>
            <w:tcW w:w="182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Catalyst</w:t>
            </w:r>
          </w:p>
        </w:tc>
        <w:tc>
          <w:tcPr>
            <w:tcW w:w="107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Amount of catalyst</w:t>
            </w:r>
          </w:p>
        </w:tc>
        <w:tc>
          <w:tcPr>
            <w:tcW w:w="137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Solvent</w:t>
            </w:r>
          </w:p>
        </w:tc>
        <w:tc>
          <w:tcPr>
            <w:tcW w:w="98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Temp. (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o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88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:rsidR="00470BAE" w:rsidRDefault="00470BAE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Time (min)</w:t>
            </w:r>
          </w:p>
        </w:tc>
        <w:tc>
          <w:tcPr>
            <w:tcW w:w="88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Yield (%)</w:t>
            </w:r>
          </w:p>
        </w:tc>
        <w:tc>
          <w:tcPr>
            <w:tcW w:w="127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References</w:t>
            </w:r>
          </w:p>
        </w:tc>
      </w:tr>
      <w:tr w:rsidR="00470BAE" w:rsidTr="00470BAE">
        <w:trPr>
          <w:trHeight w:val="567"/>
        </w:trPr>
        <w:tc>
          <w:tcPr>
            <w:tcW w:w="10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82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PPF-SO</w:t>
            </w:r>
            <w:r>
              <w:rPr>
                <w:rFonts w:asciiTheme="majorBidi" w:hAnsiTheme="majorBidi" w:cstheme="majorBidi"/>
                <w:sz w:val="18"/>
                <w:szCs w:val="18"/>
                <w:vertAlign w:val="subscript"/>
                <w:lang w:val="en-GB"/>
              </w:rPr>
              <w:t>3</w:t>
            </w: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H</w:t>
            </w:r>
          </w:p>
        </w:tc>
        <w:tc>
          <w:tcPr>
            <w:tcW w:w="107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250 mg</w:t>
            </w:r>
          </w:p>
        </w:tc>
        <w:tc>
          <w:tcPr>
            <w:tcW w:w="137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</w:rPr>
              <w:t>EtOH</w:t>
            </w:r>
            <w:proofErr w:type="spellEnd"/>
          </w:p>
        </w:tc>
        <w:tc>
          <w:tcPr>
            <w:tcW w:w="98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Reflux</w:t>
            </w:r>
          </w:p>
        </w:tc>
        <w:tc>
          <w:tcPr>
            <w:tcW w:w="88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 w:hint="cs"/>
                <w:sz w:val="18"/>
                <w:szCs w:val="18"/>
                <w:rtl/>
                <w:lang w:val="en-GB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480</w:t>
            </w:r>
          </w:p>
        </w:tc>
        <w:tc>
          <w:tcPr>
            <w:tcW w:w="88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81</w:t>
            </w:r>
          </w:p>
        </w:tc>
        <w:tc>
          <w:tcPr>
            <w:tcW w:w="127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instrText xml:space="preserve"> ADDIN EN.CITE &lt;EndNote&gt;&lt;Cite&gt;&lt;Author&gt;Patel&lt;/Author&gt;&lt;Year&gt;2017&lt;/Year&gt;&lt;RecNum&gt;1&lt;/RecNum&gt;&lt;DisplayText&gt;&lt;style face="superscript"&gt;63&lt;/style&gt;&lt;/DisplayText&gt;&lt;record&gt;&lt;rec-number&gt;1&lt;/rec-number&gt;&lt;foreign-keys&gt;&lt;key app="EN" db-id="9zz2zzzd0a5pr2ezz945f99u9e52atadrv9a" timestamp="1602234858"&gt;1&lt;/key&gt;&lt;/foreign-keys&gt;&lt;ref-type name="Journal Article"&gt;17&lt;/ref-type&gt;&lt;contributors&gt;&lt;authors&gt;&lt;author&gt;Patel, Heta A&lt;/author&gt;&lt;author&gt;Sawant, Aishwarya M&lt;/author&gt;&lt;author&gt;Rao, Vandana J&lt;/author&gt;&lt;author&gt;Patel, Arun L&lt;/author&gt;&lt;author&gt;Bedekar, Ashutosh V&lt;/author&gt;&lt;/authors&gt;&lt;/contributors&gt;&lt;titles&gt;&lt;title&gt;Polyaniline supported FeCl 3: an effective heterogeneous catalyst for Biginelli reaction&lt;/title&gt;&lt;secondary-title&gt;Catalysis Letters&lt;/secondary-title&gt;&lt;/titles&gt;&lt;periodical&gt;&lt;full-title&gt;Catalysis Letters&lt;/full-title&gt;&lt;/periodical&gt;&lt;pages&gt;2306-2312&lt;/pages&gt;&lt;volume&gt;147&lt;/volume&gt;&lt;number&gt;9&lt;/number&gt;&lt;dates&gt;&lt;year&gt;2017&lt;/year&gt;&lt;/dates&gt;&lt;isbn&gt;1011-372X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18"/>
                <w:szCs w:val="18"/>
                <w:vertAlign w:val="superscript"/>
                <w:lang w:val="en-GB"/>
              </w:rPr>
              <w:t>63</w:t>
            </w:r>
            <w:r>
              <w:rPr>
                <w:rFonts w:asciiTheme="majorBidi" w:hAnsiTheme="majorBidi" w:cstheme="majorBidi"/>
                <w:sz w:val="18"/>
                <w:szCs w:val="18"/>
              </w:rPr>
              <w:fldChar w:fldCharType="end"/>
            </w:r>
          </w:p>
        </w:tc>
      </w:tr>
      <w:tr w:rsidR="00470BAE" w:rsidTr="00470BAE">
        <w:trPr>
          <w:trHeight w:val="503"/>
        </w:trPr>
        <w:tc>
          <w:tcPr>
            <w:tcW w:w="10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82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PANI-FeCl</w:t>
            </w:r>
            <w:r>
              <w:rPr>
                <w:rFonts w:asciiTheme="majorBidi" w:hAnsiTheme="majorBidi" w:cstheme="majorBidi"/>
                <w:sz w:val="18"/>
                <w:szCs w:val="18"/>
                <w:vertAlign w:val="subscript"/>
                <w:lang w:val="en-GB"/>
              </w:rPr>
              <w:t>3</w:t>
            </w:r>
          </w:p>
        </w:tc>
        <w:tc>
          <w:tcPr>
            <w:tcW w:w="107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200 mg</w:t>
            </w:r>
          </w:p>
        </w:tc>
        <w:tc>
          <w:tcPr>
            <w:tcW w:w="137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CH</w:t>
            </w:r>
            <w:r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3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CN</w:t>
            </w:r>
          </w:p>
        </w:tc>
        <w:tc>
          <w:tcPr>
            <w:tcW w:w="98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Reflux</w:t>
            </w:r>
          </w:p>
        </w:tc>
        <w:tc>
          <w:tcPr>
            <w:tcW w:w="88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1440</w:t>
            </w:r>
          </w:p>
        </w:tc>
        <w:tc>
          <w:tcPr>
            <w:tcW w:w="88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83</w:t>
            </w:r>
          </w:p>
        </w:tc>
        <w:tc>
          <w:tcPr>
            <w:tcW w:w="127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instrText xml:space="preserve"> ADDIN EN.CITE &lt;EndNote&gt;&lt;Cite&gt;&lt;Author&gt;Zamani&lt;/Author&gt;&lt;Year&gt;2013&lt;/Year&gt;&lt;RecNum&gt;1&lt;/RecNum&gt;&lt;DisplayText&gt;&lt;style face="superscript"&gt;71&lt;/style&gt;&lt;/DisplayText&gt;&lt;record&gt;&lt;rec-number&gt;1&lt;/rec-number&gt;&lt;foreign-keys&gt;&lt;key app="EN" db-id="t0t9srsav0ea5hetr22xz5z5e0zdfwe252td" timestamp="1602236812"&gt;1&lt;/key&gt;&lt;/foreign-keys&gt;&lt;ref-type name="Journal Article"&gt;17&lt;/ref-type&gt;&lt;contributors&gt;&lt;authors&gt;&lt;author&gt;Zamani, Farzad&lt;/author&gt;&lt;author&gt;Izadi, Elham&lt;/author&gt;&lt;/authors&gt;&lt;/contributors&gt;&lt;titles&gt;&lt;title&gt;Synthesis and characterization of sulfonated-phenylacetic acid coated Fe3O4 nanoparticles as a novel acid magnetic catalyst for Biginelli reaction&lt;/title&gt;&lt;secondary-title&gt;Catalysis Communications&lt;/secondary-title&gt;&lt;/titles&gt;&lt;periodical&gt;&lt;full-title&gt;Catalysis Communications&lt;/full-title&gt;&lt;/periodical&gt;&lt;pages&gt;104-108&lt;/pages&gt;&lt;volume&gt;42&lt;/volume&gt;&lt;dates&gt;&lt;year&gt;2013&lt;/year&gt;&lt;/dates&gt;&lt;isbn&gt;1566-7367&lt;/isbn&gt;&lt;urls&gt;&lt;/urls&gt;&lt;/record&gt;&lt;/Cite&gt;&lt;/EndNote&gt;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18"/>
                <w:szCs w:val="18"/>
                <w:vertAlign w:val="superscript"/>
                <w:lang w:val="en-GB"/>
              </w:rPr>
              <w:t>71</w:t>
            </w:r>
            <w:r>
              <w:rPr>
                <w:rFonts w:asciiTheme="majorBidi" w:hAnsiTheme="majorBidi" w:cstheme="majorBidi"/>
                <w:sz w:val="18"/>
                <w:szCs w:val="18"/>
              </w:rPr>
              <w:fldChar w:fldCharType="end"/>
            </w:r>
          </w:p>
        </w:tc>
      </w:tr>
      <w:tr w:rsidR="00470BAE" w:rsidTr="00470BAE">
        <w:trPr>
          <w:trHeight w:val="549"/>
        </w:trPr>
        <w:tc>
          <w:tcPr>
            <w:tcW w:w="10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82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Fe</w:t>
            </w:r>
            <w:r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3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O</w:t>
            </w:r>
            <w:r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4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/PAA-SO</w:t>
            </w:r>
            <w:r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3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H</w:t>
            </w:r>
          </w:p>
        </w:tc>
        <w:tc>
          <w:tcPr>
            <w:tcW w:w="107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60 mg</w:t>
            </w:r>
          </w:p>
        </w:tc>
        <w:tc>
          <w:tcPr>
            <w:tcW w:w="137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Solvent-free</w:t>
            </w:r>
          </w:p>
        </w:tc>
        <w:tc>
          <w:tcPr>
            <w:tcW w:w="98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 w:hint="cs"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RT</w:t>
            </w:r>
          </w:p>
        </w:tc>
        <w:tc>
          <w:tcPr>
            <w:tcW w:w="88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120</w:t>
            </w:r>
          </w:p>
        </w:tc>
        <w:tc>
          <w:tcPr>
            <w:tcW w:w="88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90</w:t>
            </w:r>
          </w:p>
        </w:tc>
        <w:tc>
          <w:tcPr>
            <w:tcW w:w="127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fldChar w:fldCharType="begin"/>
            </w:r>
            <w:r>
              <w:rPr>
                <w:rFonts w:asciiTheme="majorBidi" w:hAnsiTheme="majorBidi" w:cstheme="majorBidi"/>
                <w:sz w:val="18"/>
                <w:szCs w:val="18"/>
              </w:rPr>
              <w:instrText xml:space="preserve"> ADDIN EN.CITE &lt;EndNote&gt;&lt;Cite&gt;&lt;Author&gt;Salehi&lt;/Author&gt;&lt;Year&gt;2003&lt;/Year&gt;&lt;RecNum&gt;2&lt;/RecNum&gt;&lt;DisplayText&gt;&lt;style face="superscript"&gt;72&lt;/style&gt;&lt;/DisplayText&gt;&lt;record&gt;&lt;rec-number&gt;2&lt;/rec-number&gt;&lt;foreign-keys&gt;&lt;key app="EN" db-id="t0t9srsav0ea5hetr22xz5z5e0zdfwe252td" timestamp="1602236874"&gt;2&lt;/key&gt;&lt;/foreign-keys&gt;&lt;ref-type name="Journal Article"&gt;17&lt;/ref-type&gt;&lt;contributors&gt;&lt;authors&gt;&lt;author&gt;Salehi, Peyman&lt;/author&gt;&lt;author&gt;Dabiri, Minoo&lt;/author&gt;&lt;author&gt;Zolfigol, Mohammad Ali&lt;/author&gt;&lt;/authors&gt;&lt;/contributors&gt;&lt;titles&gt;&lt;title&gt;Efficient synthesis of 3, 4-dihydropyrimidin-2 (1H)-ones over silica sulfuric acid as a reusable catalyst under solvent-free conditions&lt;/title&gt;&lt;secondary-title&gt;Heterocycles&lt;/secondary-title&gt;&lt;/titles&gt;&lt;periodical&gt;&lt;full-title&gt;Heterocycles&lt;/full-title&gt;&lt;/periodical&gt;&lt;pages&gt;2435-2440&lt;/pages&gt;&lt;volume&gt;60&lt;/volume&gt;&lt;number&gt;11&lt;/number&gt;&lt;dates&gt;&lt;year&gt;2003&lt;/year&gt;&lt;/dates&gt;&lt;isbn&gt;0385-5414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18"/>
                <w:szCs w:val="18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18"/>
                <w:szCs w:val="18"/>
                <w:vertAlign w:val="superscript"/>
              </w:rPr>
              <w:t>72</w:t>
            </w:r>
            <w:r>
              <w:rPr>
                <w:rFonts w:asciiTheme="majorBidi" w:hAnsiTheme="majorBidi" w:cstheme="majorBidi"/>
                <w:sz w:val="18"/>
                <w:szCs w:val="18"/>
              </w:rPr>
              <w:fldChar w:fldCharType="end"/>
            </w:r>
          </w:p>
        </w:tc>
      </w:tr>
      <w:tr w:rsidR="00470BAE" w:rsidTr="00470BAE">
        <w:trPr>
          <w:trHeight w:val="594"/>
        </w:trPr>
        <w:tc>
          <w:tcPr>
            <w:tcW w:w="10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82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H</w:t>
            </w:r>
            <w:r>
              <w:rPr>
                <w:rFonts w:asciiTheme="majorBidi" w:hAnsiTheme="majorBidi" w:cstheme="majorBidi"/>
                <w:sz w:val="18"/>
                <w:szCs w:val="18"/>
                <w:vertAlign w:val="subscript"/>
                <w:lang w:val="en-GB"/>
              </w:rPr>
              <w:t>2</w:t>
            </w: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SO</w:t>
            </w:r>
            <w:r>
              <w:rPr>
                <w:rFonts w:asciiTheme="majorBidi" w:hAnsiTheme="majorBidi" w:cstheme="majorBidi"/>
                <w:sz w:val="18"/>
                <w:szCs w:val="18"/>
                <w:vertAlign w:val="subscript"/>
                <w:lang w:val="en-GB"/>
              </w:rPr>
              <w:t>4</w:t>
            </w: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.Silica gel</w:t>
            </w:r>
          </w:p>
        </w:tc>
        <w:tc>
          <w:tcPr>
            <w:tcW w:w="107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30 </w:t>
            </w:r>
            <w:proofErr w:type="spellStart"/>
            <w:r>
              <w:rPr>
                <w:rFonts w:asciiTheme="majorBidi" w:hAnsiTheme="majorBidi" w:cstheme="majorBidi"/>
                <w:sz w:val="18"/>
                <w:szCs w:val="18"/>
              </w:rPr>
              <w:t>mol</w:t>
            </w:r>
            <w:proofErr w:type="spellEnd"/>
            <w:r>
              <w:rPr>
                <w:rFonts w:asciiTheme="majorBidi" w:hAnsiTheme="majorBidi" w:cstheme="majorBidi"/>
                <w:sz w:val="18"/>
                <w:szCs w:val="18"/>
              </w:rPr>
              <w:t xml:space="preserve"> ⁒</w:t>
            </w:r>
          </w:p>
        </w:tc>
        <w:tc>
          <w:tcPr>
            <w:tcW w:w="137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Solvent-free</w:t>
            </w:r>
          </w:p>
        </w:tc>
        <w:tc>
          <w:tcPr>
            <w:tcW w:w="98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 w:hint="cs"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60 °C</w:t>
            </w:r>
          </w:p>
        </w:tc>
        <w:tc>
          <w:tcPr>
            <w:tcW w:w="88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120</w:t>
            </w:r>
          </w:p>
        </w:tc>
        <w:tc>
          <w:tcPr>
            <w:tcW w:w="88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89</w:t>
            </w:r>
          </w:p>
        </w:tc>
        <w:tc>
          <w:tcPr>
            <w:tcW w:w="127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fldChar w:fldCharType="begin"/>
            </w:r>
            <w:r>
              <w:rPr>
                <w:rFonts w:asciiTheme="majorBidi" w:hAnsiTheme="majorBidi" w:cstheme="majorBidi"/>
                <w:sz w:val="18"/>
                <w:szCs w:val="18"/>
              </w:rPr>
              <w:instrText xml:space="preserve"> ADDIN EN.CITE &lt;EndNote&gt;&lt;Cite&gt;&lt;Author&gt;Tamaddon&lt;/Author&gt;&lt;Year&gt;2013&lt;/Year&gt;&lt;RecNum&gt;3&lt;/RecNum&gt;&lt;DisplayText&gt;&lt;style face="superscript"&gt;73&lt;/style&gt;&lt;/DisplayText&gt;&lt;record&gt;&lt;rec-number&gt;3&lt;/rec-number&gt;&lt;foreign-keys&gt;&lt;key app="EN" db-id="t0t9srsav0ea5hetr22xz5z5e0zdfwe252td" timestamp="1602236939"&gt;3&lt;/key&gt;&lt;/foreign-keys&gt;&lt;ref-type name="Journal Article"&gt;17&lt;/ref-type&gt;&lt;contributors&gt;&lt;authors&gt;&lt;author&gt;Tamaddon, Fatemeh&lt;/author&gt;&lt;author&gt;Moradi, Somayeh&lt;/author&gt;&lt;/authors&gt;&lt;/contributors&gt;&lt;titles&gt;&lt;title&gt;Controllable selectivity in Biginelli and Hantzsch reactions using nanoZnO as a structure base catalyst&lt;/title&gt;&lt;secondary-title&gt;Journal of Molecular Catalysis A: Chemical&lt;/secondary-title&gt;&lt;/titles&gt;&lt;periodical&gt;&lt;full-title&gt;Journal of Molecular Catalysis A: Chemical&lt;/full-title&gt;&lt;/periodical&gt;&lt;pages&gt;117-122&lt;/pages&gt;&lt;volume&gt;370&lt;/volume&gt;&lt;dates&gt;&lt;year&gt;2013&lt;/year&gt;&lt;/dates&gt;&lt;isbn&gt;1381-1169&lt;/isbn&gt;&lt;urls&gt;&lt;/urls&gt;&lt;/record&gt;&lt;/Cite&gt;&lt;/EndNote&gt;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18"/>
                <w:szCs w:val="18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18"/>
                <w:szCs w:val="18"/>
                <w:vertAlign w:val="superscript"/>
              </w:rPr>
              <w:t>73</w:t>
            </w:r>
            <w:r>
              <w:rPr>
                <w:rFonts w:asciiTheme="majorBidi" w:hAnsiTheme="majorBidi" w:cstheme="majorBidi"/>
                <w:sz w:val="18"/>
                <w:szCs w:val="18"/>
              </w:rPr>
              <w:fldChar w:fldCharType="end"/>
            </w:r>
          </w:p>
        </w:tc>
      </w:tr>
      <w:tr w:rsidR="00470BAE" w:rsidTr="00470BAE">
        <w:trPr>
          <w:trHeight w:val="584"/>
        </w:trPr>
        <w:tc>
          <w:tcPr>
            <w:tcW w:w="100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82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</w:rPr>
              <w:t>Zr</w:t>
            </w:r>
            <w:proofErr w:type="spellEnd"/>
            <w:r>
              <w:rPr>
                <w:rFonts w:asciiTheme="majorBidi" w:hAnsiTheme="majorBidi" w:cstheme="majorBidi"/>
                <w:sz w:val="18"/>
                <w:szCs w:val="18"/>
              </w:rPr>
              <w:t>(H2PO</w:t>
            </w:r>
            <w:r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4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  <w:r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07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7 </w:t>
            </w:r>
            <w:proofErr w:type="spellStart"/>
            <w:r>
              <w:rPr>
                <w:rFonts w:asciiTheme="majorBidi" w:hAnsiTheme="majorBidi" w:cstheme="majorBidi"/>
                <w:sz w:val="18"/>
                <w:szCs w:val="18"/>
              </w:rPr>
              <w:t>mol</w:t>
            </w:r>
            <w:proofErr w:type="spellEnd"/>
            <w:r>
              <w:rPr>
                <w:rFonts w:asciiTheme="majorBidi" w:hAnsiTheme="majorBidi" w:cstheme="majorBidi"/>
                <w:sz w:val="18"/>
                <w:szCs w:val="18"/>
              </w:rPr>
              <w:t xml:space="preserve"> ⁒</w:t>
            </w:r>
          </w:p>
        </w:tc>
        <w:tc>
          <w:tcPr>
            <w:tcW w:w="137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Solvent-free</w:t>
            </w:r>
          </w:p>
        </w:tc>
        <w:tc>
          <w:tcPr>
            <w:tcW w:w="98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90 °C</w:t>
            </w:r>
          </w:p>
        </w:tc>
        <w:tc>
          <w:tcPr>
            <w:tcW w:w="88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</w:tcPr>
          <w:p w:rsidR="00470BAE" w:rsidRDefault="00470BAE">
            <w:pPr>
              <w:jc w:val="center"/>
              <w:rPr>
                <w:rFonts w:asciiTheme="majorBidi" w:hAnsiTheme="majorBidi" w:cstheme="majorBidi" w:hint="cs"/>
                <w:sz w:val="18"/>
                <w:szCs w:val="18"/>
                <w:rtl/>
              </w:rPr>
            </w:pPr>
          </w:p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  <w:rtl/>
                <w:lang w:val="en-GB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60</w:t>
            </w:r>
          </w:p>
        </w:tc>
        <w:tc>
          <w:tcPr>
            <w:tcW w:w="88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9</w:t>
            </w: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2</w:t>
            </w:r>
          </w:p>
        </w:tc>
        <w:tc>
          <w:tcPr>
            <w:tcW w:w="127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F2F2F2"/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fldChar w:fldCharType="begin"/>
            </w:r>
            <w:r>
              <w:rPr>
                <w:rFonts w:asciiTheme="majorBidi" w:hAnsiTheme="majorBidi" w:cstheme="majorBidi"/>
                <w:sz w:val="18"/>
                <w:szCs w:val="18"/>
              </w:rPr>
              <w:instrText xml:space="preserve"> ADDIN EN.CITE &lt;EndNote&gt;&lt;Cite&gt;&lt;Author&gt;KÜÇÜKİSLAMOĞLU&lt;/Author&gt;&lt;Year&gt;2010&lt;/Year&gt;&lt;RecNum&gt;4&lt;/RecNum&gt;&lt;DisplayText&gt;&lt;style face="superscript"&gt;74&lt;/style&gt;&lt;/DisplayText&gt;&lt;record&gt;&lt;rec-number&gt;4&lt;/rec-number&gt;&lt;foreign-keys&gt;&lt;key app="EN" db-id="t0t9srsav0ea5hetr22xz5z5e0zdfwe252td" timestamp="1602237518"&gt;4&lt;/key&gt;&lt;/foreign-keys&gt;&lt;ref-type name="Journal Article"&gt;17&lt;/ref-type&gt;&lt;contributors&gt;&lt;authors&gt;&lt;author&gt;KÜÇÜKİSLAMOĞLU, MUSTAFA&lt;/author&gt;&lt;author&gt;BEŞOLUK, ŞENOL&lt;/author&gt;&lt;author&gt;Zengin, Mustafa&lt;/author&gt;&lt;author&gt;Arslan, Mustafa&lt;/author&gt;&lt;author&gt;NEBİOĞLU, MEHMET&lt;/author&gt;&lt;/authors&gt;&lt;/contributors&gt;&lt;titles&gt;&lt;title&gt;An efficient one-pot synthesis of dihydropyrimidinones catalyzed by zirconium hydrogen phosphate under solvent-free conditions&lt;/title&gt;&lt;secondary-title&gt;Turkish Journal of Chemistry&lt;/secondary-title&gt;&lt;/titles&gt;&lt;periodical&gt;&lt;full-title&gt;Turkish Journal of Chemistry&lt;/full-title&gt;&lt;/periodical&gt;&lt;pages&gt;411-416&lt;/pages&gt;&lt;volume&gt;34&lt;/volume&gt;&lt;number&gt;3&lt;/number&gt;&lt;dates&gt;&lt;year&gt;2010&lt;/year&gt;&lt;/dates&gt;&lt;isbn&gt;1300-0527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18"/>
                <w:szCs w:val="18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18"/>
                <w:szCs w:val="18"/>
                <w:vertAlign w:val="superscript"/>
              </w:rPr>
              <w:t>74</w:t>
            </w:r>
            <w:r>
              <w:rPr>
                <w:rFonts w:asciiTheme="majorBidi" w:hAnsiTheme="majorBidi" w:cstheme="majorBidi"/>
                <w:sz w:val="18"/>
                <w:szCs w:val="18"/>
              </w:rPr>
              <w:fldChar w:fldCharType="end"/>
            </w:r>
          </w:p>
        </w:tc>
      </w:tr>
      <w:tr w:rsidR="00470BAE" w:rsidTr="00470BAE">
        <w:trPr>
          <w:trHeight w:val="692"/>
        </w:trPr>
        <w:tc>
          <w:tcPr>
            <w:tcW w:w="1000" w:type="dxa"/>
            <w:tcBorders>
              <w:top w:val="single" w:sz="4" w:space="0" w:color="BFBFBF"/>
              <w:left w:val="single" w:sz="4" w:space="0" w:color="BFBFBF"/>
              <w:bottom w:val="single" w:sz="4" w:space="0" w:color="auto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824" w:type="dxa"/>
            <w:tcBorders>
              <w:top w:val="single" w:sz="4" w:space="0" w:color="BFBFBF"/>
              <w:left w:val="single" w:sz="4" w:space="0" w:color="BFBFBF"/>
              <w:bottom w:val="single" w:sz="4" w:space="0" w:color="auto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  <w:t>MCM-41-APTES-PMDA-SO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bscript"/>
                <w:lang w:val="en-GB"/>
              </w:rPr>
              <w:t>3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  <w:t>H</w:t>
            </w:r>
          </w:p>
        </w:tc>
        <w:tc>
          <w:tcPr>
            <w:tcW w:w="1078" w:type="dxa"/>
            <w:tcBorders>
              <w:top w:val="single" w:sz="4" w:space="0" w:color="BFBFBF"/>
              <w:left w:val="single" w:sz="4" w:space="0" w:color="BFBFBF"/>
              <w:bottom w:val="single" w:sz="4" w:space="0" w:color="auto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  <w:t>15 mg</w:t>
            </w:r>
          </w:p>
        </w:tc>
        <w:tc>
          <w:tcPr>
            <w:tcW w:w="1372" w:type="dxa"/>
            <w:tcBorders>
              <w:top w:val="single" w:sz="4" w:space="0" w:color="BFBFBF"/>
              <w:left w:val="single" w:sz="4" w:space="0" w:color="BFBFBF"/>
              <w:bottom w:val="single" w:sz="4" w:space="0" w:color="auto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Solvent-free</w:t>
            </w:r>
          </w:p>
        </w:tc>
        <w:tc>
          <w:tcPr>
            <w:tcW w:w="980" w:type="dxa"/>
            <w:tcBorders>
              <w:top w:val="single" w:sz="4" w:space="0" w:color="BFBFBF"/>
              <w:left w:val="single" w:sz="4" w:space="0" w:color="BFBFBF"/>
              <w:bottom w:val="single" w:sz="4" w:space="0" w:color="auto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80 °C</w:t>
            </w:r>
          </w:p>
        </w:tc>
        <w:tc>
          <w:tcPr>
            <w:tcW w:w="882" w:type="dxa"/>
            <w:tcBorders>
              <w:top w:val="single" w:sz="4" w:space="0" w:color="BFBFBF"/>
              <w:left w:val="single" w:sz="4" w:space="0" w:color="BFBFBF"/>
              <w:bottom w:val="single" w:sz="4" w:space="0" w:color="auto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  <w:t>35</w:t>
            </w:r>
          </w:p>
        </w:tc>
        <w:tc>
          <w:tcPr>
            <w:tcW w:w="882" w:type="dxa"/>
            <w:tcBorders>
              <w:top w:val="single" w:sz="4" w:space="0" w:color="BFBFBF"/>
              <w:left w:val="single" w:sz="4" w:space="0" w:color="BFBFBF"/>
              <w:bottom w:val="single" w:sz="4" w:space="0" w:color="auto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96</w:t>
            </w:r>
          </w:p>
        </w:tc>
        <w:tc>
          <w:tcPr>
            <w:tcW w:w="1274" w:type="dxa"/>
            <w:tcBorders>
              <w:top w:val="single" w:sz="4" w:space="0" w:color="BFBFBF"/>
              <w:left w:val="single" w:sz="4" w:space="0" w:color="BFBFBF"/>
              <w:bottom w:val="single" w:sz="4" w:space="0" w:color="auto"/>
              <w:right w:val="single" w:sz="4" w:space="0" w:color="BFBFBF"/>
            </w:tcBorders>
            <w:vAlign w:val="center"/>
            <w:hideMark/>
          </w:tcPr>
          <w:p w:rsidR="00470BAE" w:rsidRDefault="00470BAE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/>
              </w:rPr>
              <w:t>This work</w:t>
            </w:r>
          </w:p>
        </w:tc>
      </w:tr>
    </w:tbl>
    <w:p w:rsidR="00470BAE" w:rsidRDefault="00470BAE">
      <w:bookmarkStart w:id="2" w:name="_GoBack"/>
      <w:bookmarkEnd w:id="2"/>
    </w:p>
    <w:sectPr w:rsidR="00470B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vOT596495f2">
    <w:altName w:val="Times New Roman"/>
    <w:panose1 w:val="00000000000000000000"/>
    <w:charset w:val="00"/>
    <w:family w:val="roman"/>
    <w:notTrueType/>
    <w:pitch w:val="default"/>
  </w:font>
  <w:font w:name="AdvOT596495f2+20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607"/>
    <w:rsid w:val="00470BAE"/>
    <w:rsid w:val="00AD1398"/>
    <w:rsid w:val="00C82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21B10"/>
  <w15:chartTrackingRefBased/>
  <w15:docId w15:val="{9A9461FA-ACD1-4975-AE23-1B4EA0CC8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2607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74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2514</Words>
  <Characters>14336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16817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2021-01-18T13:42:00Z</dcterms:created>
  <dcterms:modified xsi:type="dcterms:W3CDTF">2021-01-18T13:44:00Z</dcterms:modified>
</cp:coreProperties>
</file>