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FA547" w14:textId="72D4E253" w:rsidR="0094712C" w:rsidRDefault="005F29E5">
      <w:r>
        <w:rPr>
          <w:noProof/>
        </w:rPr>
        <w:drawing>
          <wp:inline distT="0" distB="0" distL="0" distR="0" wp14:anchorId="4B29C10F" wp14:editId="7905E952">
            <wp:extent cx="7488555" cy="3881135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3717" cy="38889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FB8DF3" w14:textId="71758274" w:rsidR="005F29E5" w:rsidRPr="005F29E5" w:rsidRDefault="005F29E5">
      <w:pPr>
        <w:rPr>
          <w:rFonts w:ascii="Arial" w:hAnsi="Arial" w:cs="Arial"/>
        </w:rPr>
      </w:pPr>
      <w:r w:rsidRPr="005F29E5">
        <w:rPr>
          <w:rFonts w:ascii="Arial" w:hAnsi="Arial" w:cs="Arial"/>
          <w:b/>
          <w:bCs/>
        </w:rPr>
        <w:t xml:space="preserve">Figure S1. </w:t>
      </w:r>
      <w:r>
        <w:rPr>
          <w:rFonts w:ascii="Arial" w:hAnsi="Arial" w:cs="Arial"/>
        </w:rPr>
        <w:t>Distributions of responses to drinking and tap water preference and perception statements</w:t>
      </w:r>
    </w:p>
    <w:sectPr w:rsidR="005F29E5" w:rsidRPr="005F29E5" w:rsidSect="005F29E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9E5"/>
    <w:rsid w:val="005F29E5"/>
    <w:rsid w:val="0094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67F68"/>
  <w15:chartTrackingRefBased/>
  <w15:docId w15:val="{697E2D49-9BEC-4F15-9B3C-F0EA34FFC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Wilson, Amanda Marie - (amwilson2)</dc:creator>
  <cp:keywords/>
  <dc:description/>
  <cp:lastModifiedBy>Wilson, Amanda Marie - (amwilson2)</cp:lastModifiedBy>
  <cp:revision>1</cp:revision>
  <dcterms:created xsi:type="dcterms:W3CDTF">2022-03-18T19:09:00Z</dcterms:created>
  <dcterms:modified xsi:type="dcterms:W3CDTF">2022-03-18T19:10:00Z</dcterms:modified>
</cp:coreProperties>
</file>