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spacing w:line="480" w:lineRule="auto"/>
        <w:rPr>
          <w:b w:val="1"/>
          <w:bCs w:val="1"/>
          <w:caps w:val="0"/>
          <w:smallCaps w:val="0"/>
          <w:strike w:val="0"/>
          <w:dstrike w:val="0"/>
          <w:outline w:val="0"/>
          <w:color w:val="000000"/>
          <w:spacing w:val="0"/>
          <w:kern w:val="0"/>
          <w:position w:val="0"/>
          <w:sz w:val="20"/>
          <w:szCs w:val="20"/>
          <w:u w:val="none" w:color="000000"/>
          <w:shd w:val="nil" w:color="auto" w:fill="auto"/>
          <w:vertAlign w:val="baseline"/>
          <w14:textFill>
            <w14:solidFill>
              <w14:srgbClr w14:val="000000"/>
            </w14:solidFill>
          </w14:textFill>
        </w:rPr>
      </w:pPr>
      <w:r>
        <w:rPr>
          <w:b w:val="1"/>
          <w:bCs w:val="1"/>
          <w:caps w:val="0"/>
          <w:smallCaps w:val="0"/>
          <w:strike w:val="0"/>
          <w:dstrike w:val="0"/>
          <w:outline w:val="0"/>
          <w:color w:val="000000"/>
          <w:spacing w:val="0"/>
          <w:kern w:val="0"/>
          <w:position w:val="0"/>
          <w:sz w:val="20"/>
          <w:szCs w:val="20"/>
          <w:u w:val="none" w:color="000000"/>
          <w:shd w:val="nil" w:color="auto" w:fill="auto"/>
          <w:vertAlign w:val="baseline"/>
          <w:rtl w:val="0"/>
          <w:lang w:val="pt-PT"/>
          <w14:textFill>
            <w14:solidFill>
              <w14:srgbClr w14:val="000000"/>
            </w14:solidFill>
          </w14:textFill>
        </w:rPr>
        <w:t>Supplementary Information</w:t>
      </w:r>
    </w:p>
    <w:p>
      <w:pPr>
        <w:pStyle w:val="Padrão A"/>
        <w:spacing w:before="0" w:line="480" w:lineRule="auto"/>
        <w:rPr>
          <w:b w:val="1"/>
          <w:bCs w:val="1"/>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pPr>
    </w:p>
    <w:p>
      <w:pPr>
        <w:pStyle w:val="Padrão A"/>
        <w:spacing w:before="0" w:line="480" w:lineRule="auto"/>
        <w:rPr>
          <w:lang w:val="en-US"/>
        </w:rPr>
      </w:pPr>
      <w:r>
        <w:rPr>
          <w:b w:val="1"/>
          <w:bCs w:val="1"/>
          <w:sz w:val="20"/>
          <w:szCs w:val="20"/>
          <w:u w:val="none"/>
          <w:rtl w:val="0"/>
          <w:lang w:val="en-US"/>
        </w:rPr>
        <w:t>Assessment of kinetic modeling for oxidation of humic substances in mature landfill leachate by solar photocatalysis using ZnO</w:t>
      </w:r>
      <w:r>
        <w:rPr>
          <w:b w:val="1"/>
          <w:bCs w:val="1"/>
          <w:sz w:val="20"/>
          <w:szCs w:val="20"/>
          <w:u w:val="none"/>
          <w:rtl w:val="0"/>
          <w:lang w:val="en-US"/>
        </w:rPr>
        <w:t>–</w:t>
      </w:r>
      <w:r>
        <w:rPr>
          <w:b w:val="1"/>
          <w:bCs w:val="1"/>
          <w:sz w:val="20"/>
          <w:szCs w:val="20"/>
          <w:u w:val="none"/>
          <w:rtl w:val="0"/>
          <w:lang w:val="en-US"/>
        </w:rPr>
        <w:t>TiO</w:t>
      </w:r>
      <w:r>
        <w:rPr>
          <w:b w:val="1"/>
          <w:bCs w:val="1"/>
          <w:sz w:val="20"/>
          <w:szCs w:val="20"/>
          <w:u w:val="none"/>
          <w:vertAlign w:val="subscript"/>
          <w:rtl w:val="0"/>
          <w:lang w:val="en-US"/>
        </w:rPr>
        <w:t>2</w:t>
      </w:r>
    </w:p>
    <w:p>
      <w:pPr>
        <w:pStyle w:val="Padrão A"/>
        <w:spacing w:before="0" w:line="480" w:lineRule="auto"/>
        <w:rPr>
          <w:b w:val="1"/>
          <w:bCs w:val="1"/>
          <w:sz w:val="20"/>
          <w:szCs w:val="20"/>
          <w:u w:val="none"/>
        </w:rPr>
      </w:pPr>
    </w:p>
    <w:p>
      <w:pPr>
        <w:pStyle w:val="Padrão A"/>
        <w:spacing w:before="0" w:line="480" w:lineRule="auto"/>
      </w:pPr>
      <w:r>
        <w:rPr>
          <w:sz w:val="20"/>
          <w:szCs w:val="20"/>
          <w:u w:val="none"/>
          <w:rtl w:val="0"/>
          <w:lang w:val="en-US"/>
        </w:rPr>
        <w:t>Nicoly Milhardo Louren</w:t>
      </w:r>
      <w:r>
        <w:rPr>
          <w:sz w:val="20"/>
          <w:szCs w:val="20"/>
          <w:u w:val="none"/>
          <w:rtl w:val="0"/>
          <w:lang w:val="en-US"/>
        </w:rPr>
        <w:t>ç</w:t>
      </w:r>
      <w:r>
        <w:rPr>
          <w:sz w:val="20"/>
          <w:szCs w:val="20"/>
          <w:u w:val="none"/>
          <w:rtl w:val="0"/>
          <w:lang w:val="en-US"/>
        </w:rPr>
        <w:t>o Nohara</w:t>
      </w:r>
      <w:r>
        <w:rPr>
          <w:sz w:val="20"/>
          <w:szCs w:val="20"/>
          <w:u w:val="none"/>
          <w:vertAlign w:val="superscript"/>
          <w:rtl w:val="0"/>
          <w:lang w:val="en-US"/>
        </w:rPr>
        <w:t>a</w:t>
      </w:r>
      <w:r>
        <w:rPr>
          <w:sz w:val="20"/>
          <w:szCs w:val="20"/>
          <w:u w:val="none"/>
          <w:rtl w:val="0"/>
          <w:lang w:val="en-US"/>
        </w:rPr>
        <w:t>, Helcio Jos</w:t>
      </w:r>
      <w:r>
        <w:rPr>
          <w:sz w:val="20"/>
          <w:szCs w:val="20"/>
          <w:u w:val="none"/>
          <w:rtl w:val="0"/>
          <w:lang w:val="en-US"/>
        </w:rPr>
        <w:t xml:space="preserve">é </w:t>
      </w:r>
      <w:r>
        <w:rPr>
          <w:sz w:val="20"/>
          <w:szCs w:val="20"/>
          <w:u w:val="none"/>
          <w:rtl w:val="0"/>
          <w:lang w:val="en-US"/>
        </w:rPr>
        <w:t>Iz</w:t>
      </w:r>
      <w:r>
        <w:rPr>
          <w:sz w:val="20"/>
          <w:szCs w:val="20"/>
          <w:u w:val="none"/>
          <w:rtl w:val="0"/>
          <w:lang w:val="en-US"/>
        </w:rPr>
        <w:t>á</w:t>
      </w:r>
      <w:r>
        <w:rPr>
          <w:sz w:val="20"/>
          <w:szCs w:val="20"/>
          <w:u w:val="none"/>
          <w:rtl w:val="0"/>
          <w:lang w:val="en-US"/>
        </w:rPr>
        <w:t>rio Filho</w:t>
      </w:r>
      <w:r>
        <w:rPr>
          <w:sz w:val="20"/>
          <w:szCs w:val="20"/>
          <w:u w:val="none"/>
          <w:vertAlign w:val="superscript"/>
          <w:rtl w:val="0"/>
          <w:lang w:val="en-US"/>
        </w:rPr>
        <w:t>a</w:t>
      </w:r>
      <w:r>
        <w:rPr>
          <w:sz w:val="20"/>
          <w:szCs w:val="20"/>
          <w:u w:val="none"/>
          <w:rtl w:val="0"/>
          <w:lang w:val="en-US"/>
        </w:rPr>
        <w:t>, Adriano Francisco Siqueira</w:t>
      </w:r>
      <w:r>
        <w:rPr>
          <w:sz w:val="20"/>
          <w:szCs w:val="20"/>
          <w:u w:val="none"/>
          <w:vertAlign w:val="superscript"/>
          <w:rtl w:val="0"/>
          <w:lang w:val="en-US"/>
        </w:rPr>
        <w:t>b</w:t>
      </w:r>
      <w:r>
        <w:rPr>
          <w:sz w:val="20"/>
          <w:szCs w:val="20"/>
          <w:u w:val="none"/>
          <w:rtl w:val="0"/>
          <w:lang w:val="en-US"/>
        </w:rPr>
        <w:t>, Leandro Gon</w:t>
      </w:r>
      <w:r>
        <w:rPr>
          <w:sz w:val="20"/>
          <w:szCs w:val="20"/>
          <w:u w:val="none"/>
          <w:rtl w:val="0"/>
          <w:lang w:val="en-US"/>
        </w:rPr>
        <w:t>ç</w:t>
      </w:r>
      <w:r>
        <w:rPr>
          <w:sz w:val="20"/>
          <w:szCs w:val="20"/>
          <w:u w:val="none"/>
          <w:rtl w:val="0"/>
          <w:lang w:val="en-US"/>
        </w:rPr>
        <w:t>alves</w:t>
      </w:r>
      <w:r>
        <w:rPr>
          <w:sz w:val="20"/>
          <w:szCs w:val="20"/>
          <w:u w:val="none"/>
          <w:rtl w:val="0"/>
          <w:lang w:val="pt-PT"/>
        </w:rPr>
        <w:t xml:space="preserve"> de</w:t>
      </w:r>
      <w:r>
        <w:rPr>
          <w:sz w:val="20"/>
          <w:szCs w:val="20"/>
          <w:u w:val="none"/>
          <w:rtl w:val="0"/>
          <w:lang w:val="en-US"/>
        </w:rPr>
        <w:t xml:space="preserve"> Aguiar</w:t>
      </w:r>
      <w:r>
        <w:rPr>
          <w:sz w:val="20"/>
          <w:szCs w:val="20"/>
          <w:u w:val="none"/>
          <w:vertAlign w:val="superscript"/>
          <w:rtl w:val="0"/>
          <w:lang w:val="en-US"/>
        </w:rPr>
        <w:t>a</w:t>
      </w:r>
      <w:r>
        <w:rPr>
          <w:sz w:val="20"/>
          <w:szCs w:val="20"/>
          <w:u w:val="none"/>
          <w:rtl w:val="0"/>
          <w:lang w:val="en-US"/>
        </w:rPr>
        <w:t>, Gabriel Caracciolo Koenigkam de Oliveira</w:t>
      </w:r>
      <w:r>
        <w:rPr>
          <w:sz w:val="20"/>
          <w:szCs w:val="20"/>
          <w:u w:val="none"/>
          <w:vertAlign w:val="superscript"/>
          <w:rtl w:val="0"/>
          <w:lang w:val="en-US"/>
        </w:rPr>
        <w:t>a</w:t>
      </w:r>
      <w:r>
        <w:rPr>
          <w:sz w:val="20"/>
          <w:szCs w:val="20"/>
          <w:u w:val="none"/>
          <w:rtl w:val="0"/>
          <w:lang w:val="en-US"/>
        </w:rPr>
        <w:t>, Evandro Lu</w:t>
      </w:r>
      <w:r>
        <w:rPr>
          <w:sz w:val="20"/>
          <w:szCs w:val="20"/>
          <w:u w:val="none"/>
          <w:rtl w:val="0"/>
          <w:lang w:val="en-US"/>
        </w:rPr>
        <w:t>í</w:t>
      </w:r>
      <w:r>
        <w:rPr>
          <w:sz w:val="20"/>
          <w:szCs w:val="20"/>
          <w:u w:val="none"/>
          <w:rtl w:val="0"/>
          <w:lang w:val="en-US"/>
        </w:rPr>
        <w:t>s Nohara</w:t>
      </w:r>
      <w:r>
        <w:rPr>
          <w:sz w:val="20"/>
          <w:szCs w:val="20"/>
          <w:u w:val="none"/>
          <w:vertAlign w:val="superscript"/>
          <w:rtl w:val="0"/>
          <w:lang w:val="en-US"/>
        </w:rPr>
        <w:t>c</w:t>
      </w:r>
      <w:r>
        <w:rPr>
          <w:sz w:val="20"/>
          <w:szCs w:val="20"/>
          <w:u w:val="none"/>
          <w:rtl w:val="0"/>
          <w:lang w:val="en-US"/>
        </w:rPr>
        <w:t>, Marco Aur</w:t>
      </w:r>
      <w:r>
        <w:rPr>
          <w:sz w:val="20"/>
          <w:szCs w:val="20"/>
          <w:u w:val="none"/>
          <w:rtl w:val="0"/>
          <w:lang w:val="en-US"/>
        </w:rPr>
        <w:t>é</w:t>
      </w:r>
      <w:r>
        <w:rPr>
          <w:sz w:val="20"/>
          <w:szCs w:val="20"/>
          <w:u w:val="none"/>
          <w:rtl w:val="0"/>
          <w:lang w:val="en-US"/>
        </w:rPr>
        <w:t>lio Kondracki de Alc</w:t>
      </w:r>
      <w:r>
        <w:rPr>
          <w:sz w:val="20"/>
          <w:szCs w:val="20"/>
          <w:u w:val="none"/>
          <w:rtl w:val="0"/>
          <w:lang w:val="en-US"/>
        </w:rPr>
        <w:t>â</w:t>
      </w:r>
      <w:r>
        <w:rPr>
          <w:sz w:val="20"/>
          <w:szCs w:val="20"/>
          <w:u w:val="none"/>
          <w:rtl w:val="0"/>
          <w:lang w:val="en-US"/>
        </w:rPr>
        <w:t>ntar</w:t>
      </w:r>
      <w:r>
        <w:rPr>
          <w:sz w:val="20"/>
          <w:szCs w:val="20"/>
          <w:u w:val="none"/>
          <w:rtl w:val="0"/>
          <w:lang w:val="pt-PT"/>
        </w:rPr>
        <w:t>a</w:t>
      </w:r>
      <w:r>
        <w:rPr>
          <w:sz w:val="20"/>
          <w:szCs w:val="20"/>
          <w:u w:val="none"/>
          <w:vertAlign w:val="superscript"/>
          <w:rtl w:val="0"/>
          <w:lang w:val="en-US"/>
        </w:rPr>
        <w:t>b,*</w:t>
      </w:r>
      <w:r>
        <w:rPr>
          <w:sz w:val="20"/>
          <w:szCs w:val="20"/>
          <w:u w:val="none"/>
          <w:rtl w:val="0"/>
          <w:lang w:val="pt-PT"/>
        </w:rPr>
        <w:t xml:space="preserve"> </w:t>
      </w:r>
    </w:p>
    <w:p>
      <w:pPr>
        <w:pStyle w:val="Corpo"/>
        <w:spacing w:line="480" w:lineRule="auto"/>
        <w:rPr>
          <w:sz w:val="20"/>
          <w:szCs w:val="20"/>
          <w:u w:val="none"/>
          <w:lang w:val="en-US"/>
        </w:rPr>
      </w:pPr>
    </w:p>
    <w:p>
      <w:pPr>
        <w:pStyle w:val="Corpo"/>
        <w:spacing w:line="480" w:lineRule="auto"/>
      </w:pPr>
      <w:r>
        <w:rPr>
          <w:caps w:val="0"/>
          <w:smallCaps w:val="0"/>
          <w:strike w:val="0"/>
          <w:dstrike w:val="0"/>
          <w:outline w:val="0"/>
          <w:color w:val="000000"/>
          <w:spacing w:val="0"/>
          <w:kern w:val="0"/>
          <w:sz w:val="20"/>
          <w:szCs w:val="20"/>
          <w:u w:val="none" w:color="000000"/>
          <w:shd w:val="nil" w:color="auto" w:fill="auto"/>
          <w:vertAlign w:val="superscript"/>
          <w:rtl w:val="0"/>
          <w:lang w:val="en-US"/>
          <w14:textFill>
            <w14:solidFill>
              <w14:srgbClr w14:val="000000"/>
            </w14:solidFill>
          </w14:textFill>
        </w:rPr>
        <w:t>a</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 xml:space="preserve"> Department of Chemical Engineering, Engineering School of Lorena, University of S</w:t>
      </w:r>
      <w:r>
        <w:rPr>
          <w:caps w:val="0"/>
          <w:smallCaps w:val="0"/>
          <w:strike w:val="0"/>
          <w:dstrike w:val="0"/>
          <w:outline w:val="0"/>
          <w:color w:val="000000"/>
          <w:spacing w:val="0"/>
          <w:kern w:val="0"/>
          <w:position w:val="0"/>
          <w:sz w:val="20"/>
          <w:szCs w:val="20"/>
          <w:u w:val="none" w:color="000000"/>
          <w:shd w:val="nil" w:color="auto" w:fill="auto"/>
          <w:vertAlign w:val="baseline"/>
          <w:rtl w:val="0"/>
          <w:lang w:val="pt-PT"/>
          <w14:textFill>
            <w14:solidFill>
              <w14:srgbClr w14:val="000000"/>
            </w14:solidFill>
          </w14:textFill>
        </w:rPr>
        <w:t>ã</w:t>
      </w:r>
      <w:r>
        <w:rPr>
          <w:caps w:val="0"/>
          <w:smallCaps w:val="0"/>
          <w:strike w:val="0"/>
          <w:dstrike w:val="0"/>
          <w:outline w:val="0"/>
          <w:color w:val="000000"/>
          <w:spacing w:val="0"/>
          <w:kern w:val="0"/>
          <w:position w:val="0"/>
          <w:sz w:val="20"/>
          <w:szCs w:val="20"/>
          <w:u w:val="none" w:color="000000"/>
          <w:shd w:val="nil" w:color="auto" w:fill="auto"/>
          <w:vertAlign w:val="baseline"/>
          <w:rtl w:val="0"/>
          <w14:textFill>
            <w14:solidFill>
              <w14:srgbClr w14:val="000000"/>
            </w14:solidFill>
          </w14:textFill>
        </w:rPr>
        <w:t>o Paulo, 12602-810, Lorena, SP, Brazil</w:t>
      </w:r>
    </w:p>
    <w:p>
      <w:pPr>
        <w:pStyle w:val="Corpo"/>
        <w:spacing w:line="480" w:lineRule="auto"/>
      </w:pPr>
      <w:r>
        <w:rPr>
          <w:caps w:val="0"/>
          <w:smallCaps w:val="0"/>
          <w:strike w:val="0"/>
          <w:dstrike w:val="0"/>
          <w:outline w:val="0"/>
          <w:color w:val="000000"/>
          <w:spacing w:val="0"/>
          <w:kern w:val="0"/>
          <w:sz w:val="20"/>
          <w:szCs w:val="20"/>
          <w:u w:val="none" w:color="000000"/>
          <w:shd w:val="nil" w:color="auto" w:fill="auto"/>
          <w:vertAlign w:val="superscript"/>
          <w:rtl w:val="0"/>
          <w:lang w:val="pt-PT"/>
          <w14:textFill>
            <w14:solidFill>
              <w14:srgbClr w14:val="000000"/>
            </w14:solidFill>
          </w14:textFill>
        </w:rPr>
        <w:t>b</w:t>
      </w:r>
      <w:r>
        <w:rPr>
          <w:caps w:val="0"/>
          <w:smallCaps w:val="0"/>
          <w:strike w:val="0"/>
          <w:dstrike w:val="0"/>
          <w:outline w:val="0"/>
          <w:color w:val="000000"/>
          <w:spacing w:val="0"/>
          <w:kern w:val="0"/>
          <w:position w:val="0"/>
          <w:sz w:val="20"/>
          <w:szCs w:val="20"/>
          <w:u w:val="none" w:color="000000"/>
          <w:shd w:val="nil" w:color="auto" w:fill="auto"/>
          <w:vertAlign w:val="baseline"/>
          <w:rtl w:val="0"/>
          <w:lang w:val="pt-PT"/>
          <w14:textFill>
            <w14:solidFill>
              <w14:srgbClr w14:val="000000"/>
            </w14:solidFill>
          </w14:textFill>
        </w:rPr>
        <w:t xml:space="preserve"> </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Department of Basic and Environmental Sciences, Engineering School of Lorena, University of S</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ã</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o Paulo, 12602-810, Lorena, SP, Brazil</w:t>
      </w:r>
    </w:p>
    <w:p>
      <w:pPr>
        <w:pStyle w:val="Padrão A"/>
        <w:spacing w:before="0" w:line="480" w:lineRule="auto"/>
        <w:rPr>
          <w:sz w:val="20"/>
          <w:szCs w:val="20"/>
          <w:u w:val="none"/>
          <w:lang w:val="en-US"/>
        </w:rPr>
      </w:pPr>
      <w:r>
        <w:rPr>
          <w:sz w:val="20"/>
          <w:szCs w:val="20"/>
          <w:u w:val="none"/>
          <w:vertAlign w:val="superscript"/>
          <w:rtl w:val="0"/>
          <w:lang w:val="en-US"/>
        </w:rPr>
        <w:t>c</w:t>
      </w:r>
      <w:r>
        <w:rPr>
          <w:sz w:val="20"/>
          <w:szCs w:val="20"/>
          <w:u w:val="none"/>
          <w:rtl w:val="0"/>
          <w:lang w:val="en-US"/>
        </w:rPr>
        <w:t xml:space="preserve"> </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Department of Mechanical Engineering, University of Taubat</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é</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 Taubat</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é</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 12060-440, SP, Brazil</w:t>
      </w:r>
    </w:p>
    <w:p>
      <w:pPr>
        <w:pStyle w:val="Corpo"/>
        <w:spacing w:line="480" w:lineRule="auto"/>
        <w:rPr>
          <w:b w:val="1"/>
          <w:bCs w:val="1"/>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pPr>
    </w:p>
    <w:p>
      <w:pPr>
        <w:pStyle w:val="Corpo"/>
        <w:numPr>
          <w:ilvl w:val="0"/>
          <w:numId w:val="2"/>
        </w:numPr>
        <w:bidi w:val="0"/>
        <w:spacing w:line="480" w:lineRule="auto"/>
        <w:ind w:right="0"/>
        <w:jc w:val="left"/>
        <w:rPr>
          <w:sz w:val="20"/>
          <w:szCs w:val="20"/>
          <w:rtl w:val="0"/>
          <w:lang w:val="en-US"/>
        </w:rPr>
      </w:pP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Corresponding author: E-mail:</w:t>
      </w:r>
      <w:r>
        <w:rPr>
          <w:caps w:val="0"/>
          <w:smallCaps w:val="0"/>
          <w:strike w:val="0"/>
          <w:dstrike w:val="0"/>
          <w:outline w:val="0"/>
          <w:color w:val="000000"/>
          <w:spacing w:val="0"/>
          <w:kern w:val="0"/>
          <w:position w:val="0"/>
          <w:sz w:val="20"/>
          <w:szCs w:val="20"/>
          <w:u w:val="none" w:color="000000"/>
          <w:shd w:val="nil" w:color="auto" w:fill="auto"/>
          <w:vertAlign w:val="baseline"/>
          <w:rtl w:val="0"/>
          <w:lang w:val="pt-PT"/>
          <w14:textFill>
            <w14:solidFill>
              <w14:srgbClr w14:val="000000"/>
            </w14:solidFill>
          </w14:textFill>
        </w:rPr>
        <w:t xml:space="preserve"> marko@usp.br</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 xml:space="preserve"> (M.A.K. Alc</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â</w:t>
      </w:r>
      <w:r>
        <w:rPr>
          <w:caps w:val="0"/>
          <w:smallCaps w:val="0"/>
          <w:strike w:val="0"/>
          <w:dstrike w:val="0"/>
          <w:outline w:val="0"/>
          <w:color w:val="000000"/>
          <w:spacing w:val="0"/>
          <w:kern w:val="0"/>
          <w:position w:val="0"/>
          <w:sz w:val="20"/>
          <w:szCs w:val="20"/>
          <w:u w:val="none" w:color="000000"/>
          <w:shd w:val="nil" w:color="auto" w:fill="auto"/>
          <w:vertAlign w:val="baseline"/>
          <w:rtl w:val="0"/>
          <w:lang w:val="en-US"/>
          <w14:textFill>
            <w14:solidFill>
              <w14:srgbClr w14:val="000000"/>
            </w14:solidFill>
          </w14:textFill>
        </w:rPr>
        <w:t>ntara)</w:t>
      </w:r>
    </w:p>
    <w:p>
      <w:pPr>
        <w:pStyle w:val="Corpo"/>
        <w:spacing w:line="480" w:lineRule="auto"/>
        <w:rPr>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pPr>
    </w:p>
    <w:p>
      <w:pPr>
        <w:pStyle w:val="Padrão A"/>
        <w:spacing w:before="0" w:line="480" w:lineRule="auto"/>
        <w:rPr>
          <w:b w:val="1"/>
          <w:bCs w:val="1"/>
          <w:sz w:val="20"/>
          <w:szCs w:val="20"/>
          <w:u w:val="none"/>
          <w:lang w:val="pt-PT"/>
        </w:rPr>
      </w:pPr>
      <w:r>
        <w:rPr>
          <w:b w:val="1"/>
          <w:bCs w:val="1"/>
          <w:sz w:val="20"/>
          <w:szCs w:val="20"/>
          <w:u w:val="none"/>
          <w:rtl w:val="0"/>
          <w:lang w:val="pt-PT"/>
        </w:rPr>
        <w:t>Content of the Supporting Information</w:t>
      </w:r>
    </w:p>
    <w:p>
      <w:pPr>
        <w:pStyle w:val="Padrão A"/>
        <w:spacing w:before="0" w:line="480" w:lineRule="auto"/>
        <w:rPr>
          <w:b w:val="1"/>
          <w:bCs w:val="1"/>
          <w:sz w:val="20"/>
          <w:szCs w:val="20"/>
          <w:u w:val="none"/>
          <w:lang w:val="en-US"/>
        </w:rPr>
      </w:pPr>
    </w:p>
    <w:p>
      <w:pPr>
        <w:pStyle w:val="Padrão A"/>
        <w:spacing w:before="0" w:line="480" w:lineRule="auto"/>
        <w:rPr>
          <w:sz w:val="20"/>
          <w:szCs w:val="20"/>
          <w:u w:val="none"/>
          <w:lang w:val="en-US"/>
        </w:rPr>
      </w:pPr>
      <w:r>
        <w:rPr>
          <w:sz w:val="20"/>
          <w:szCs w:val="20"/>
          <w:u w:val="none"/>
          <w:rtl w:val="0"/>
          <w:lang w:val="en-US"/>
        </w:rPr>
        <w:t>Preparation of photocatalytic material. Photocatalytic degradation assays of landfill leachate. Non-purgeable organic carbon analysis. Analysis of variance for degradation of humic acids and fulvic acids + humins. Comparison of experimental data and values predicted by a statistical model for conversion of humic acids and fulvic acids + humins (PDF).</w:t>
      </w: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jc w:val="both"/>
        <w:rPr>
          <w:b w:val="1"/>
          <w:bCs w:val="1"/>
          <w:sz w:val="20"/>
          <w:szCs w:val="20"/>
          <w:u w:val="none"/>
          <w:lang w:val="pt-PT"/>
        </w:rPr>
      </w:pPr>
    </w:p>
    <w:p>
      <w:pPr>
        <w:pStyle w:val="Padrão A"/>
        <w:spacing w:before="0" w:line="480" w:lineRule="auto"/>
        <w:rPr>
          <w:b w:val="1"/>
          <w:bCs w:val="1"/>
          <w:sz w:val="20"/>
          <w:szCs w:val="20"/>
          <w:u w:val="none"/>
          <w:lang w:val="en-US"/>
        </w:rPr>
      </w:pPr>
      <w:r>
        <w:rPr>
          <w:b w:val="1"/>
          <w:bCs w:val="1"/>
          <w:sz w:val="20"/>
          <w:szCs w:val="20"/>
          <w:u w:val="none"/>
          <w:rtl w:val="0"/>
          <w:lang w:val="en-US"/>
        </w:rPr>
        <w:t>Preparation of photocatalytic material</w:t>
      </w:r>
    </w:p>
    <w:p>
      <w:pPr>
        <w:pStyle w:val="Padrão A"/>
        <w:spacing w:before="0" w:line="480" w:lineRule="auto"/>
        <w:ind w:firstLine="708"/>
        <w:rPr>
          <w:b w:val="1"/>
          <w:bCs w:val="1"/>
          <w:sz w:val="20"/>
          <w:szCs w:val="20"/>
          <w:u w:val="none"/>
        </w:rPr>
      </w:pPr>
    </w:p>
    <w:p>
      <w:pPr>
        <w:pStyle w:val="Padrão A"/>
        <w:spacing w:before="0" w:line="480" w:lineRule="auto"/>
        <w:ind w:firstLine="708"/>
      </w:pPr>
      <w:r>
        <w:rPr>
          <w:sz w:val="20"/>
          <w:szCs w:val="20"/>
          <w:u w:val="none"/>
          <w:rtl w:val="0"/>
          <w:lang w:val="en-US"/>
        </w:rPr>
        <w:t>Binary mixtures of the photocatalyst were prepared by simple mixing. The inputs used for preparation of the photocatalytic material were acrylic paint (60% w/v), photocatalysts (ZnO</w:t>
      </w:r>
      <w:r>
        <w:rPr>
          <w:sz w:val="20"/>
          <w:szCs w:val="20"/>
          <w:u w:val="none"/>
          <w:rtl w:val="0"/>
          <w:lang w:val="en-US"/>
        </w:rPr>
        <w:t>–</w:t>
      </w:r>
      <w:r>
        <w:rPr>
          <w:sz w:val="20"/>
          <w:szCs w:val="20"/>
          <w:u w:val="none"/>
          <w:rtl w:val="0"/>
          <w:lang w:val="en-US"/>
        </w:rPr>
        <w:t>TiO</w:t>
      </w:r>
      <w:r>
        <w:rPr>
          <w:sz w:val="20"/>
          <w:szCs w:val="20"/>
          <w:u w:val="none"/>
          <w:vertAlign w:val="subscript"/>
          <w:rtl w:val="0"/>
          <w:lang w:val="en-US"/>
        </w:rPr>
        <w:t>2</w:t>
      </w:r>
      <w:r>
        <w:rPr>
          <w:sz w:val="20"/>
          <w:szCs w:val="20"/>
          <w:u w:val="none"/>
          <w:rtl w:val="0"/>
          <w:lang w:val="en-US"/>
        </w:rPr>
        <w:t>, 20% w/v), deionized water (15% w/v), ammonia polyacrylate (PAA-NH</w:t>
      </w:r>
      <w:r>
        <w:rPr>
          <w:sz w:val="20"/>
          <w:szCs w:val="20"/>
          <w:u w:val="none"/>
          <w:vertAlign w:val="subscript"/>
          <w:rtl w:val="0"/>
          <w:lang w:val="en-US"/>
        </w:rPr>
        <w:t>4</w:t>
      </w:r>
      <w:r>
        <w:rPr>
          <w:sz w:val="20"/>
          <w:szCs w:val="20"/>
          <w:u w:val="none"/>
          <w:rtl w:val="0"/>
          <w:lang w:val="en-US"/>
        </w:rPr>
        <w:t xml:space="preserve">), 4% w/v), and carboxymethylcellulose (CMC, 1% w/v). The commercial acrylic paint was colorless, semi-gloss, and water-soluble. The paint is mainly composed of methyl methacrylate copolymer, butyl acrylate, 2-hydroxyethyl methacrylate, and acrylic acid at a weight ratio of 60:22.2:10:7.8 with an average molar weight of 15,000 to 35,000 g/mol </w:t>
      </w:r>
      <w:r>
        <w:rPr>
          <w:sz w:val="20"/>
          <w:szCs w:val="20"/>
          <w:u w:val="none"/>
          <w:rtl w:val="0"/>
          <w:lang w:val="en-US"/>
        </w:rPr>
        <w:t>[</w:t>
      </w:r>
      <w:r>
        <w:rPr>
          <w:outline w:val="0"/>
          <w:color w:val="3f6797"/>
          <w:sz w:val="20"/>
          <w:szCs w:val="20"/>
          <w:rtl w:val="0"/>
          <w:lang w:val="en-US"/>
          <w14:textFill>
            <w14:solidFill>
              <w14:srgbClr w14:val="3F6797"/>
            </w14:solidFill>
          </w14:textFill>
        </w:rPr>
        <w:t>1</w:t>
      </w:r>
      <w:r>
        <w:rPr>
          <w:sz w:val="20"/>
          <w:szCs w:val="20"/>
          <w:u w:val="none"/>
          <w:rtl w:val="0"/>
          <w:lang w:val="en-US"/>
        </w:rPr>
        <w:t>]</w:t>
      </w:r>
      <w:r>
        <w:rPr>
          <w:sz w:val="20"/>
          <w:szCs w:val="20"/>
          <w:u w:val="none"/>
          <w:rtl w:val="0"/>
          <w:lang w:val="en-US"/>
        </w:rPr>
        <w:t xml:space="preserve"> Regarding photocatalysts, which also served as pigments, TiO</w:t>
      </w:r>
      <w:r>
        <w:rPr>
          <w:sz w:val="20"/>
          <w:szCs w:val="20"/>
          <w:u w:val="none"/>
          <w:vertAlign w:val="subscript"/>
          <w:rtl w:val="0"/>
          <w:lang w:val="en-US"/>
        </w:rPr>
        <w:t>2</w:t>
      </w:r>
      <w:r>
        <w:rPr>
          <w:sz w:val="20"/>
          <w:szCs w:val="20"/>
          <w:u w:val="none"/>
          <w:rtl w:val="0"/>
          <w:lang w:val="en-US"/>
        </w:rPr>
        <w:t xml:space="preserve"> had a purity of 99.9% mm</w:t>
      </w:r>
      <w:r>
        <w:rPr>
          <w:sz w:val="20"/>
          <w:szCs w:val="20"/>
          <w:u w:val="none"/>
          <w:vertAlign w:val="superscript"/>
          <w:rtl w:val="0"/>
          <w:lang w:val="en-US"/>
        </w:rPr>
        <w:t>−</w:t>
      </w:r>
      <w:r>
        <w:rPr>
          <w:sz w:val="20"/>
          <w:szCs w:val="20"/>
          <w:u w:val="none"/>
          <w:vertAlign w:val="superscript"/>
          <w:rtl w:val="0"/>
          <w:lang w:val="en-US"/>
        </w:rPr>
        <w:t>1</w:t>
      </w:r>
      <w:r>
        <w:rPr>
          <w:sz w:val="20"/>
          <w:szCs w:val="20"/>
          <w:u w:val="none"/>
          <w:rtl w:val="0"/>
          <w:lang w:val="en-US"/>
        </w:rPr>
        <w:t xml:space="preserve"> and mixed phases (60% anatase and 40% rutile). ZnO had a purity of 99.5% mm</w:t>
      </w:r>
      <w:r>
        <w:rPr>
          <w:sz w:val="20"/>
          <w:szCs w:val="20"/>
          <w:u w:val="none"/>
          <w:vertAlign w:val="superscript"/>
          <w:rtl w:val="0"/>
          <w:lang w:val="en-US"/>
        </w:rPr>
        <w:t>−</w:t>
      </w:r>
      <w:r>
        <w:rPr>
          <w:sz w:val="20"/>
          <w:szCs w:val="20"/>
          <w:u w:val="none"/>
          <w:vertAlign w:val="superscript"/>
          <w:rtl w:val="0"/>
          <w:lang w:val="en-US"/>
        </w:rPr>
        <w:t>1</w:t>
      </w:r>
      <w:r>
        <w:rPr>
          <w:sz w:val="20"/>
          <w:szCs w:val="20"/>
          <w:u w:val="none"/>
          <w:rtl w:val="0"/>
          <w:lang w:val="en-US"/>
        </w:rPr>
        <w:t>, and the predominant phase was wurtzite (&gt;90%). The weight composition of the solid binary mixtures used in this study was as follows: (a) 1</w:t>
      </w:r>
      <w:r>
        <w:rPr>
          <w:sz w:val="20"/>
          <w:szCs w:val="20"/>
          <w:u w:val="none"/>
          <w:rtl w:val="0"/>
          <w:lang w:val="en-US"/>
        </w:rPr>
        <w:t>–</w:t>
      </w:r>
      <w:r>
        <w:rPr>
          <w:sz w:val="20"/>
          <w:szCs w:val="20"/>
          <w:u w:val="none"/>
          <w:rtl w:val="0"/>
          <w:lang w:val="en-US"/>
        </w:rPr>
        <w:t>65% ZnO and 35% TiO</w:t>
      </w:r>
      <w:r>
        <w:rPr>
          <w:sz w:val="20"/>
          <w:szCs w:val="20"/>
          <w:u w:val="none"/>
          <w:vertAlign w:val="subscript"/>
          <w:rtl w:val="0"/>
          <w:lang w:val="en-US"/>
        </w:rPr>
        <w:t>2</w:t>
      </w:r>
      <w:r>
        <w:rPr>
          <w:sz w:val="20"/>
          <w:szCs w:val="20"/>
          <w:u w:val="none"/>
          <w:rtl w:val="0"/>
          <w:lang w:val="en-US"/>
        </w:rPr>
        <w:t>, (b) 2</w:t>
      </w:r>
      <w:r>
        <w:rPr>
          <w:sz w:val="20"/>
          <w:szCs w:val="20"/>
          <w:u w:val="none"/>
          <w:rtl w:val="0"/>
          <w:lang w:val="en-US"/>
        </w:rPr>
        <w:t>–</w:t>
      </w:r>
      <w:r>
        <w:rPr>
          <w:sz w:val="20"/>
          <w:szCs w:val="20"/>
          <w:u w:val="none"/>
          <w:rtl w:val="0"/>
          <w:lang w:val="en-US"/>
        </w:rPr>
        <w:t>20% ZnO and 80% TiO</w:t>
      </w:r>
      <w:r>
        <w:rPr>
          <w:sz w:val="20"/>
          <w:szCs w:val="20"/>
          <w:u w:val="none"/>
          <w:vertAlign w:val="subscript"/>
          <w:rtl w:val="0"/>
          <w:lang w:val="en-US"/>
        </w:rPr>
        <w:t>2</w:t>
      </w:r>
      <w:r>
        <w:rPr>
          <w:sz w:val="20"/>
          <w:szCs w:val="20"/>
          <w:u w:val="none"/>
          <w:rtl w:val="0"/>
          <w:lang w:val="en-US"/>
        </w:rPr>
        <w:t>; and (c) 3</w:t>
      </w:r>
      <w:r>
        <w:rPr>
          <w:sz w:val="20"/>
          <w:szCs w:val="20"/>
          <w:u w:val="none"/>
          <w:rtl w:val="0"/>
          <w:lang w:val="en-US"/>
        </w:rPr>
        <w:t>–</w:t>
      </w:r>
      <w:r>
        <w:rPr>
          <w:sz w:val="20"/>
          <w:szCs w:val="20"/>
          <w:u w:val="none"/>
          <w:rtl w:val="0"/>
          <w:lang w:val="en-US"/>
        </w:rPr>
        <w:t>44% ZnO and 56% TiO</w:t>
      </w:r>
      <w:r>
        <w:rPr>
          <w:sz w:val="20"/>
          <w:szCs w:val="20"/>
          <w:u w:val="none"/>
          <w:vertAlign w:val="subscript"/>
          <w:rtl w:val="0"/>
          <w:lang w:val="en-US"/>
        </w:rPr>
        <w:t>2</w:t>
      </w:r>
      <w:r>
        <w:rPr>
          <w:sz w:val="20"/>
          <w:szCs w:val="20"/>
          <w:u w:val="none"/>
          <w:rtl w:val="0"/>
          <w:lang w:val="en-US"/>
        </w:rPr>
        <w:t>. The control consisted of a mixture of varnish and water, used to assess the occurrence of direct photolysis by solar radiation.</w:t>
      </w:r>
    </w:p>
    <w:p>
      <w:pPr>
        <w:pStyle w:val="Padrão A"/>
        <w:spacing w:before="0" w:line="480" w:lineRule="auto"/>
        <w:ind w:firstLine="708"/>
        <w:rPr>
          <w:lang w:val="en-US"/>
        </w:rPr>
      </w:pPr>
      <w:r>
        <w:rPr>
          <w:sz w:val="20"/>
          <w:szCs w:val="20"/>
          <w:u w:val="none"/>
          <w:rtl w:val="0"/>
          <w:lang w:val="en-US"/>
        </w:rPr>
        <w:t>Oxide mixtures were homogenized for 60 min using a basic analytical mill (IKA A11) and then suspended in water. In parallel, CMC and PAA-NH</w:t>
      </w:r>
      <w:r>
        <w:rPr>
          <w:sz w:val="20"/>
          <w:szCs w:val="20"/>
          <w:u w:val="none"/>
          <w:vertAlign w:val="subscript"/>
          <w:rtl w:val="0"/>
          <w:lang w:val="en-US"/>
        </w:rPr>
        <w:t>4</w:t>
      </w:r>
      <w:r>
        <w:rPr>
          <w:sz w:val="20"/>
          <w:szCs w:val="20"/>
          <w:u w:val="none"/>
          <w:rtl w:val="0"/>
          <w:lang w:val="en-US"/>
        </w:rPr>
        <w:t xml:space="preserve"> were solubilized in deionized water. Subsequently, the solution was mixed with the paint using a mechanical agitator simultaneously with ultrasound. Mixtures were stirred for 15 min for homogenization.</w:t>
      </w:r>
    </w:p>
    <w:p>
      <w:pPr>
        <w:pStyle w:val="Padrão A"/>
        <w:spacing w:before="0" w:line="480" w:lineRule="auto"/>
        <w:rPr>
          <w:lang w:val="en-US"/>
        </w:rPr>
      </w:pPr>
      <w:r>
        <w:rPr>
          <w:sz w:val="20"/>
          <w:szCs w:val="20"/>
          <w:u w:val="none"/>
          <w:lang w:val="en-US"/>
        </w:rPr>
        <w:tab/>
      </w:r>
      <w:r>
        <w:rPr>
          <w:outline w:val="0"/>
          <w:color w:val="800080"/>
          <w:sz w:val="20"/>
          <w:szCs w:val="20"/>
          <w:u w:val="none" w:color="800080"/>
          <w:rtl w:val="0"/>
          <w:lang w:val="en-US"/>
          <w14:textFill>
            <w14:solidFill>
              <w14:srgbClr w14:val="800080"/>
            </w14:solidFill>
          </w14:textFill>
        </w:rPr>
        <w:t>Fig. S1</w:t>
      </w:r>
      <w:r>
        <w:rPr>
          <w:sz w:val="20"/>
          <w:szCs w:val="20"/>
          <w:u w:val="none"/>
          <w:rtl w:val="0"/>
          <w:lang w:val="en-US"/>
        </w:rPr>
        <w:t xml:space="preserve"> shows the structure assembled for the painting of plates. In this step, a spray gun (DeVilbiss JGA-503), a dual air filter regulator (DeVilbiss FRC-600), and an air compressor (SCHULZ Classic, mobile MSL) were used.</w:t>
      </w:r>
    </w:p>
    <w:p>
      <w:pPr>
        <w:pStyle w:val="Padrão A"/>
        <w:spacing w:before="0" w:line="480" w:lineRule="auto"/>
        <w:rPr>
          <w:sz w:val="20"/>
          <w:szCs w:val="20"/>
          <w:u w:val="none"/>
          <w:lang w:val="en-US"/>
        </w:rPr>
      </w:pPr>
    </w:p>
    <w:tbl>
      <w:tblPr>
        <w:tblW w:w="8478" w:type="dxa"/>
        <w:jc w:val="left"/>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8478"/>
      </w:tblGrid>
      <w:tr>
        <w:tblPrEx>
          <w:shd w:val="clear" w:color="auto" w:fill="ced7e7"/>
        </w:tblPrEx>
        <w:trPr>
          <w:trHeight w:val="3331" w:hRule="atLeast"/>
        </w:trPr>
        <w:tc>
          <w:tcPr>
            <w:tcW w:type="dxa" w:w="847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Corpo"/>
              <w:widowControl w:val="0"/>
              <w:suppressAutoHyphens w:val="1"/>
              <w:spacing w:after="160" w:line="480" w:lineRule="auto"/>
              <w:outlineLvl w:val="0"/>
            </w:pPr>
            <w:r>
              <w:rPr>
                <w:sz w:val="20"/>
                <w:szCs w:val="20"/>
                <w:shd w:val="nil" w:color="auto" w:fill="auto"/>
              </w:rPr>
              <w:drawing xmlns:a="http://schemas.openxmlformats.org/drawingml/2006/main">
                <wp:inline distT="0" distB="0" distL="0" distR="0">
                  <wp:extent cx="5269230" cy="2075180"/>
                  <wp:effectExtent l="0" t="0" r="0" b="0"/>
                  <wp:docPr id="1073741825" name="officeArt object" descr="Imagem"/>
                  <wp:cNvGraphicFramePr/>
                  <a:graphic xmlns:a="http://schemas.openxmlformats.org/drawingml/2006/main">
                    <a:graphicData uri="http://schemas.openxmlformats.org/drawingml/2006/picture">
                      <pic:pic xmlns:pic="http://schemas.openxmlformats.org/drawingml/2006/picture">
                        <pic:nvPicPr>
                          <pic:cNvPr id="1073741825" name="Imagem" descr="Imagem"/>
                          <pic:cNvPicPr>
                            <a:picLocks noChangeAspect="1"/>
                          </pic:cNvPicPr>
                        </pic:nvPicPr>
                        <pic:blipFill>
                          <a:blip r:embed="rId4">
                            <a:extLst/>
                          </a:blip>
                          <a:stretch>
                            <a:fillRect/>
                          </a:stretch>
                        </pic:blipFill>
                        <pic:spPr>
                          <a:xfrm>
                            <a:off x="0" y="0"/>
                            <a:ext cx="5269230" cy="2075180"/>
                          </a:xfrm>
                          <a:prstGeom prst="rect">
                            <a:avLst/>
                          </a:prstGeom>
                          <a:ln w="12700" cap="flat">
                            <a:noFill/>
                            <a:miter lim="400000"/>
                          </a:ln>
                          <a:effectLst/>
                        </pic:spPr>
                      </pic:pic>
                    </a:graphicData>
                  </a:graphic>
                </wp:inline>
              </w:drawing>
            </w:r>
          </w:p>
        </w:tc>
      </w:tr>
    </w:tbl>
    <w:p>
      <w:pPr>
        <w:pStyle w:val="Padrão A"/>
        <w:widowControl w:val="0"/>
        <w:spacing w:before="0" w:line="240" w:lineRule="auto"/>
        <w:ind w:left="324" w:hanging="324"/>
        <w:rPr>
          <w:sz w:val="20"/>
          <w:szCs w:val="20"/>
          <w:u w:val="none"/>
          <w:lang w:val="en-US"/>
        </w:rPr>
      </w:pPr>
    </w:p>
    <w:p>
      <w:pPr>
        <w:pStyle w:val="Padrão A"/>
        <w:spacing w:before="0" w:line="480" w:lineRule="auto"/>
        <w:rPr>
          <w:lang w:val="en-US"/>
        </w:rPr>
      </w:pPr>
      <w:r>
        <w:rPr>
          <w:b w:val="1"/>
          <w:bCs w:val="1"/>
          <w:sz w:val="20"/>
          <w:szCs w:val="20"/>
          <w:u w:val="none"/>
          <w:rtl w:val="0"/>
          <w:lang w:val="en-US"/>
        </w:rPr>
        <w:t>Fig. S1</w:t>
      </w:r>
      <w:r>
        <w:rPr>
          <w:sz w:val="20"/>
          <w:szCs w:val="20"/>
          <w:u w:val="none"/>
          <w:rtl w:val="0"/>
          <w:lang w:val="en-US"/>
        </w:rPr>
        <w:t xml:space="preserve"> Paint Lab assembled for the present study. (</w:t>
      </w:r>
      <w:r>
        <w:rPr>
          <w:b w:val="1"/>
          <w:bCs w:val="1"/>
          <w:sz w:val="20"/>
          <w:szCs w:val="20"/>
          <w:u w:val="none"/>
          <w:rtl w:val="0"/>
          <w:lang w:val="en-US"/>
        </w:rPr>
        <w:t>a</w:t>
      </w:r>
      <w:r>
        <w:rPr>
          <w:sz w:val="20"/>
          <w:szCs w:val="20"/>
          <w:u w:val="none"/>
          <w:rtl w:val="0"/>
          <w:lang w:val="en-US"/>
        </w:rPr>
        <w:t>) Painting system consisting of a (A) sample holder, (B) mobile car with a spray gun, and (C) fixed structure. (</w:t>
      </w:r>
      <w:r>
        <w:rPr>
          <w:b w:val="1"/>
          <w:bCs w:val="1"/>
          <w:sz w:val="20"/>
          <w:szCs w:val="20"/>
          <w:u w:val="none"/>
          <w:rtl w:val="0"/>
          <w:lang w:val="en-US"/>
        </w:rPr>
        <w:t>b</w:t>
      </w:r>
      <w:r>
        <w:rPr>
          <w:sz w:val="20"/>
          <w:szCs w:val="20"/>
          <w:u w:val="none"/>
          <w:rtl w:val="0"/>
          <w:lang w:val="en-US"/>
        </w:rPr>
        <w:t xml:space="preserve">) Front view of the sample holder with a 750 </w:t>
      </w:r>
      <w:r>
        <w:rPr>
          <w:sz w:val="20"/>
          <w:szCs w:val="20"/>
          <w:u w:val="none"/>
          <w:rtl w:val="0"/>
          <w:lang w:val="en-US"/>
        </w:rPr>
        <w:t xml:space="preserve">× </w:t>
      </w:r>
      <w:r>
        <w:rPr>
          <w:sz w:val="20"/>
          <w:szCs w:val="20"/>
          <w:u w:val="none"/>
          <w:rtl w:val="0"/>
          <w:lang w:val="en-US"/>
        </w:rPr>
        <w:t xml:space="preserve">250 </w:t>
      </w:r>
      <w:r>
        <w:rPr>
          <w:sz w:val="20"/>
          <w:szCs w:val="20"/>
          <w:u w:val="none"/>
          <w:rtl w:val="0"/>
          <w:lang w:val="en-US"/>
        </w:rPr>
        <w:t xml:space="preserve">× </w:t>
      </w:r>
      <w:r>
        <w:rPr>
          <w:sz w:val="20"/>
          <w:szCs w:val="20"/>
          <w:u w:val="none"/>
          <w:rtl w:val="0"/>
          <w:lang w:val="en-US"/>
        </w:rPr>
        <w:t>0.5 mm galvanized steel plate and six height adjustments. (</w:t>
      </w:r>
      <w:r>
        <w:rPr>
          <w:b w:val="1"/>
          <w:bCs w:val="1"/>
          <w:sz w:val="20"/>
          <w:szCs w:val="20"/>
          <w:u w:val="none"/>
          <w:rtl w:val="0"/>
          <w:lang w:val="en-US"/>
        </w:rPr>
        <w:t>c</w:t>
      </w:r>
      <w:r>
        <w:rPr>
          <w:sz w:val="20"/>
          <w:szCs w:val="20"/>
          <w:u w:val="none"/>
          <w:rtl w:val="0"/>
          <w:lang w:val="en-US"/>
        </w:rPr>
        <w:t>) Side view of the sample holder with the six height adjustments and reference line.</w:t>
      </w:r>
    </w:p>
    <w:p>
      <w:pPr>
        <w:pStyle w:val="Padrão A"/>
        <w:spacing w:before="0" w:line="480" w:lineRule="auto"/>
        <w:ind w:firstLine="708"/>
        <w:rPr>
          <w:outline w:val="0"/>
          <w:color w:val="800080"/>
          <w:sz w:val="20"/>
          <w:szCs w:val="20"/>
          <w:u w:val="none" w:color="800080"/>
          <w:lang w:val="en-US"/>
          <w14:textFill>
            <w14:solidFill>
              <w14:srgbClr w14:val="800080"/>
            </w14:solidFill>
          </w14:textFill>
        </w:rPr>
      </w:pPr>
    </w:p>
    <w:p>
      <w:pPr>
        <w:pStyle w:val="Padrão A"/>
        <w:spacing w:before="0" w:line="480" w:lineRule="auto"/>
        <w:ind w:firstLine="708"/>
        <w:rPr>
          <w:lang w:val="en-US"/>
        </w:rPr>
      </w:pPr>
      <w:r>
        <w:rPr>
          <w:outline w:val="0"/>
          <w:color w:val="800080"/>
          <w:sz w:val="20"/>
          <w:szCs w:val="20"/>
          <w:u w:val="none" w:color="800080"/>
          <w:rtl w:val="0"/>
          <w:lang w:val="en-US"/>
          <w14:textFill>
            <w14:solidFill>
              <w14:srgbClr w14:val="800080"/>
            </w14:solidFill>
          </w14:textFill>
        </w:rPr>
        <w:t>Figs. S1</w:t>
      </w:r>
      <w:r>
        <w:rPr>
          <w:sz w:val="20"/>
          <w:szCs w:val="20"/>
          <w:u w:val="none"/>
          <w:rtl w:val="0"/>
          <w:lang w:val="en-US"/>
        </w:rPr>
        <w:t xml:space="preserve">b and </w:t>
      </w:r>
      <w:r>
        <w:rPr>
          <w:outline w:val="0"/>
          <w:color w:val="800080"/>
          <w:sz w:val="20"/>
          <w:szCs w:val="20"/>
          <w:u w:val="none" w:color="800080"/>
          <w:rtl w:val="0"/>
          <w:lang w:val="en-US"/>
          <w14:textFill>
            <w14:solidFill>
              <w14:srgbClr w14:val="800080"/>
            </w14:solidFill>
          </w14:textFill>
        </w:rPr>
        <w:t>S1</w:t>
      </w:r>
      <w:r>
        <w:rPr>
          <w:sz w:val="20"/>
          <w:szCs w:val="20"/>
          <w:u w:val="none"/>
          <w:rtl w:val="0"/>
          <w:lang w:val="en-US"/>
        </w:rPr>
        <w:t xml:space="preserve">c show the six height adjustment points of the sample holder, equally spaced at 5 cm. The adjustments are placed in such a manner to allow for overlay painting. Position number 1 consists of a solid metal bracket measuring 2.5 cm in height, resulting in a total distance of 25 cm between the upper end of the metal plate and the reference line (marked in blue in </w:t>
      </w:r>
      <w:r>
        <w:rPr>
          <w:outline w:val="0"/>
          <w:color w:val="800080"/>
          <w:sz w:val="20"/>
          <w:szCs w:val="20"/>
          <w:u w:val="none" w:color="800080"/>
          <w:rtl w:val="0"/>
          <w:lang w:val="en-US"/>
          <w14:textFill>
            <w14:solidFill>
              <w14:srgbClr w14:val="800080"/>
            </w14:solidFill>
          </w14:textFill>
        </w:rPr>
        <w:t>Fig. S1</w:t>
      </w:r>
      <w:r>
        <w:rPr>
          <w:sz w:val="20"/>
          <w:szCs w:val="20"/>
          <w:u w:val="none"/>
          <w:rtl w:val="0"/>
          <w:lang w:val="en-US"/>
        </w:rPr>
        <w:t>c). By removal of the solid metal support at position 1, position 2 is achieved. Position 3 is achieved by removing the support at position 2 and position 4 is achieved by removing the support at position 3. Position 5 is achieved by positioning the lower end of the plate at height 5, and position 6 is achieved by positioning the lower end of the plate at height 6.</w:t>
      </w:r>
    </w:p>
    <w:p>
      <w:pPr>
        <w:pStyle w:val="Padrão A"/>
        <w:spacing w:before="0" w:line="480" w:lineRule="auto"/>
        <w:ind w:firstLine="708"/>
        <w:rPr>
          <w:lang w:val="en-US"/>
        </w:rPr>
      </w:pPr>
      <w:r>
        <w:rPr>
          <w:sz w:val="20"/>
          <w:szCs w:val="20"/>
          <w:u w:val="none"/>
          <w:rtl w:val="0"/>
          <w:lang w:val="en-US"/>
        </w:rPr>
        <w:t xml:space="preserve">The distance between the reference line and the gun nozzle was 20 cm. Suspensions were applied by horizontal spraying on four different galvanized steel plates measuring 750 </w:t>
      </w:r>
      <w:r>
        <w:rPr>
          <w:sz w:val="20"/>
          <w:szCs w:val="20"/>
          <w:u w:val="none"/>
          <w:rtl w:val="0"/>
          <w:lang w:val="en-US"/>
        </w:rPr>
        <w:t xml:space="preserve">× </w:t>
      </w:r>
      <w:r>
        <w:rPr>
          <w:sz w:val="20"/>
          <w:szCs w:val="20"/>
          <w:u w:val="none"/>
          <w:rtl w:val="0"/>
          <w:lang w:val="en-US"/>
        </w:rPr>
        <w:t xml:space="preserve">250 </w:t>
      </w:r>
      <w:r>
        <w:rPr>
          <w:sz w:val="20"/>
          <w:szCs w:val="20"/>
          <w:u w:val="none"/>
          <w:rtl w:val="0"/>
          <w:lang w:val="en-US"/>
        </w:rPr>
        <w:t xml:space="preserve">× </w:t>
      </w:r>
      <w:r>
        <w:rPr>
          <w:sz w:val="20"/>
          <w:szCs w:val="20"/>
          <w:u w:val="none"/>
          <w:rtl w:val="0"/>
          <w:lang w:val="en-US"/>
        </w:rPr>
        <w:t>0.5 mm (</w:t>
      </w:r>
      <w:r>
        <w:rPr>
          <w:outline w:val="0"/>
          <w:color w:val="800080"/>
          <w:sz w:val="20"/>
          <w:szCs w:val="20"/>
          <w:u w:val="none" w:color="800080"/>
          <w:rtl w:val="0"/>
          <w:lang w:val="en-US"/>
          <w14:textFill>
            <w14:solidFill>
              <w14:srgbClr w14:val="800080"/>
            </w14:solidFill>
          </w14:textFill>
        </w:rPr>
        <w:t>Fig. S1</w:t>
      </w:r>
      <w:r>
        <w:rPr>
          <w:sz w:val="20"/>
          <w:szCs w:val="20"/>
          <w:u w:val="none"/>
          <w:rtl w:val="0"/>
          <w:lang w:val="en-US"/>
        </w:rPr>
        <w:t>b). The vertical fan of the spray gun was adjusted to a 5.0 cm height. Application of the first stroke of the first coating would involve the following steps: (i) adjust the galvanized steel plate to height position 1, (ii) securely attach the paint sprayer to the sliding track (placed at 90</w:t>
      </w:r>
      <w:r>
        <w:rPr>
          <w:sz w:val="20"/>
          <w:szCs w:val="20"/>
          <w:u w:val="none"/>
          <w:rtl w:val="0"/>
          <w:lang w:val="en-US"/>
        </w:rPr>
        <w:t xml:space="preserve">° </w:t>
      </w:r>
      <w:r>
        <w:rPr>
          <w:sz w:val="20"/>
          <w:szCs w:val="20"/>
          <w:u w:val="none"/>
          <w:rtl w:val="0"/>
          <w:lang w:val="en-US"/>
        </w:rPr>
        <w:t>to the plate); (iii) bring the sliding track to the left side (beginning) of the fixed structure; and (iv) move the sliding track to the right side, covering a distance of 750 mm in 4.0 s at constant speed with the trigger pulled to the desired pressure. After this procedure, the galvanized steel plate is set to height position 2, and the second stroke is applied in the opposite direction (from right to left). Each coating consisted of six strokes.</w:t>
      </w:r>
    </w:p>
    <w:p>
      <w:pPr>
        <w:pStyle w:val="Padrão A"/>
        <w:spacing w:before="0" w:line="480" w:lineRule="auto"/>
        <w:ind w:firstLine="708"/>
        <w:rPr>
          <w:lang w:val="en-US"/>
        </w:rPr>
      </w:pPr>
      <w:r>
        <w:rPr>
          <w:outline w:val="0"/>
          <w:color w:val="800080"/>
          <w:sz w:val="20"/>
          <w:szCs w:val="20"/>
          <w:u w:val="none" w:color="800080"/>
          <w:rtl w:val="0"/>
          <w:lang w:val="en-US"/>
          <w14:textFill>
            <w14:solidFill>
              <w14:srgbClr w14:val="800080"/>
            </w14:solidFill>
          </w14:textFill>
        </w:rPr>
        <w:t>Fig. S2</w:t>
      </w:r>
      <w:r>
        <w:rPr>
          <w:sz w:val="20"/>
          <w:szCs w:val="20"/>
          <w:u w:val="none"/>
          <w:rtl w:val="0"/>
          <w:lang w:val="en-US"/>
        </w:rPr>
        <w:t xml:space="preserve"> shows the six preset positions of the spray gun along the galvanized steel plate and the direction of each stroke. The figure also highlights the area covered by stroke 2. Note that each stroke overlaps 50% of the area covered by the previous stroke. Nine coatings of suspension were applied per sample. The first coating was semi-wet and applied at 40 psi. This procedure ensured the deposition of a uniform coating without coalescence of droplets. The remaining eight coatings were wet and applied at 20 psi, forming a continuous, uniform film of coalescent droplets. At the end of the procedure, thickness was measured using a Mitutoyo digital micrometer. Films had a mean thickness of 600 </w:t>
      </w:r>
      <w:r>
        <w:rPr>
          <w:sz w:val="20"/>
          <w:szCs w:val="20"/>
          <w:u w:val="none"/>
          <w:rtl w:val="0"/>
          <w:lang w:val="en-US"/>
        </w:rPr>
        <w:t xml:space="preserve">± </w:t>
      </w:r>
      <w:r>
        <w:rPr>
          <w:sz w:val="20"/>
          <w:szCs w:val="20"/>
          <w:u w:val="none"/>
          <w:rtl w:val="0"/>
          <w:lang w:val="en-US"/>
        </w:rPr>
        <w:t xml:space="preserve">80 </w:t>
      </w:r>
      <w:r>
        <w:rPr>
          <w:sz w:val="20"/>
          <w:szCs w:val="20"/>
          <w:u w:val="none"/>
          <w:rtl w:val="0"/>
          <w:lang w:val="en-US"/>
        </w:rPr>
        <w:t>µ</w:t>
      </w:r>
      <w:r>
        <w:rPr>
          <w:sz w:val="20"/>
          <w:szCs w:val="20"/>
          <w:u w:val="none"/>
          <w:rtl w:val="0"/>
          <w:lang w:val="en-US"/>
        </w:rPr>
        <w:t>m.</w:t>
      </w:r>
    </w:p>
    <w:p>
      <w:pPr>
        <w:pStyle w:val="Padrão A"/>
        <w:spacing w:before="0" w:line="480" w:lineRule="auto"/>
        <w:rPr>
          <w:sz w:val="20"/>
          <w:szCs w:val="20"/>
          <w:u w:val="none"/>
          <w:lang w:val="en-US"/>
        </w:rPr>
      </w:pPr>
    </w:p>
    <w:tbl>
      <w:tblPr>
        <w:tblW w:w="7360" w:type="dxa"/>
        <w:jc w:val="left"/>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360"/>
      </w:tblGrid>
      <w:tr>
        <w:tblPrEx>
          <w:shd w:val="clear" w:color="auto" w:fill="ced7e7"/>
        </w:tblPrEx>
        <w:trPr>
          <w:trHeight w:val="5768" w:hRule="atLeast"/>
        </w:trPr>
        <w:tc>
          <w:tcPr>
            <w:tcW w:type="dxa" w:w="7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Corpo A"/>
              <w:widowControl w:val="0"/>
              <w:suppressAutoHyphens w:val="1"/>
              <w:outlineLvl w:val="0"/>
            </w:pPr>
            <w:r>
              <w:rPr>
                <w:sz w:val="20"/>
                <w:szCs w:val="20"/>
                <w:shd w:val="nil" w:color="auto" w:fill="auto"/>
              </w:rPr>
              <w:drawing xmlns:a="http://schemas.openxmlformats.org/drawingml/2006/main">
                <wp:inline distT="0" distB="0" distL="0" distR="0">
                  <wp:extent cx="4559300" cy="3622675"/>
                  <wp:effectExtent l="0" t="0" r="0" b="0"/>
                  <wp:docPr id="1073741826" name="officeArt object" descr="Imagem"/>
                  <wp:cNvGraphicFramePr/>
                  <a:graphic xmlns:a="http://schemas.openxmlformats.org/drawingml/2006/main">
                    <a:graphicData uri="http://schemas.openxmlformats.org/drawingml/2006/picture">
                      <pic:pic xmlns:pic="http://schemas.openxmlformats.org/drawingml/2006/picture">
                        <pic:nvPicPr>
                          <pic:cNvPr id="1073741826" name="Imagem" descr="Imagem"/>
                          <pic:cNvPicPr>
                            <a:picLocks noChangeAspect="1"/>
                          </pic:cNvPicPr>
                        </pic:nvPicPr>
                        <pic:blipFill>
                          <a:blip r:embed="rId5">
                            <a:extLst/>
                          </a:blip>
                          <a:stretch>
                            <a:fillRect/>
                          </a:stretch>
                        </pic:blipFill>
                        <pic:spPr>
                          <a:xfrm>
                            <a:off x="0" y="0"/>
                            <a:ext cx="4559300" cy="3622675"/>
                          </a:xfrm>
                          <a:prstGeom prst="rect">
                            <a:avLst/>
                          </a:prstGeom>
                          <a:ln w="12700" cap="flat">
                            <a:noFill/>
                            <a:miter lim="400000"/>
                          </a:ln>
                          <a:effectLst/>
                        </pic:spPr>
                      </pic:pic>
                    </a:graphicData>
                  </a:graphic>
                </wp:inline>
              </w:drawing>
            </w:r>
          </w:p>
        </w:tc>
      </w:tr>
    </w:tbl>
    <w:p>
      <w:pPr>
        <w:pStyle w:val="Padrão A"/>
        <w:widowControl w:val="0"/>
        <w:spacing w:before="0" w:line="240" w:lineRule="auto"/>
        <w:ind w:left="216" w:hanging="216"/>
        <w:rPr>
          <w:sz w:val="20"/>
          <w:szCs w:val="20"/>
          <w:u w:val="none"/>
          <w:lang w:val="en-US"/>
        </w:rPr>
      </w:pPr>
    </w:p>
    <w:p>
      <w:pPr>
        <w:pStyle w:val="Padrão A"/>
        <w:spacing w:before="0" w:line="480" w:lineRule="auto"/>
      </w:pPr>
      <w:r>
        <w:rPr>
          <w:b w:val="1"/>
          <w:bCs w:val="1"/>
          <w:sz w:val="20"/>
          <w:szCs w:val="20"/>
          <w:u w:val="none"/>
          <w:rtl w:val="0"/>
          <w:lang w:val="en-US"/>
        </w:rPr>
        <w:t>Fig</w:t>
      </w:r>
      <w:r>
        <w:rPr>
          <w:b w:val="1"/>
          <w:bCs w:val="1"/>
          <w:sz w:val="20"/>
          <w:szCs w:val="20"/>
          <w:u w:val="none"/>
          <w:rtl w:val="0"/>
          <w:lang w:val="pt-PT"/>
        </w:rPr>
        <w:t>.</w:t>
      </w:r>
      <w:r>
        <w:rPr>
          <w:b w:val="1"/>
          <w:bCs w:val="1"/>
          <w:sz w:val="20"/>
          <w:szCs w:val="20"/>
          <w:u w:val="none"/>
          <w:rtl w:val="0"/>
          <w:lang w:val="en-US"/>
        </w:rPr>
        <w:t xml:space="preserve"> S2</w:t>
      </w:r>
      <w:r>
        <w:rPr>
          <w:sz w:val="20"/>
          <w:szCs w:val="20"/>
          <w:u w:val="none"/>
          <w:rtl w:val="0"/>
          <w:lang w:val="en-US"/>
        </w:rPr>
        <w:t xml:space="preserve"> Schematic (not to scale) showing the horizontal motion of the spray gun along the galvanized steel plate at heights 1 to 6 to complete a coating.</w:t>
      </w:r>
    </w:p>
    <w:p>
      <w:pPr>
        <w:pStyle w:val="Padrão A"/>
        <w:spacing w:before="0" w:line="480" w:lineRule="auto"/>
        <w:rPr>
          <w:sz w:val="20"/>
          <w:szCs w:val="20"/>
          <w:u w:val="none"/>
          <w:lang w:val="en-US"/>
        </w:rPr>
      </w:pPr>
    </w:p>
    <w:p>
      <w:pPr>
        <w:pStyle w:val="Padrão A"/>
        <w:spacing w:before="0" w:line="480" w:lineRule="auto"/>
        <w:rPr>
          <w:b w:val="1"/>
          <w:bCs w:val="1"/>
          <w:sz w:val="20"/>
          <w:szCs w:val="20"/>
          <w:u w:val="none"/>
          <w:lang w:val="en-US"/>
        </w:rPr>
      </w:pPr>
      <w:r>
        <w:rPr>
          <w:b w:val="1"/>
          <w:bCs w:val="1"/>
          <w:sz w:val="20"/>
          <w:szCs w:val="20"/>
          <w:u w:val="none"/>
          <w:rtl w:val="0"/>
          <w:lang w:val="en-US"/>
        </w:rPr>
        <w:t>Photocatalytic degradation assay</w:t>
      </w:r>
    </w:p>
    <w:p>
      <w:pPr>
        <w:pStyle w:val="Padrão A"/>
        <w:spacing w:before="0" w:line="480" w:lineRule="auto"/>
        <w:ind w:firstLine="708"/>
        <w:rPr>
          <w:b w:val="1"/>
          <w:bCs w:val="1"/>
          <w:sz w:val="20"/>
          <w:szCs w:val="20"/>
          <w:u w:val="none"/>
          <w:lang w:val="en-US"/>
        </w:rPr>
      </w:pPr>
    </w:p>
    <w:p>
      <w:pPr>
        <w:pStyle w:val="Padrão A"/>
        <w:spacing w:before="0" w:line="480" w:lineRule="auto"/>
        <w:ind w:firstLine="708"/>
        <w:rPr>
          <w:sz w:val="20"/>
          <w:szCs w:val="20"/>
          <w:u w:val="none"/>
          <w:lang w:val="en-US"/>
        </w:rPr>
      </w:pPr>
      <w:r>
        <w:rPr>
          <w:sz w:val="20"/>
          <w:szCs w:val="20"/>
          <w:u w:val="none"/>
          <w:rtl w:val="0"/>
          <w:lang w:val="en-US"/>
        </w:rPr>
        <w:t>Leachate was collected from the municipal landfill of Cachoeira Paulista, S</w:t>
      </w:r>
      <w:r>
        <w:rPr>
          <w:sz w:val="20"/>
          <w:szCs w:val="20"/>
          <w:u w:val="none"/>
          <w:rtl w:val="0"/>
          <w:lang w:val="en-US"/>
        </w:rPr>
        <w:t>ã</w:t>
      </w:r>
      <w:r>
        <w:rPr>
          <w:sz w:val="20"/>
          <w:szCs w:val="20"/>
          <w:u w:val="none"/>
          <w:rtl w:val="0"/>
          <w:lang w:val="en-US"/>
        </w:rPr>
        <w:t>o Paulo State, Brazil (22</w:t>
      </w:r>
      <w:r>
        <w:rPr>
          <w:sz w:val="20"/>
          <w:szCs w:val="20"/>
          <w:u w:val="none"/>
          <w:rtl w:val="0"/>
          <w:lang w:val="en-US"/>
        </w:rPr>
        <w:t>°</w:t>
      </w:r>
      <w:r>
        <w:rPr>
          <w:sz w:val="20"/>
          <w:szCs w:val="20"/>
          <w:u w:val="none"/>
          <w:rtl w:val="0"/>
          <w:lang w:val="en-US"/>
        </w:rPr>
        <w:t>39</w:t>
      </w:r>
      <w:r>
        <w:rPr>
          <w:sz w:val="20"/>
          <w:szCs w:val="20"/>
          <w:u w:val="none"/>
          <w:rtl w:val="0"/>
          <w:lang w:val="en-US"/>
        </w:rPr>
        <w:t>′</w:t>
      </w:r>
      <w:r>
        <w:rPr>
          <w:sz w:val="20"/>
          <w:szCs w:val="20"/>
          <w:u w:val="none"/>
          <w:rtl w:val="0"/>
          <w:lang w:val="en-US"/>
        </w:rPr>
        <w:t>4</w:t>
      </w:r>
      <w:r>
        <w:rPr>
          <w:sz w:val="20"/>
          <w:szCs w:val="20"/>
          <w:u w:val="none"/>
          <w:rtl w:val="0"/>
          <w:lang w:val="en-US"/>
        </w:rPr>
        <w:t>″</w:t>
      </w:r>
      <w:r>
        <w:rPr>
          <w:sz w:val="20"/>
          <w:szCs w:val="20"/>
          <w:u w:val="none"/>
          <w:rtl w:val="0"/>
          <w:lang w:val="en-US"/>
        </w:rPr>
        <w:t>S 45</w:t>
      </w:r>
      <w:r>
        <w:rPr>
          <w:sz w:val="20"/>
          <w:szCs w:val="20"/>
          <w:u w:val="none"/>
          <w:rtl w:val="0"/>
          <w:lang w:val="en-US"/>
        </w:rPr>
        <w:t>°</w:t>
      </w:r>
      <w:r>
        <w:rPr>
          <w:sz w:val="20"/>
          <w:szCs w:val="20"/>
          <w:u w:val="none"/>
          <w:rtl w:val="0"/>
          <w:lang w:val="en-US"/>
        </w:rPr>
        <w:t>3</w:t>
      </w:r>
      <w:r>
        <w:rPr>
          <w:sz w:val="20"/>
          <w:szCs w:val="20"/>
          <w:u w:val="none"/>
          <w:rtl w:val="0"/>
          <w:lang w:val="en-US"/>
        </w:rPr>
        <w:t>′</w:t>
      </w:r>
      <w:r>
        <w:rPr>
          <w:sz w:val="20"/>
          <w:szCs w:val="20"/>
          <w:u w:val="none"/>
          <w:rtl w:val="0"/>
          <w:lang w:val="en-US"/>
        </w:rPr>
        <w:t>18</w:t>
      </w:r>
      <w:r>
        <w:rPr>
          <w:sz w:val="20"/>
          <w:szCs w:val="20"/>
          <w:u w:val="none"/>
          <w:rtl w:val="0"/>
          <w:lang w:val="en-US"/>
        </w:rPr>
        <w:t>″</w:t>
      </w:r>
      <w:r>
        <w:rPr>
          <w:sz w:val="20"/>
          <w:szCs w:val="20"/>
          <w:u w:val="none"/>
          <w:rtl w:val="0"/>
          <w:lang w:val="en-US"/>
        </w:rPr>
        <w:t xml:space="preserve">W). After collection, the sample (100 L) was homogenized by mechanical stirring and stored in a cold room at 4 </w:t>
      </w:r>
      <w:r>
        <w:rPr>
          <w:sz w:val="20"/>
          <w:szCs w:val="20"/>
          <w:u w:val="none"/>
          <w:rtl w:val="0"/>
          <w:lang w:val="en-US"/>
        </w:rPr>
        <w:t>°</w:t>
      </w:r>
      <w:r>
        <w:rPr>
          <w:sz w:val="20"/>
          <w:szCs w:val="20"/>
          <w:u w:val="none"/>
          <w:rtl w:val="0"/>
          <w:lang w:val="en-US"/>
        </w:rPr>
        <w:t>C until use.</w:t>
      </w:r>
    </w:p>
    <w:p>
      <w:pPr>
        <w:pStyle w:val="Padrão A"/>
        <w:spacing w:before="0" w:line="480" w:lineRule="auto"/>
        <w:ind w:firstLine="708"/>
        <w:rPr>
          <w:lang w:val="en-US"/>
        </w:rPr>
      </w:pPr>
      <w:r>
        <w:rPr>
          <w:sz w:val="20"/>
          <w:szCs w:val="20"/>
          <w:u w:val="none"/>
          <w:rtl w:val="0"/>
          <w:lang w:val="en-US"/>
        </w:rPr>
        <w:t>Photocatalytic tests were performed on bench-scale thin-film fixed-bed reactors operated in continuous recirculation mode under solar irradiation. Reactors were positioned in the direction of the Equator at an inclination angle of 23</w:t>
      </w:r>
      <w:r>
        <w:rPr>
          <w:sz w:val="20"/>
          <w:szCs w:val="20"/>
          <w:u w:val="none"/>
          <w:rtl w:val="0"/>
          <w:lang w:val="en-US"/>
        </w:rPr>
        <w:t xml:space="preserve">° </w:t>
      </w:r>
      <w:r>
        <w:rPr>
          <w:sz w:val="20"/>
          <w:szCs w:val="20"/>
          <w:u w:val="none"/>
          <w:rtl w:val="0"/>
          <w:lang w:val="en-US"/>
        </w:rPr>
        <w:t>(</w:t>
      </w:r>
      <w:r>
        <w:rPr>
          <w:outline w:val="0"/>
          <w:color w:val="800080"/>
          <w:sz w:val="20"/>
          <w:szCs w:val="20"/>
          <w:u w:val="none" w:color="800080"/>
          <w:rtl w:val="0"/>
          <w:lang w:val="en-US"/>
          <w14:textFill>
            <w14:solidFill>
              <w14:srgbClr w14:val="800080"/>
            </w14:solidFill>
          </w14:textFill>
        </w:rPr>
        <w:t>Fig. S3</w:t>
      </w:r>
      <w:r>
        <w:rPr>
          <w:sz w:val="20"/>
          <w:szCs w:val="20"/>
          <w:u w:val="none"/>
          <w:rtl w:val="0"/>
          <w:lang w:val="en-US"/>
        </w:rPr>
        <w:t xml:space="preserve">). </w:t>
      </w:r>
    </w:p>
    <w:p>
      <w:pPr>
        <w:pStyle w:val="Padrão A"/>
        <w:spacing w:before="0" w:line="480" w:lineRule="auto"/>
        <w:rPr>
          <w:sz w:val="20"/>
          <w:szCs w:val="20"/>
          <w:u w:val="none"/>
          <w:lang w:val="en-US"/>
        </w:rPr>
      </w:pPr>
    </w:p>
    <w:tbl>
      <w:tblPr>
        <w:tblW w:w="5397" w:type="dxa"/>
        <w:jc w:val="left"/>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397"/>
      </w:tblGrid>
      <w:tr>
        <w:tblPrEx>
          <w:shd w:val="clear" w:color="auto" w:fill="ced7e7"/>
        </w:tblPrEx>
        <w:trPr>
          <w:trHeight w:val="7278" w:hRule="atLeast"/>
        </w:trPr>
        <w:tc>
          <w:tcPr>
            <w:tcW w:type="dxa" w:w="539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Corpo"/>
              <w:widowControl w:val="0"/>
              <w:tabs>
                <w:tab w:val="left" w:pos="720"/>
                <w:tab w:val="left" w:pos="1440"/>
                <w:tab w:val="left" w:pos="2160"/>
                <w:tab w:val="left" w:pos="2880"/>
                <w:tab w:val="left" w:pos="3600"/>
                <w:tab w:val="left" w:pos="4320"/>
                <w:tab w:val="left" w:pos="5040"/>
              </w:tabs>
              <w:spacing w:after="160" w:line="480" w:lineRule="auto"/>
            </w:pPr>
            <w:r>
              <w:rPr>
                <w:sz w:val="20"/>
                <w:szCs w:val="20"/>
                <w:shd w:val="nil" w:color="auto" w:fill="auto"/>
              </w:rPr>
              <w:drawing xmlns:a="http://schemas.openxmlformats.org/drawingml/2006/main">
                <wp:inline distT="0" distB="0" distL="0" distR="0">
                  <wp:extent cx="3105150" cy="4581525"/>
                  <wp:effectExtent l="0" t="0" r="0" b="0"/>
                  <wp:docPr id="1073741827" name="officeArt object" descr="Imagem"/>
                  <wp:cNvGraphicFramePr/>
                  <a:graphic xmlns:a="http://schemas.openxmlformats.org/drawingml/2006/main">
                    <a:graphicData uri="http://schemas.openxmlformats.org/drawingml/2006/picture">
                      <pic:pic xmlns:pic="http://schemas.openxmlformats.org/drawingml/2006/picture">
                        <pic:nvPicPr>
                          <pic:cNvPr id="1073741827" name="Imagem" descr="Imagem"/>
                          <pic:cNvPicPr>
                            <a:picLocks noChangeAspect="1"/>
                          </pic:cNvPicPr>
                        </pic:nvPicPr>
                        <pic:blipFill>
                          <a:blip r:embed="rId6">
                            <a:extLst/>
                          </a:blip>
                          <a:stretch>
                            <a:fillRect/>
                          </a:stretch>
                        </pic:blipFill>
                        <pic:spPr>
                          <a:xfrm>
                            <a:off x="0" y="0"/>
                            <a:ext cx="3105150" cy="4581525"/>
                          </a:xfrm>
                          <a:prstGeom prst="rect">
                            <a:avLst/>
                          </a:prstGeom>
                          <a:ln w="12700" cap="flat">
                            <a:noFill/>
                            <a:miter lim="400000"/>
                          </a:ln>
                          <a:effectLst/>
                        </pic:spPr>
                      </pic:pic>
                    </a:graphicData>
                  </a:graphic>
                </wp:inline>
              </w:drawing>
            </w:r>
          </w:p>
        </w:tc>
      </w:tr>
    </w:tbl>
    <w:p>
      <w:pPr>
        <w:pStyle w:val="Padrão A"/>
        <w:widowControl w:val="0"/>
        <w:spacing w:before="0" w:line="240" w:lineRule="auto"/>
        <w:ind w:left="324" w:hanging="324"/>
        <w:rPr>
          <w:sz w:val="20"/>
          <w:szCs w:val="20"/>
          <w:u w:val="none"/>
          <w:lang w:val="en-US"/>
        </w:rPr>
      </w:pPr>
    </w:p>
    <w:p>
      <w:pPr>
        <w:pStyle w:val="Padrão A"/>
        <w:spacing w:before="0" w:line="480" w:lineRule="auto"/>
        <w:rPr>
          <w:lang w:val="en-US"/>
        </w:rPr>
      </w:pPr>
      <w:r>
        <w:rPr>
          <w:b w:val="1"/>
          <w:bCs w:val="1"/>
          <w:sz w:val="20"/>
          <w:szCs w:val="20"/>
          <w:u w:val="none"/>
          <w:rtl w:val="0"/>
          <w:lang w:val="en-US"/>
        </w:rPr>
        <w:t>Fig. S3</w:t>
      </w:r>
      <w:r>
        <w:rPr>
          <w:sz w:val="20"/>
          <w:szCs w:val="20"/>
          <w:u w:val="none"/>
          <w:rtl w:val="0"/>
          <w:lang w:val="en-US"/>
        </w:rPr>
        <w:t xml:space="preserve"> Thin-film fixed-bed solar reactor used in heterogeneous photocatalytic experiments.</w:t>
      </w:r>
    </w:p>
    <w:p>
      <w:pPr>
        <w:pStyle w:val="Padrão A"/>
        <w:spacing w:before="0" w:line="480" w:lineRule="auto"/>
        <w:rPr>
          <w:sz w:val="20"/>
          <w:szCs w:val="20"/>
          <w:u w:val="none"/>
          <w:lang w:val="en-US"/>
        </w:rPr>
      </w:pPr>
    </w:p>
    <w:p>
      <w:pPr>
        <w:pStyle w:val="Padrão A"/>
        <w:spacing w:before="0" w:line="480" w:lineRule="auto"/>
        <w:ind w:firstLine="708"/>
        <w:rPr>
          <w:lang w:val="en-US"/>
        </w:rPr>
      </w:pPr>
      <w:r>
        <w:rPr>
          <w:sz w:val="20"/>
          <w:szCs w:val="20"/>
          <w:u w:val="none"/>
          <w:rtl w:val="0"/>
          <w:lang w:val="en-US"/>
        </w:rPr>
        <w:t>The total volume of fresh leachate used during the experiments was 3 L. The flow rate was maintained at 12</w:t>
      </w:r>
      <w:r>
        <w:rPr>
          <w:sz w:val="20"/>
          <w:szCs w:val="20"/>
          <w:u w:val="none"/>
          <w:rtl w:val="0"/>
          <w:lang w:val="en-US"/>
        </w:rPr>
        <w:t>–</w:t>
      </w:r>
      <w:r>
        <w:rPr>
          <w:sz w:val="20"/>
          <w:szCs w:val="20"/>
          <w:u w:val="none"/>
          <w:rtl w:val="0"/>
          <w:lang w:val="en-US"/>
        </w:rPr>
        <w:t>13 L min</w:t>
      </w:r>
      <w:r>
        <w:rPr>
          <w:sz w:val="20"/>
          <w:szCs w:val="20"/>
          <w:u w:val="none"/>
          <w:vertAlign w:val="superscript"/>
          <w:rtl w:val="0"/>
          <w:lang w:val="en-US"/>
        </w:rPr>
        <w:t>−</w:t>
      </w:r>
      <w:r>
        <w:rPr>
          <w:sz w:val="20"/>
          <w:szCs w:val="20"/>
          <w:u w:val="none"/>
          <w:vertAlign w:val="superscript"/>
          <w:rtl w:val="0"/>
          <w:lang w:val="en-US"/>
        </w:rPr>
        <w:t>1</w:t>
      </w:r>
      <w:r>
        <w:rPr>
          <w:sz w:val="20"/>
          <w:szCs w:val="20"/>
          <w:u w:val="none"/>
          <w:rtl w:val="0"/>
          <w:lang w:val="en-US"/>
        </w:rPr>
        <w:t xml:space="preserve">. Reactions were run between 11:00 h and 15:00 h during 5 days with sunny weather and temperatures ranging from 28 to 32 </w:t>
      </w:r>
      <w:r>
        <w:rPr>
          <w:sz w:val="20"/>
          <w:szCs w:val="20"/>
          <w:u w:val="none"/>
          <w:rtl w:val="0"/>
          <w:lang w:val="en-US"/>
        </w:rPr>
        <w:t>°</w:t>
      </w:r>
      <w:r>
        <w:rPr>
          <w:sz w:val="20"/>
          <w:szCs w:val="20"/>
          <w:u w:val="none"/>
          <w:rtl w:val="0"/>
          <w:lang w:val="en-US"/>
        </w:rPr>
        <w:t>C in autumn. Solar irradiance was measured by using an ILT 1400</w:t>
      </w:r>
      <w:r>
        <w:rPr>
          <w:sz w:val="20"/>
          <w:szCs w:val="20"/>
          <w:u w:val="none"/>
          <w:rtl w:val="0"/>
          <w:lang w:val="en-US"/>
        </w:rPr>
        <w:t xml:space="preserve">ª </w:t>
      </w:r>
      <w:r>
        <w:rPr>
          <w:sz w:val="20"/>
          <w:szCs w:val="20"/>
          <w:u w:val="none"/>
          <w:rtl w:val="0"/>
          <w:lang w:val="en-US"/>
        </w:rPr>
        <w:t>International Light radiometer, which recorded values of 750</w:t>
      </w:r>
      <w:r>
        <w:rPr>
          <w:sz w:val="20"/>
          <w:szCs w:val="20"/>
          <w:u w:val="none"/>
          <w:rtl w:val="0"/>
          <w:lang w:val="en-US"/>
        </w:rPr>
        <w:t>–</w:t>
      </w:r>
      <w:r>
        <w:rPr>
          <w:sz w:val="20"/>
          <w:szCs w:val="20"/>
          <w:u w:val="none"/>
          <w:rtl w:val="0"/>
          <w:lang w:val="en-US"/>
        </w:rPr>
        <w:t>872 mJ cm</w:t>
      </w:r>
      <w:r>
        <w:rPr>
          <w:sz w:val="20"/>
          <w:szCs w:val="20"/>
          <w:u w:val="none"/>
          <w:vertAlign w:val="superscript"/>
          <w:rtl w:val="0"/>
          <w:lang w:val="en-US"/>
        </w:rPr>
        <w:t>−</w:t>
      </w:r>
      <w:r>
        <w:rPr>
          <w:sz w:val="20"/>
          <w:szCs w:val="20"/>
          <w:u w:val="none"/>
          <w:vertAlign w:val="superscript"/>
          <w:rtl w:val="0"/>
          <w:lang w:val="en-US"/>
        </w:rPr>
        <w:t>2</w:t>
      </w:r>
      <w:r>
        <w:rPr>
          <w:sz w:val="20"/>
          <w:szCs w:val="20"/>
          <w:u w:val="none"/>
          <w:rtl w:val="0"/>
          <w:lang w:val="en-US"/>
        </w:rPr>
        <w:t xml:space="preserve"> at the end of each operation. The mean evaporation rate of leachate during an experimental cycle was 160 mL; this volume was replaced with water, added in 20 mL aliquots every 30 min during the photocatalytic process. Before the beginning of the experiment, the pH of fresh leachate was measured (pH = 7.8</w:t>
      </w:r>
      <w:r>
        <w:rPr>
          <w:sz w:val="20"/>
          <w:szCs w:val="20"/>
          <w:u w:val="none"/>
          <w:rtl w:val="0"/>
          <w:lang w:val="en-US"/>
        </w:rPr>
        <w:t>–</w:t>
      </w:r>
      <w:r>
        <w:rPr>
          <w:sz w:val="20"/>
          <w:szCs w:val="20"/>
          <w:u w:val="none"/>
          <w:rtl w:val="0"/>
          <w:lang w:val="en-US"/>
        </w:rPr>
        <w:t>8.0) and adjusted according to the experimental design by adding small portions of 98% (w/w) sulfuric acid (H</w:t>
      </w:r>
      <w:r>
        <w:rPr>
          <w:sz w:val="20"/>
          <w:szCs w:val="20"/>
          <w:u w:val="none"/>
          <w:vertAlign w:val="subscript"/>
          <w:rtl w:val="0"/>
          <w:lang w:val="en-US"/>
        </w:rPr>
        <w:t>2</w:t>
      </w:r>
      <w:r>
        <w:rPr>
          <w:sz w:val="20"/>
          <w:szCs w:val="20"/>
          <w:u w:val="none"/>
          <w:rtl w:val="0"/>
          <w:lang w:val="en-US"/>
        </w:rPr>
        <w:t>SO</w:t>
      </w:r>
      <w:r>
        <w:rPr>
          <w:sz w:val="20"/>
          <w:szCs w:val="20"/>
          <w:u w:val="none"/>
          <w:vertAlign w:val="subscript"/>
          <w:rtl w:val="0"/>
          <w:lang w:val="en-US"/>
        </w:rPr>
        <w:t>4</w:t>
      </w:r>
      <w:r>
        <w:rPr>
          <w:sz w:val="20"/>
          <w:szCs w:val="20"/>
          <w:u w:val="none"/>
          <w:rtl w:val="0"/>
          <w:lang w:val="en-US"/>
        </w:rPr>
        <w:t>). pH adjustments during photocatalysis were performed with 10 mol L</w:t>
      </w:r>
      <w:r>
        <w:rPr>
          <w:sz w:val="20"/>
          <w:szCs w:val="20"/>
          <w:u w:val="none"/>
          <w:vertAlign w:val="superscript"/>
          <w:rtl w:val="0"/>
          <w:lang w:val="en-US"/>
        </w:rPr>
        <w:t>−</w:t>
      </w:r>
      <w:r>
        <w:rPr>
          <w:sz w:val="20"/>
          <w:szCs w:val="20"/>
          <w:u w:val="none"/>
          <w:vertAlign w:val="superscript"/>
          <w:rtl w:val="0"/>
          <w:lang w:val="en-US"/>
        </w:rPr>
        <w:t>1</w:t>
      </w:r>
      <w:r>
        <w:rPr>
          <w:sz w:val="20"/>
          <w:szCs w:val="20"/>
          <w:u w:val="none"/>
          <w:rtl w:val="0"/>
          <w:lang w:val="en-US"/>
        </w:rPr>
        <w:t xml:space="preserve"> H</w:t>
      </w:r>
      <w:r>
        <w:rPr>
          <w:sz w:val="20"/>
          <w:szCs w:val="20"/>
          <w:u w:val="none"/>
          <w:vertAlign w:val="subscript"/>
          <w:rtl w:val="0"/>
          <w:lang w:val="en-US"/>
        </w:rPr>
        <w:t>2</w:t>
      </w:r>
      <w:r>
        <w:rPr>
          <w:sz w:val="20"/>
          <w:szCs w:val="20"/>
          <w:u w:val="none"/>
          <w:rtl w:val="0"/>
          <w:lang w:val="en-US"/>
        </w:rPr>
        <w:t>SO</w:t>
      </w:r>
      <w:r>
        <w:rPr>
          <w:sz w:val="20"/>
          <w:szCs w:val="20"/>
          <w:u w:val="none"/>
          <w:vertAlign w:val="subscript"/>
          <w:rtl w:val="0"/>
          <w:lang w:val="en-US"/>
        </w:rPr>
        <w:t>4</w:t>
      </w:r>
      <w:r>
        <w:rPr>
          <w:sz w:val="20"/>
          <w:szCs w:val="20"/>
          <w:u w:val="none"/>
          <w:rtl w:val="0"/>
          <w:lang w:val="en-US"/>
        </w:rPr>
        <w:t xml:space="preserve"> solution, added directly to the reactor reservoir. Aliquots from the reservoir were collected every 20 min for pH control and adjustment during operation. During the photocatalytic process, treated leachate was collected every 5 min for the first 20 min and then every 10 min until 240 min of reaction, totaling 26 samples per experiment.</w:t>
      </w:r>
    </w:p>
    <w:p>
      <w:pPr>
        <w:pStyle w:val="Padrão A"/>
        <w:spacing w:before="0" w:line="480" w:lineRule="auto"/>
        <w:ind w:firstLine="708"/>
        <w:rPr>
          <w:sz w:val="20"/>
          <w:szCs w:val="20"/>
          <w:u w:val="none"/>
          <w:lang w:val="en-US"/>
        </w:rPr>
      </w:pPr>
      <w:r>
        <w:rPr>
          <w:sz w:val="20"/>
          <w:szCs w:val="20"/>
          <w:u w:val="none"/>
          <w:rtl w:val="0"/>
          <w:lang w:val="en-US"/>
        </w:rPr>
        <w:t>To assess possible effects of non-catalyzed photolysis on degradation, we performed a control test without addition of oxides or additives. A sample aliquot was collected at the beginning and another at the end of the reaction (240 min). Environmental conditions (temperature, leachate volume, and solar irradiation) were similar to those of other experiments. The control test indicated minimal occurrence of photolytic degradation.</w:t>
      </w:r>
    </w:p>
    <w:p>
      <w:pPr>
        <w:pStyle w:val="Padrão A"/>
        <w:spacing w:before="0" w:line="480" w:lineRule="auto"/>
        <w:rPr>
          <w:b w:val="1"/>
          <w:bCs w:val="1"/>
          <w:sz w:val="20"/>
          <w:szCs w:val="20"/>
          <w:u w:val="none"/>
          <w:lang w:val="en-US"/>
        </w:rPr>
      </w:pPr>
    </w:p>
    <w:p>
      <w:pPr>
        <w:pStyle w:val="Padrão A"/>
        <w:spacing w:before="0" w:line="480" w:lineRule="auto"/>
        <w:rPr>
          <w:b w:val="1"/>
          <w:bCs w:val="1"/>
          <w:sz w:val="20"/>
          <w:szCs w:val="20"/>
          <w:u w:val="none"/>
          <w:lang w:val="en-US"/>
        </w:rPr>
      </w:pPr>
      <w:r>
        <w:rPr>
          <w:b w:val="1"/>
          <w:bCs w:val="1"/>
          <w:sz w:val="20"/>
          <w:szCs w:val="20"/>
          <w:u w:val="none"/>
          <w:rtl w:val="0"/>
          <w:lang w:val="en-US"/>
        </w:rPr>
        <w:t>Non-purgeable organic carbon analysis</w:t>
      </w:r>
    </w:p>
    <w:p>
      <w:pPr>
        <w:pStyle w:val="Padrão A"/>
        <w:spacing w:before="0" w:line="480" w:lineRule="auto"/>
        <w:rPr>
          <w:b w:val="1"/>
          <w:bCs w:val="1"/>
          <w:sz w:val="20"/>
          <w:szCs w:val="20"/>
          <w:u w:val="none"/>
          <w:lang w:val="en-US"/>
        </w:rPr>
      </w:pPr>
    </w:p>
    <w:p>
      <w:pPr>
        <w:pStyle w:val="Padrão A"/>
        <w:spacing w:before="0" w:line="480" w:lineRule="auto"/>
        <w:rPr>
          <w:i w:val="1"/>
          <w:iCs w:val="1"/>
          <w:sz w:val="20"/>
          <w:szCs w:val="20"/>
          <w:u w:val="none"/>
          <w:lang w:val="en-US"/>
        </w:rPr>
      </w:pPr>
      <w:r>
        <w:rPr>
          <w:i w:val="1"/>
          <w:iCs w:val="1"/>
          <w:sz w:val="20"/>
          <w:szCs w:val="20"/>
          <w:u w:val="none"/>
          <w:rtl w:val="0"/>
          <w:lang w:val="en-US"/>
        </w:rPr>
        <w:t>Separation of humic substances</w:t>
      </w:r>
    </w:p>
    <w:p>
      <w:pPr>
        <w:pStyle w:val="Padrão A"/>
        <w:spacing w:before="0" w:line="480" w:lineRule="auto"/>
        <w:rPr>
          <w:sz w:val="20"/>
          <w:szCs w:val="20"/>
          <w:u w:val="none"/>
          <w:lang w:val="en-US"/>
        </w:rPr>
      </w:pPr>
      <w:r>
        <w:rPr>
          <w:sz w:val="20"/>
          <w:szCs w:val="20"/>
          <w:u w:val="none"/>
          <w:lang w:val="en-US"/>
        </w:rPr>
        <w:tab/>
      </w:r>
    </w:p>
    <w:p>
      <w:pPr>
        <w:pStyle w:val="Padrão A"/>
        <w:spacing w:before="0" w:line="480" w:lineRule="auto"/>
      </w:pPr>
      <w:r>
        <w:rPr>
          <w:sz w:val="20"/>
          <w:szCs w:val="20"/>
          <w:u w:val="none"/>
          <w:rtl w:val="0"/>
          <w:lang w:val="en-US"/>
        </w:rPr>
        <w:tab/>
        <w:t>Separation of humic substances was performed according to the method described by</w:t>
      </w:r>
      <w:r>
        <w:rPr>
          <w:sz w:val="20"/>
          <w:szCs w:val="20"/>
          <w:u w:val="none"/>
          <w:rtl w:val="0"/>
          <w:lang w:val="en-US"/>
        </w:rPr>
        <w:t xml:space="preserve"> </w:t>
      </w:r>
      <w:r>
        <w:rPr>
          <w:outline w:val="0"/>
          <w:color w:val="3f6797"/>
          <w:sz w:val="20"/>
          <w:szCs w:val="20"/>
          <w:u w:val="none" w:color="3f6797"/>
          <w:rtl w:val="0"/>
          <w:lang w:val="pt-PT"/>
          <w14:textFill>
            <w14:solidFill>
              <w14:srgbClr w14:val="3F6797"/>
            </w14:solidFill>
          </w14:textFill>
        </w:rPr>
        <w:t>[2]</w:t>
      </w:r>
      <w:r>
        <w:rPr>
          <w:sz w:val="20"/>
          <w:szCs w:val="20"/>
          <w:u w:val="none"/>
          <w:rtl w:val="0"/>
          <w:lang w:val="en-US"/>
        </w:rPr>
        <w:t xml:space="preserve">. Separations steps are illustrated in </w:t>
      </w:r>
      <w:r>
        <w:rPr>
          <w:outline w:val="0"/>
          <w:color w:val="800080"/>
          <w:sz w:val="20"/>
          <w:szCs w:val="20"/>
          <w:u w:val="none" w:color="800080"/>
          <w:rtl w:val="0"/>
          <w:lang w:val="en-US"/>
          <w14:textFill>
            <w14:solidFill>
              <w14:srgbClr w14:val="800080"/>
            </w14:solidFill>
          </w14:textFill>
        </w:rPr>
        <w:t>Fig. S4</w:t>
      </w:r>
      <w:r>
        <w:rPr>
          <w:sz w:val="20"/>
          <w:szCs w:val="20"/>
          <w:u w:val="none"/>
          <w:rtl w:val="0"/>
          <w:lang w:val="en-US"/>
        </w:rPr>
        <w:t>.</w:t>
      </w:r>
    </w:p>
    <w:p>
      <w:pPr>
        <w:pStyle w:val="Padrão A"/>
        <w:spacing w:before="0" w:line="480" w:lineRule="auto"/>
        <w:rPr>
          <w:sz w:val="20"/>
          <w:szCs w:val="20"/>
          <w:u w:val="none"/>
          <w:lang w:val="en-US"/>
        </w:rPr>
      </w:pPr>
    </w:p>
    <w:tbl>
      <w:tblPr>
        <w:tblW w:w="8478" w:type="dxa"/>
        <w:jc w:val="left"/>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8478"/>
      </w:tblGrid>
      <w:tr>
        <w:tblPrEx>
          <w:shd w:val="clear" w:color="auto" w:fill="ced7e7"/>
        </w:tblPrEx>
        <w:trPr>
          <w:trHeight w:val="7709" w:hRule="atLeast"/>
        </w:trPr>
        <w:tc>
          <w:tcPr>
            <w:tcW w:type="dxa" w:w="847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Corpo A"/>
              <w:widowControl w:val="0"/>
              <w:suppressAutoHyphens w:val="1"/>
              <w:spacing w:after="160" w:line="480" w:lineRule="auto"/>
              <w:outlineLvl w:val="0"/>
            </w:pPr>
            <w:r>
              <w:rPr>
                <w:sz w:val="20"/>
                <w:szCs w:val="20"/>
                <w:shd w:val="nil" w:color="auto" w:fill="auto"/>
              </w:rPr>
              <w:drawing xmlns:a="http://schemas.openxmlformats.org/drawingml/2006/main">
                <wp:inline distT="0" distB="0" distL="0" distR="0">
                  <wp:extent cx="5269230" cy="4855210"/>
                  <wp:effectExtent l="0" t="0" r="0" b="0"/>
                  <wp:docPr id="1073741828" name="officeArt object" descr="Imagem"/>
                  <wp:cNvGraphicFramePr/>
                  <a:graphic xmlns:a="http://schemas.openxmlformats.org/drawingml/2006/main">
                    <a:graphicData uri="http://schemas.openxmlformats.org/drawingml/2006/picture">
                      <pic:pic xmlns:pic="http://schemas.openxmlformats.org/drawingml/2006/picture">
                        <pic:nvPicPr>
                          <pic:cNvPr id="1073741828" name="Imagem" descr="Imagem"/>
                          <pic:cNvPicPr>
                            <a:picLocks noChangeAspect="1"/>
                          </pic:cNvPicPr>
                        </pic:nvPicPr>
                        <pic:blipFill>
                          <a:blip r:embed="rId7">
                            <a:extLst/>
                          </a:blip>
                          <a:stretch>
                            <a:fillRect/>
                          </a:stretch>
                        </pic:blipFill>
                        <pic:spPr>
                          <a:xfrm>
                            <a:off x="0" y="0"/>
                            <a:ext cx="5269230" cy="4855210"/>
                          </a:xfrm>
                          <a:prstGeom prst="rect">
                            <a:avLst/>
                          </a:prstGeom>
                          <a:ln w="12700" cap="flat">
                            <a:noFill/>
                            <a:miter lim="400000"/>
                          </a:ln>
                          <a:effectLst/>
                        </pic:spPr>
                      </pic:pic>
                    </a:graphicData>
                  </a:graphic>
                </wp:inline>
              </w:drawing>
            </w:r>
          </w:p>
        </w:tc>
      </w:tr>
    </w:tbl>
    <w:p>
      <w:pPr>
        <w:pStyle w:val="Padrão A"/>
        <w:widowControl w:val="0"/>
        <w:spacing w:before="0" w:line="240" w:lineRule="auto"/>
        <w:ind w:left="324" w:hanging="324"/>
        <w:rPr>
          <w:sz w:val="20"/>
          <w:szCs w:val="20"/>
          <w:u w:val="none"/>
          <w:lang w:val="en-US"/>
        </w:rPr>
      </w:pPr>
    </w:p>
    <w:p>
      <w:pPr>
        <w:pStyle w:val="Padrão A"/>
        <w:spacing w:before="0" w:line="480" w:lineRule="auto"/>
      </w:pPr>
      <w:r>
        <w:rPr>
          <w:b w:val="1"/>
          <w:bCs w:val="1"/>
          <w:sz w:val="20"/>
          <w:szCs w:val="20"/>
          <w:u w:val="none"/>
          <w:rtl w:val="0"/>
          <w:lang w:val="en-US"/>
        </w:rPr>
        <w:t>Fig</w:t>
      </w:r>
      <w:r>
        <w:rPr>
          <w:b w:val="1"/>
          <w:bCs w:val="1"/>
          <w:sz w:val="20"/>
          <w:szCs w:val="20"/>
          <w:u w:val="none"/>
          <w:rtl w:val="0"/>
          <w:lang w:val="pt-PT"/>
        </w:rPr>
        <w:t>.</w:t>
      </w:r>
      <w:r>
        <w:rPr>
          <w:b w:val="1"/>
          <w:bCs w:val="1"/>
          <w:sz w:val="20"/>
          <w:szCs w:val="20"/>
          <w:u w:val="none"/>
          <w:rtl w:val="0"/>
          <w:lang w:val="en-US"/>
        </w:rPr>
        <w:t xml:space="preserve"> S4</w:t>
      </w:r>
      <w:r>
        <w:rPr>
          <w:sz w:val="20"/>
          <w:szCs w:val="20"/>
          <w:u w:val="none"/>
          <w:rtl w:val="0"/>
          <w:lang w:val="en-US"/>
        </w:rPr>
        <w:t xml:space="preserve"> Separation of humic substances. Adapted from</w:t>
      </w:r>
      <w:r>
        <w:rPr>
          <w:outline w:val="0"/>
          <w:color w:val="3f6797"/>
          <w:sz w:val="20"/>
          <w:szCs w:val="20"/>
          <w:u w:val="none" w:color="3f6797"/>
          <w:rtl w:val="0"/>
          <w:lang w:val="pt-PT"/>
          <w14:textFill>
            <w14:solidFill>
              <w14:srgbClr w14:val="3F6797"/>
            </w14:solidFill>
          </w14:textFill>
        </w:rPr>
        <w:t xml:space="preserve"> [2]</w:t>
      </w:r>
      <w:r>
        <w:rPr>
          <w:sz w:val="20"/>
          <w:szCs w:val="20"/>
          <w:u w:val="none"/>
          <w:rtl w:val="0"/>
          <w:lang w:val="en-US"/>
        </w:rPr>
        <w:t xml:space="preserve">. </w:t>
      </w:r>
    </w:p>
    <w:p>
      <w:pPr>
        <w:pStyle w:val="Padrão A"/>
        <w:spacing w:before="0" w:line="480" w:lineRule="auto"/>
        <w:rPr>
          <w:sz w:val="20"/>
          <w:szCs w:val="20"/>
          <w:u w:val="none"/>
          <w:lang w:val="en-US"/>
        </w:rPr>
      </w:pPr>
    </w:p>
    <w:p>
      <w:pPr>
        <w:pStyle w:val="Padrão A"/>
        <w:spacing w:before="0" w:line="480" w:lineRule="auto"/>
        <w:rPr>
          <w:sz w:val="20"/>
          <w:szCs w:val="20"/>
          <w:u w:val="none"/>
          <w:lang w:val="en-US"/>
        </w:rPr>
      </w:pPr>
    </w:p>
    <w:p>
      <w:pPr>
        <w:pStyle w:val="Padrão A"/>
        <w:spacing w:before="0" w:line="480" w:lineRule="auto"/>
        <w:rPr>
          <w:sz w:val="20"/>
          <w:szCs w:val="20"/>
          <w:u w:val="none"/>
          <w:lang w:val="en-US"/>
        </w:rPr>
      </w:pPr>
    </w:p>
    <w:p>
      <w:pPr>
        <w:pStyle w:val="Padrão A"/>
        <w:spacing w:before="0" w:line="480" w:lineRule="auto"/>
        <w:rPr>
          <w:sz w:val="20"/>
          <w:szCs w:val="20"/>
          <w:u w:val="none"/>
          <w:lang w:val="en-US"/>
        </w:rPr>
      </w:pPr>
    </w:p>
    <w:p>
      <w:pPr>
        <w:pStyle w:val="Padrão A"/>
        <w:spacing w:before="0" w:line="480" w:lineRule="auto"/>
        <w:rPr>
          <w:sz w:val="20"/>
          <w:szCs w:val="20"/>
          <w:u w:val="none"/>
          <w:lang w:val="en-US"/>
        </w:rPr>
      </w:pPr>
    </w:p>
    <w:p>
      <w:pPr>
        <w:pStyle w:val="Padrão A"/>
        <w:spacing w:before="0" w:line="480" w:lineRule="auto"/>
        <w:rPr>
          <w:i w:val="1"/>
          <w:iCs w:val="1"/>
          <w:sz w:val="20"/>
          <w:szCs w:val="20"/>
          <w:u w:val="none"/>
          <w:lang w:val="en-US"/>
        </w:rPr>
      </w:pPr>
      <w:r>
        <w:rPr>
          <w:i w:val="1"/>
          <w:iCs w:val="1"/>
          <w:sz w:val="20"/>
          <w:szCs w:val="20"/>
          <w:u w:val="none"/>
          <w:rtl w:val="0"/>
          <w:lang w:val="en-US"/>
        </w:rPr>
        <w:t>Characterization of humic substances</w:t>
      </w:r>
    </w:p>
    <w:p>
      <w:pPr>
        <w:pStyle w:val="Padrão A"/>
        <w:spacing w:before="0" w:line="480" w:lineRule="auto"/>
        <w:ind w:firstLine="708"/>
        <w:rPr>
          <w:i w:val="1"/>
          <w:iCs w:val="1"/>
          <w:sz w:val="20"/>
          <w:szCs w:val="20"/>
          <w:u w:val="none"/>
          <w:lang w:val="en-US"/>
        </w:rPr>
      </w:pPr>
    </w:p>
    <w:p>
      <w:pPr>
        <w:pStyle w:val="Padrão A"/>
        <w:spacing w:before="0" w:line="480" w:lineRule="auto"/>
        <w:ind w:firstLine="708"/>
        <w:rPr>
          <w:lang w:val="en-US"/>
        </w:rPr>
      </w:pPr>
      <w:r>
        <w:rPr>
          <w:kern w:val="2"/>
          <w:sz w:val="20"/>
          <w:szCs w:val="20"/>
          <w:u w:val="none"/>
          <w:rtl w:val="0"/>
          <w:lang w:val="en-US"/>
        </w:rPr>
        <w:t xml:space="preserve">Analytical characterization of humic substances was carried out on a Shimadzu TOC-V system by the total combustion method (680 </w:t>
      </w:r>
      <w:r>
        <w:rPr>
          <w:kern w:val="2"/>
          <w:sz w:val="20"/>
          <w:szCs w:val="20"/>
          <w:u w:val="none"/>
          <w:rtl w:val="0"/>
          <w:lang w:val="en-US"/>
        </w:rPr>
        <w:t>°</w:t>
      </w:r>
      <w:r>
        <w:rPr>
          <w:kern w:val="2"/>
          <w:sz w:val="20"/>
          <w:szCs w:val="20"/>
          <w:u w:val="none"/>
          <w:rtl w:val="0"/>
          <w:lang w:val="en-US"/>
        </w:rPr>
        <w:t>C) with non-dispersive infrared detection. The equipment can determine total carbon, inorganic carbon, total organic carbon, and non-purgeable organic carbon in aqueous samples within the concentration range of 2.0 to 1,000 mg L</w:t>
      </w:r>
      <w:r>
        <w:rPr>
          <w:kern w:val="2"/>
          <w:sz w:val="20"/>
          <w:szCs w:val="20"/>
          <w:u w:val="none"/>
          <w:vertAlign w:val="superscript"/>
          <w:rtl w:val="0"/>
          <w:lang w:val="en-US"/>
        </w:rPr>
        <w:t>−</w:t>
      </w:r>
      <w:r>
        <w:rPr>
          <w:kern w:val="2"/>
          <w:sz w:val="20"/>
          <w:szCs w:val="20"/>
          <w:u w:val="none"/>
          <w:vertAlign w:val="superscript"/>
          <w:rtl w:val="0"/>
          <w:lang w:val="en-US"/>
        </w:rPr>
        <w:t>1</w:t>
      </w:r>
      <w:r>
        <w:rPr>
          <w:kern w:val="2"/>
          <w:sz w:val="20"/>
          <w:szCs w:val="20"/>
          <w:u w:val="none"/>
          <w:rtl w:val="0"/>
          <w:lang w:val="en-US"/>
        </w:rPr>
        <w:t>. Total organic carbon is obtained by subtraction of inorganic carbon from total carbon. Inorganic carbon is determined by acidification of samples and consequent conversion of carbonates into CO</w:t>
      </w:r>
      <w:r>
        <w:rPr>
          <w:kern w:val="2"/>
          <w:sz w:val="20"/>
          <w:szCs w:val="20"/>
          <w:u w:val="none"/>
          <w:vertAlign w:val="subscript"/>
          <w:rtl w:val="0"/>
          <w:lang w:val="en-US"/>
        </w:rPr>
        <w:t>2</w:t>
      </w:r>
      <w:r>
        <w:rPr>
          <w:kern w:val="2"/>
          <w:sz w:val="20"/>
          <w:szCs w:val="20"/>
          <w:u w:val="none"/>
          <w:rtl w:val="0"/>
          <w:lang w:val="en-US"/>
        </w:rPr>
        <w:t>, which preliminary analyses showed to be present in negligible amounts. Finally, the remaining fraction is quantified as non-purgeable organic carbon. It should be noted that humic acids were determined separately from fulvic acid + humins. During the photocatalytic process, leachate samples were collected every 5 min for the first 20 min and then every 10 min until 240 min of reaction, totaling 26 samples per experiment.</w:t>
      </w:r>
    </w:p>
    <w:p>
      <w:pPr>
        <w:pStyle w:val="Padrão A"/>
        <w:spacing w:before="0" w:line="480" w:lineRule="auto"/>
        <w:rPr>
          <w:kern w:val="2"/>
          <w:sz w:val="20"/>
          <w:szCs w:val="20"/>
          <w:u w:val="none"/>
          <w:lang w:val="en-US"/>
        </w:rPr>
      </w:pPr>
    </w:p>
    <w:p>
      <w:pPr>
        <w:pStyle w:val="Padrão A"/>
        <w:spacing w:before="0" w:line="480" w:lineRule="auto"/>
        <w:rPr>
          <w:b w:val="1"/>
          <w:bCs w:val="1"/>
          <w:sz w:val="20"/>
          <w:szCs w:val="20"/>
          <w:u w:val="none"/>
          <w:lang w:val="en-US"/>
        </w:rPr>
      </w:pPr>
      <w:r>
        <w:rPr>
          <w:b w:val="1"/>
          <w:bCs w:val="1"/>
          <w:sz w:val="20"/>
          <w:szCs w:val="20"/>
          <w:u w:val="none"/>
          <w:rtl w:val="0"/>
          <w:lang w:val="en-US"/>
        </w:rPr>
        <w:t>Analyses of variance</w:t>
      </w:r>
    </w:p>
    <w:p>
      <w:pPr>
        <w:pStyle w:val="Padrão A"/>
        <w:spacing w:before="0" w:line="480" w:lineRule="auto"/>
        <w:rPr>
          <w:kern w:val="2"/>
          <w:sz w:val="20"/>
          <w:szCs w:val="20"/>
          <w:u w:val="none"/>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lang w:val="en-US"/>
        </w:rPr>
      </w:pPr>
      <w:r>
        <w:rPr>
          <w:outline w:val="0"/>
          <w:color w:val="800080"/>
          <w:sz w:val="20"/>
          <w:szCs w:val="20"/>
          <w:u w:val="none" w:color="800080"/>
          <w:rtl w:val="0"/>
          <w:lang w:val="en-US"/>
          <w14:textFill>
            <w14:solidFill>
              <w14:srgbClr w14:val="800080"/>
            </w14:solidFill>
          </w14:textFill>
        </w:rPr>
        <w:t>Tables S1</w:t>
      </w:r>
      <w:r>
        <w:rPr>
          <w:sz w:val="20"/>
          <w:szCs w:val="20"/>
          <w:u w:val="none"/>
          <w:rtl w:val="0"/>
          <w:lang w:val="en-US"/>
        </w:rPr>
        <w:t xml:space="preserve"> and </w:t>
      </w:r>
      <w:r>
        <w:rPr>
          <w:outline w:val="0"/>
          <w:color w:val="800080"/>
          <w:sz w:val="20"/>
          <w:szCs w:val="20"/>
          <w:u w:val="none" w:color="800080"/>
          <w:rtl w:val="0"/>
          <w:lang w:val="en-US"/>
          <w14:textFill>
            <w14:solidFill>
              <w14:srgbClr w14:val="800080"/>
            </w14:solidFill>
          </w14:textFill>
        </w:rPr>
        <w:t>S2</w:t>
      </w:r>
      <w:r>
        <w:rPr>
          <w:sz w:val="20"/>
          <w:szCs w:val="20"/>
          <w:u w:val="none"/>
          <w:rtl w:val="0"/>
          <w:lang w:val="en-US"/>
        </w:rPr>
        <w:t xml:space="preserve"> present the analysis of variance for the photocatalytic degradation of humic acids and fulvic acids + humins, respectively.</w:t>
      </w: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lang w:val="en-US"/>
        </w:rPr>
      </w:pPr>
      <w:r>
        <w:rPr>
          <w:b w:val="1"/>
          <w:bCs w:val="1"/>
          <w:sz w:val="20"/>
          <w:szCs w:val="20"/>
          <w:u w:val="none"/>
          <w:rtl w:val="0"/>
          <w:lang w:val="en-US"/>
        </w:rPr>
        <w:t xml:space="preserve"> </w:t>
      </w:r>
    </w:p>
    <w:p>
      <w:pPr>
        <w:pStyle w:val="Padrão A"/>
        <w:keepNext w:val="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lang w:val="en-US"/>
        </w:rPr>
      </w:pPr>
      <w:r>
        <w:rPr>
          <w:b w:val="1"/>
          <w:bCs w:val="1"/>
          <w:sz w:val="20"/>
          <w:szCs w:val="20"/>
          <w:u w:val="none"/>
          <w:rtl w:val="0"/>
          <w:lang w:val="en-US"/>
        </w:rPr>
        <w:t>Table S1</w:t>
      </w:r>
      <w:r>
        <w:rPr>
          <w:sz w:val="20"/>
          <w:szCs w:val="20"/>
          <w:u w:val="none"/>
          <w:rtl w:val="0"/>
          <w:lang w:val="en-US"/>
        </w:rPr>
        <w:t xml:space="preserve"> Analysis of variance for humic acid degradation</w:t>
      </w:r>
    </w:p>
    <w:tbl>
      <w:tblPr>
        <w:tblW w:w="9360" w:type="dxa"/>
        <w:jc w:val="left"/>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432"/>
        <w:gridCol w:w="814"/>
        <w:gridCol w:w="1500"/>
        <w:gridCol w:w="1312"/>
        <w:gridCol w:w="1178"/>
        <w:gridCol w:w="1124"/>
      </w:tblGrid>
      <w:tr>
        <w:tblPrEx>
          <w:shd w:val="clear" w:color="auto" w:fill="ced7e7"/>
        </w:tblPrEx>
        <w:trPr>
          <w:trHeight w:val="305" w:hRule="atLeast"/>
        </w:trPr>
        <w:tc>
          <w:tcPr>
            <w:tcW w:type="dxa" w:w="3432"/>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b w:val="1"/>
                <w:bCs w:val="1"/>
                <w:sz w:val="24"/>
                <w:szCs w:val="24"/>
                <w:shd w:val="nil" w:color="auto" w:fill="auto"/>
                <w:rtl w:val="0"/>
                <w:lang w:val="en-US"/>
              </w:rPr>
              <w:t>Source</w:t>
            </w:r>
          </w:p>
        </w:tc>
        <w:tc>
          <w:tcPr>
            <w:tcW w:type="dxa" w:w="814"/>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b w:val="1"/>
                <w:bCs w:val="1"/>
                <w:sz w:val="24"/>
                <w:szCs w:val="24"/>
                <w:shd w:val="nil" w:color="auto" w:fill="auto"/>
                <w:rtl w:val="0"/>
                <w:lang w:val="en-US"/>
              </w:rPr>
              <w:t>df</w:t>
            </w:r>
          </w:p>
        </w:tc>
        <w:tc>
          <w:tcPr>
            <w:tcW w:type="dxa" w:w="1500"/>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b w:val="1"/>
                <w:bCs w:val="1"/>
                <w:sz w:val="24"/>
                <w:szCs w:val="24"/>
                <w:shd w:val="nil" w:color="auto" w:fill="auto"/>
                <w:rtl w:val="0"/>
                <w:lang w:val="en-US"/>
              </w:rPr>
              <w:t>Adj SS</w:t>
            </w:r>
          </w:p>
        </w:tc>
        <w:tc>
          <w:tcPr>
            <w:tcW w:type="dxa" w:w="1312"/>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b w:val="1"/>
                <w:bCs w:val="1"/>
                <w:sz w:val="24"/>
                <w:szCs w:val="24"/>
                <w:shd w:val="nil" w:color="auto" w:fill="auto"/>
                <w:rtl w:val="0"/>
                <w:lang w:val="en-US"/>
              </w:rPr>
              <w:t>Adj MS</w:t>
            </w:r>
          </w:p>
        </w:tc>
        <w:tc>
          <w:tcPr>
            <w:tcW w:type="dxa" w:w="1178"/>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b w:val="1"/>
                <w:bCs w:val="1"/>
                <w:i w:val="1"/>
                <w:iCs w:val="1"/>
                <w:sz w:val="24"/>
                <w:szCs w:val="24"/>
                <w:shd w:val="nil" w:color="auto" w:fill="auto"/>
                <w:rtl w:val="0"/>
                <w:lang w:val="en-US"/>
              </w:rPr>
              <w:t>F</w:t>
            </w:r>
            <w:r>
              <w:rPr>
                <w:b w:val="1"/>
                <w:bCs w:val="1"/>
                <w:sz w:val="24"/>
                <w:szCs w:val="24"/>
                <w:shd w:val="nil" w:color="auto" w:fill="auto"/>
                <w:rtl w:val="0"/>
                <w:lang w:val="en-US"/>
              </w:rPr>
              <w:t>-value</w:t>
            </w:r>
          </w:p>
        </w:tc>
        <w:tc>
          <w:tcPr>
            <w:tcW w:type="dxa" w:w="1124"/>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b w:val="1"/>
                <w:bCs w:val="1"/>
                <w:i w:val="1"/>
                <w:iCs w:val="1"/>
                <w:sz w:val="24"/>
                <w:szCs w:val="24"/>
                <w:shd w:val="nil" w:color="auto" w:fill="auto"/>
                <w:rtl w:val="0"/>
                <w:lang w:val="en-US"/>
              </w:rPr>
              <w:t>P</w:t>
            </w:r>
            <w:r>
              <w:rPr>
                <w:b w:val="1"/>
                <w:bCs w:val="1"/>
                <w:sz w:val="24"/>
                <w:szCs w:val="24"/>
                <w:shd w:val="nil" w:color="auto" w:fill="auto"/>
                <w:rtl w:val="0"/>
                <w:lang w:val="en-US"/>
              </w:rPr>
              <w:t>-value</w:t>
            </w:r>
          </w:p>
        </w:tc>
      </w:tr>
      <w:tr>
        <w:tblPrEx>
          <w:shd w:val="clear" w:color="auto" w:fill="ced7e7"/>
        </w:tblPrEx>
        <w:trPr>
          <w:trHeight w:val="297" w:hRule="atLeast"/>
        </w:trPr>
        <w:tc>
          <w:tcPr>
            <w:tcW w:type="dxa" w:w="3432"/>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Regression</w:t>
            </w:r>
          </w:p>
        </w:tc>
        <w:tc>
          <w:tcPr>
            <w:tcW w:type="dxa" w:w="814"/>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4</w:t>
            </w:r>
          </w:p>
        </w:tc>
        <w:tc>
          <w:tcPr>
            <w:tcW w:type="dxa" w:w="1500"/>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0.078088</w:t>
            </w:r>
          </w:p>
        </w:tc>
        <w:tc>
          <w:tcPr>
            <w:tcW w:type="dxa" w:w="1312"/>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0.019522</w:t>
            </w:r>
          </w:p>
        </w:tc>
        <w:tc>
          <w:tcPr>
            <w:tcW w:type="dxa" w:w="1178"/>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33.98</w:t>
            </w:r>
          </w:p>
        </w:tc>
        <w:tc>
          <w:tcPr>
            <w:tcW w:type="dxa" w:w="1124"/>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0.001</w:t>
            </w:r>
          </w:p>
        </w:tc>
      </w:tr>
      <w:tr>
        <w:tblPrEx>
          <w:shd w:val="clear" w:color="auto" w:fill="ced7e7"/>
        </w:tblPrEx>
        <w:trPr>
          <w:trHeight w:val="290" w:hRule="atLeast"/>
        </w:trPr>
        <w:tc>
          <w:tcPr>
            <w:tcW w:type="dxa" w:w="3432"/>
            <w:tcBorders>
              <w:top w:val="nil"/>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[ZnO</w:t>
            </w:r>
            <w:r>
              <w:rPr>
                <w:sz w:val="24"/>
                <w:szCs w:val="24"/>
                <w:shd w:val="nil" w:color="auto" w:fill="auto"/>
                <w:rtl w:val="0"/>
                <w:lang w:val="en-US"/>
              </w:rPr>
              <w:t>–</w:t>
            </w:r>
            <w:r>
              <w:rPr>
                <w:sz w:val="24"/>
                <w:szCs w:val="24"/>
                <w:shd w:val="nil" w:color="auto" w:fill="auto"/>
                <w:rtl w:val="0"/>
                <w:lang w:val="en-US"/>
              </w:rPr>
              <w:t>TiO</w:t>
            </w:r>
            <w:r>
              <w:rPr>
                <w:sz w:val="24"/>
                <w:szCs w:val="24"/>
                <w:shd w:val="nil" w:color="auto" w:fill="auto"/>
                <w:vertAlign w:val="subscript"/>
                <w:rtl w:val="0"/>
                <w:lang w:val="en-US"/>
              </w:rPr>
              <w:t>2</w:t>
            </w:r>
            <w:r>
              <w:rPr>
                <w:sz w:val="24"/>
                <w:szCs w:val="24"/>
                <w:shd w:val="nil" w:color="auto" w:fill="auto"/>
                <w:rtl w:val="0"/>
                <w:lang w:val="en-US"/>
              </w:rPr>
              <w:t>]</w:t>
            </w:r>
          </w:p>
        </w:tc>
        <w:tc>
          <w:tcPr>
            <w:tcW w:type="dxa" w:w="814"/>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w:t>
            </w:r>
          </w:p>
        </w:tc>
        <w:tc>
          <w:tcPr>
            <w:tcW w:type="dxa" w:w="1500"/>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0.007812</w:t>
            </w:r>
          </w:p>
        </w:tc>
        <w:tc>
          <w:tcPr>
            <w:tcW w:type="dxa" w:w="1312"/>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0.007812</w:t>
            </w:r>
          </w:p>
        </w:tc>
        <w:tc>
          <w:tcPr>
            <w:tcW w:type="dxa" w:w="1178"/>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13.60</w:t>
            </w:r>
          </w:p>
        </w:tc>
        <w:tc>
          <w:tcPr>
            <w:tcW w:type="dxa" w:w="1124"/>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0.014</w:t>
            </w:r>
          </w:p>
        </w:tc>
      </w:tr>
      <w:tr>
        <w:tblPrEx>
          <w:shd w:val="clear" w:color="auto" w:fill="ced7e7"/>
        </w:tblPrEx>
        <w:trPr>
          <w:trHeight w:val="290" w:hRule="atLeast"/>
        </w:trPr>
        <w:tc>
          <w:tcPr>
            <w:tcW w:type="dxa" w:w="3432"/>
            <w:tcBorders>
              <w:top w:val="nil"/>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Replicate</w:t>
            </w:r>
          </w:p>
        </w:tc>
        <w:tc>
          <w:tcPr>
            <w:tcW w:type="dxa" w:w="814"/>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w:t>
            </w:r>
          </w:p>
        </w:tc>
        <w:tc>
          <w:tcPr>
            <w:tcW w:type="dxa" w:w="1500"/>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0.007840</w:t>
            </w:r>
          </w:p>
        </w:tc>
        <w:tc>
          <w:tcPr>
            <w:tcW w:type="dxa" w:w="1312"/>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0.007840</w:t>
            </w:r>
          </w:p>
        </w:tc>
        <w:tc>
          <w:tcPr>
            <w:tcW w:type="dxa" w:w="1178"/>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13.65</w:t>
            </w:r>
          </w:p>
        </w:tc>
        <w:tc>
          <w:tcPr>
            <w:tcW w:type="dxa" w:w="1124"/>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0.014</w:t>
            </w:r>
          </w:p>
        </w:tc>
      </w:tr>
      <w:tr>
        <w:tblPrEx>
          <w:shd w:val="clear" w:color="auto" w:fill="ced7e7"/>
        </w:tblPrEx>
        <w:trPr>
          <w:trHeight w:val="290" w:hRule="atLeast"/>
        </w:trPr>
        <w:tc>
          <w:tcPr>
            <w:tcW w:type="dxa" w:w="3432"/>
            <w:tcBorders>
              <w:top w:val="nil"/>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[ZnO</w:t>
            </w:r>
            <w:r>
              <w:rPr>
                <w:sz w:val="24"/>
                <w:szCs w:val="24"/>
                <w:shd w:val="nil" w:color="auto" w:fill="auto"/>
                <w:rtl w:val="0"/>
                <w:lang w:val="en-US"/>
              </w:rPr>
              <w:t>–</w:t>
            </w:r>
            <w:r>
              <w:rPr>
                <w:sz w:val="24"/>
                <w:szCs w:val="24"/>
                <w:shd w:val="nil" w:color="auto" w:fill="auto"/>
                <w:rtl w:val="0"/>
                <w:lang w:val="en-US"/>
              </w:rPr>
              <w:t>TiO</w:t>
            </w:r>
            <w:r>
              <w:rPr>
                <w:sz w:val="24"/>
                <w:szCs w:val="24"/>
                <w:shd w:val="nil" w:color="auto" w:fill="auto"/>
                <w:vertAlign w:val="subscript"/>
                <w:rtl w:val="0"/>
                <w:lang w:val="en-US"/>
              </w:rPr>
              <w:t>2</w:t>
            </w:r>
            <w:r>
              <w:rPr>
                <w:sz w:val="24"/>
                <w:szCs w:val="24"/>
                <w:shd w:val="nil" w:color="auto" w:fill="auto"/>
                <w:rtl w:val="0"/>
                <w:lang w:val="en-US"/>
              </w:rPr>
              <w:t>]*[ZnO</w:t>
            </w:r>
            <w:r>
              <w:rPr>
                <w:sz w:val="24"/>
                <w:szCs w:val="24"/>
                <w:shd w:val="nil" w:color="auto" w:fill="auto"/>
                <w:rtl w:val="0"/>
                <w:lang w:val="en-US"/>
              </w:rPr>
              <w:t>–</w:t>
            </w:r>
            <w:r>
              <w:rPr>
                <w:sz w:val="24"/>
                <w:szCs w:val="24"/>
                <w:shd w:val="nil" w:color="auto" w:fill="auto"/>
                <w:rtl w:val="0"/>
                <w:lang w:val="en-US"/>
              </w:rPr>
              <w:t>TiO</w:t>
            </w:r>
            <w:r>
              <w:rPr>
                <w:sz w:val="24"/>
                <w:szCs w:val="24"/>
                <w:shd w:val="nil" w:color="auto" w:fill="auto"/>
                <w:vertAlign w:val="subscript"/>
                <w:rtl w:val="0"/>
                <w:lang w:val="en-US"/>
              </w:rPr>
              <w:t>2</w:t>
            </w:r>
            <w:r>
              <w:rPr>
                <w:sz w:val="24"/>
                <w:szCs w:val="24"/>
                <w:shd w:val="nil" w:color="auto" w:fill="auto"/>
                <w:rtl w:val="0"/>
                <w:lang w:val="en-US"/>
              </w:rPr>
              <w:t>]</w:t>
            </w:r>
          </w:p>
        </w:tc>
        <w:tc>
          <w:tcPr>
            <w:tcW w:type="dxa" w:w="814"/>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w:t>
            </w:r>
          </w:p>
        </w:tc>
        <w:tc>
          <w:tcPr>
            <w:tcW w:type="dxa" w:w="1500"/>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0.018922</w:t>
            </w:r>
          </w:p>
        </w:tc>
        <w:tc>
          <w:tcPr>
            <w:tcW w:type="dxa" w:w="1312"/>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0.018922</w:t>
            </w:r>
          </w:p>
        </w:tc>
        <w:tc>
          <w:tcPr>
            <w:tcW w:type="dxa" w:w="1178"/>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32.94</w:t>
            </w:r>
          </w:p>
        </w:tc>
        <w:tc>
          <w:tcPr>
            <w:tcW w:type="dxa" w:w="1124"/>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0.002</w:t>
            </w:r>
          </w:p>
        </w:tc>
      </w:tr>
      <w:tr>
        <w:tblPrEx>
          <w:shd w:val="clear" w:color="auto" w:fill="ced7e7"/>
        </w:tblPrEx>
        <w:trPr>
          <w:trHeight w:val="290" w:hRule="atLeast"/>
        </w:trPr>
        <w:tc>
          <w:tcPr>
            <w:tcW w:type="dxa" w:w="3432"/>
            <w:tcBorders>
              <w:top w:val="nil"/>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[ZnO</w:t>
            </w:r>
            <w:r>
              <w:rPr>
                <w:sz w:val="24"/>
                <w:szCs w:val="24"/>
                <w:shd w:val="nil" w:color="auto" w:fill="auto"/>
                <w:rtl w:val="0"/>
                <w:lang w:val="en-US"/>
              </w:rPr>
              <w:t>–</w:t>
            </w:r>
            <w:r>
              <w:rPr>
                <w:sz w:val="24"/>
                <w:szCs w:val="24"/>
                <w:shd w:val="nil" w:color="auto" w:fill="auto"/>
                <w:rtl w:val="0"/>
                <w:lang w:val="en-US"/>
              </w:rPr>
              <w:t>TiO</w:t>
            </w:r>
            <w:r>
              <w:rPr>
                <w:sz w:val="24"/>
                <w:szCs w:val="24"/>
                <w:shd w:val="nil" w:color="auto" w:fill="auto"/>
                <w:vertAlign w:val="subscript"/>
                <w:rtl w:val="0"/>
                <w:lang w:val="en-US"/>
              </w:rPr>
              <w:t>2</w:t>
            </w:r>
            <w:r>
              <w:rPr>
                <w:sz w:val="24"/>
                <w:szCs w:val="24"/>
                <w:shd w:val="nil" w:color="auto" w:fill="auto"/>
                <w:rtl w:val="0"/>
                <w:lang w:val="en-US"/>
              </w:rPr>
              <w:t>]*[pH]</w:t>
            </w:r>
          </w:p>
        </w:tc>
        <w:tc>
          <w:tcPr>
            <w:tcW w:type="dxa" w:w="814"/>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w:t>
            </w:r>
          </w:p>
        </w:tc>
        <w:tc>
          <w:tcPr>
            <w:tcW w:type="dxa" w:w="1500"/>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0.043513</w:t>
            </w:r>
          </w:p>
        </w:tc>
        <w:tc>
          <w:tcPr>
            <w:tcW w:type="dxa" w:w="1312"/>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0.043513</w:t>
            </w:r>
          </w:p>
        </w:tc>
        <w:tc>
          <w:tcPr>
            <w:tcW w:type="dxa" w:w="1178"/>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75.74</w:t>
            </w:r>
          </w:p>
        </w:tc>
        <w:tc>
          <w:tcPr>
            <w:tcW w:type="dxa" w:w="1124"/>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0.000</w:t>
            </w:r>
          </w:p>
        </w:tc>
      </w:tr>
      <w:tr>
        <w:tblPrEx>
          <w:shd w:val="clear" w:color="auto" w:fill="ced7e7"/>
        </w:tblPrEx>
        <w:trPr>
          <w:trHeight w:val="290" w:hRule="atLeast"/>
        </w:trPr>
        <w:tc>
          <w:tcPr>
            <w:tcW w:type="dxa" w:w="3432"/>
            <w:tcBorders>
              <w:top w:val="nil"/>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Error</w:t>
            </w:r>
          </w:p>
        </w:tc>
        <w:tc>
          <w:tcPr>
            <w:tcW w:type="dxa" w:w="814"/>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5</w:t>
            </w:r>
          </w:p>
        </w:tc>
        <w:tc>
          <w:tcPr>
            <w:tcW w:type="dxa" w:w="1500"/>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0.002873</w:t>
            </w:r>
          </w:p>
        </w:tc>
        <w:tc>
          <w:tcPr>
            <w:tcW w:type="dxa" w:w="1312"/>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0.000575</w:t>
            </w:r>
          </w:p>
        </w:tc>
        <w:tc>
          <w:tcPr>
            <w:tcW w:type="dxa" w:w="1178"/>
            <w:tcBorders>
              <w:top w:val="nil"/>
              <w:left w:val="nil"/>
              <w:bottom w:val="nil"/>
              <w:right w:val="nil"/>
            </w:tcBorders>
            <w:shd w:val="clear" w:color="auto" w:fill="auto"/>
            <w:tcMar>
              <w:top w:type="dxa" w:w="80"/>
              <w:left w:type="dxa" w:w="80"/>
              <w:bottom w:type="dxa" w:w="80"/>
              <w:right w:type="dxa" w:w="80"/>
            </w:tcMar>
            <w:vAlign w:val="top"/>
          </w:tcPr>
          <w:p/>
        </w:tc>
        <w:tc>
          <w:tcPr>
            <w:tcW w:type="dxa" w:w="1124"/>
            <w:tcBorders>
              <w:top w:val="nil"/>
              <w:left w:val="nil"/>
              <w:bottom w:val="nil"/>
              <w:right w:val="nil"/>
            </w:tcBorders>
            <w:shd w:val="clear" w:color="auto" w:fill="auto"/>
            <w:tcMar>
              <w:top w:type="dxa" w:w="80"/>
              <w:left w:type="dxa" w:w="80"/>
              <w:bottom w:type="dxa" w:w="80"/>
              <w:right w:type="dxa" w:w="80"/>
            </w:tcMar>
            <w:vAlign w:val="top"/>
          </w:tcPr>
          <w:p/>
        </w:tc>
      </w:tr>
      <w:tr>
        <w:tblPrEx>
          <w:shd w:val="clear" w:color="auto" w:fill="ced7e7"/>
        </w:tblPrEx>
        <w:trPr>
          <w:trHeight w:val="297" w:hRule="atLeast"/>
        </w:trPr>
        <w:tc>
          <w:tcPr>
            <w:tcW w:type="dxa" w:w="3432"/>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Total</w:t>
            </w:r>
          </w:p>
        </w:tc>
        <w:tc>
          <w:tcPr>
            <w:tcW w:type="dxa" w:w="814"/>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9</w:t>
            </w:r>
          </w:p>
        </w:tc>
        <w:tc>
          <w:tcPr>
            <w:tcW w:type="dxa" w:w="1500"/>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0.080960</w:t>
            </w:r>
          </w:p>
        </w:tc>
        <w:tc>
          <w:tcPr>
            <w:tcW w:type="dxa" w:w="1312"/>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tc>
        <w:tc>
          <w:tcPr>
            <w:tcW w:type="dxa" w:w="1178"/>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tc>
        <w:tc>
          <w:tcPr>
            <w:tcW w:type="dxa" w:w="1124"/>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tc>
      </w:tr>
    </w:tbl>
    <w:p>
      <w:pPr>
        <w:pStyle w:val="Padrão A"/>
        <w:keepNext w:val="1"/>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240" w:lineRule="auto"/>
        <w:ind w:left="216" w:hanging="216"/>
        <w:rPr>
          <w:lang w:val="en-US"/>
        </w:rPr>
      </w:pPr>
    </w:p>
    <w:p>
      <w:pPr>
        <w:pStyle w:val="Padrão A"/>
        <w:keepNext w:val="1"/>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ind w:left="108" w:hanging="108"/>
        <w:rPr>
          <w:sz w:val="20"/>
          <w:szCs w:val="20"/>
          <w:u w:val="none"/>
          <w:lang w:val="en-US"/>
        </w:rPr>
      </w:pPr>
    </w:p>
    <w:p>
      <w:pPr>
        <w:pStyle w:val="Padrão A"/>
        <w:keepNext w:val="1"/>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sz w:val="20"/>
          <w:szCs w:val="20"/>
          <w:u w:val="none"/>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pPr>
      <w:r>
        <w:rPr>
          <w:b w:val="1"/>
          <w:bCs w:val="1"/>
          <w:sz w:val="20"/>
          <w:szCs w:val="20"/>
          <w:u w:val="none"/>
          <w:rtl w:val="0"/>
          <w:lang w:val="en-US"/>
        </w:rPr>
        <w:t>Humic acids</w:t>
      </w:r>
      <w:r>
        <w:rPr>
          <w:b w:val="1"/>
          <w:bCs w:val="1"/>
          <w:sz w:val="20"/>
          <w:szCs w:val="20"/>
          <w:u w:val="none"/>
          <w:rtl w:val="0"/>
          <w:lang w:val="pt-PT"/>
        </w:rPr>
        <w:t xml:space="preserve"> </w:t>
      </w:r>
      <w:r>
        <w:rPr>
          <w:b w:val="1"/>
          <w:bCs w:val="1"/>
          <w:sz w:val="20"/>
          <w:szCs w:val="20"/>
          <w:u w:val="none"/>
          <w:rtl w:val="0"/>
          <w:lang w:val="en-US"/>
        </w:rPr>
        <w:t>Model summary</w:t>
      </w:r>
    </w:p>
    <w:tbl>
      <w:tblPr>
        <w:tblW w:w="9360" w:type="dxa"/>
        <w:jc w:val="left"/>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340"/>
        <w:gridCol w:w="2341"/>
        <w:gridCol w:w="2340"/>
        <w:gridCol w:w="2339"/>
      </w:tblGrid>
      <w:tr>
        <w:tblPrEx>
          <w:shd w:val="clear" w:color="auto" w:fill="ced7e7"/>
        </w:tblPrEx>
        <w:trPr>
          <w:trHeight w:val="305" w:hRule="atLeast"/>
        </w:trPr>
        <w:tc>
          <w:tcPr>
            <w:tcW w:type="dxa" w:w="2340"/>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center"/>
          </w:tcPr>
          <w:p>
            <w:pPr>
              <w:pStyle w:val="Padrão A"/>
              <w:widowControl w:val="0"/>
              <w:tabs>
                <w:tab w:val="left" w:pos="708"/>
              </w:tabs>
              <w:suppressAutoHyphens w:val="1"/>
              <w:spacing w:before="0" w:line="480" w:lineRule="auto"/>
            </w:pPr>
            <w:r>
              <w:rPr>
                <w:b w:val="1"/>
                <w:bCs w:val="1"/>
                <w:i w:val="1"/>
                <w:iCs w:val="1"/>
                <w:sz w:val="24"/>
                <w:szCs w:val="24"/>
                <w:shd w:val="nil" w:color="auto" w:fill="auto"/>
                <w:rtl w:val="0"/>
                <w:lang w:val="en-US"/>
              </w:rPr>
              <w:t>S</w:t>
            </w:r>
          </w:p>
        </w:tc>
        <w:tc>
          <w:tcPr>
            <w:tcW w:type="dxa" w:w="2341"/>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center"/>
          </w:tcPr>
          <w:p>
            <w:pPr>
              <w:pStyle w:val="Padrão A"/>
              <w:widowControl w:val="0"/>
              <w:tabs>
                <w:tab w:val="left" w:pos="708"/>
              </w:tabs>
              <w:suppressAutoHyphens w:val="1"/>
              <w:spacing w:before="0" w:line="480" w:lineRule="auto"/>
            </w:pPr>
            <w:r>
              <w:rPr>
                <w:b w:val="1"/>
                <w:bCs w:val="1"/>
                <w:i w:val="1"/>
                <w:iCs w:val="1"/>
                <w:sz w:val="24"/>
                <w:szCs w:val="24"/>
                <w:shd w:val="nil" w:color="auto" w:fill="auto"/>
                <w:rtl w:val="0"/>
                <w:lang w:val="en-US"/>
              </w:rPr>
              <w:t>R</w:t>
            </w:r>
            <w:r>
              <w:rPr>
                <w:b w:val="1"/>
                <w:bCs w:val="1"/>
                <w:sz w:val="24"/>
                <w:szCs w:val="24"/>
                <w:shd w:val="nil" w:color="auto" w:fill="auto"/>
                <w:vertAlign w:val="superscript"/>
                <w:rtl w:val="0"/>
                <w:lang w:val="en-US"/>
              </w:rPr>
              <w:t>2</w:t>
            </w:r>
          </w:p>
        </w:tc>
        <w:tc>
          <w:tcPr>
            <w:tcW w:type="dxa" w:w="2340"/>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center"/>
          </w:tcPr>
          <w:p>
            <w:pPr>
              <w:pStyle w:val="Padrão A"/>
              <w:widowControl w:val="0"/>
              <w:tabs>
                <w:tab w:val="left" w:pos="708"/>
              </w:tabs>
              <w:suppressAutoHyphens w:val="1"/>
              <w:spacing w:before="0" w:line="480" w:lineRule="auto"/>
            </w:pPr>
            <w:r>
              <w:rPr>
                <w:b w:val="1"/>
                <w:bCs w:val="1"/>
                <w:sz w:val="24"/>
                <w:szCs w:val="24"/>
                <w:shd w:val="nil" w:color="auto" w:fill="auto"/>
                <w:rtl w:val="0"/>
                <w:lang w:val="en-US"/>
              </w:rPr>
              <w:t xml:space="preserve">Adjusted </w:t>
            </w:r>
            <w:r>
              <w:rPr>
                <w:b w:val="1"/>
                <w:bCs w:val="1"/>
                <w:i w:val="1"/>
                <w:iCs w:val="1"/>
                <w:sz w:val="24"/>
                <w:szCs w:val="24"/>
                <w:shd w:val="nil" w:color="auto" w:fill="auto"/>
                <w:rtl w:val="0"/>
                <w:lang w:val="en-US"/>
              </w:rPr>
              <w:t>R</w:t>
            </w:r>
            <w:r>
              <w:rPr>
                <w:b w:val="1"/>
                <w:bCs w:val="1"/>
                <w:sz w:val="24"/>
                <w:szCs w:val="24"/>
                <w:shd w:val="nil" w:color="auto" w:fill="auto"/>
                <w:vertAlign w:val="superscript"/>
                <w:rtl w:val="0"/>
                <w:lang w:val="en-US"/>
              </w:rPr>
              <w:t>2</w:t>
            </w:r>
          </w:p>
        </w:tc>
        <w:tc>
          <w:tcPr>
            <w:tcW w:type="dxa" w:w="2339"/>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center"/>
          </w:tcPr>
          <w:p>
            <w:pPr>
              <w:pStyle w:val="Padrão A"/>
              <w:widowControl w:val="0"/>
              <w:tabs>
                <w:tab w:val="left" w:pos="708"/>
              </w:tabs>
              <w:suppressAutoHyphens w:val="1"/>
              <w:spacing w:before="0" w:line="480" w:lineRule="auto"/>
            </w:pPr>
            <w:r>
              <w:rPr>
                <w:b w:val="1"/>
                <w:bCs w:val="1"/>
                <w:sz w:val="24"/>
                <w:szCs w:val="24"/>
                <w:shd w:val="nil" w:color="auto" w:fill="auto"/>
                <w:rtl w:val="0"/>
                <w:lang w:val="en-US"/>
              </w:rPr>
              <w:t xml:space="preserve">Predicted </w:t>
            </w:r>
            <w:r>
              <w:rPr>
                <w:b w:val="1"/>
                <w:bCs w:val="1"/>
                <w:i w:val="1"/>
                <w:iCs w:val="1"/>
                <w:sz w:val="24"/>
                <w:szCs w:val="24"/>
                <w:shd w:val="nil" w:color="auto" w:fill="auto"/>
                <w:rtl w:val="0"/>
                <w:lang w:val="en-US"/>
              </w:rPr>
              <w:t>R</w:t>
            </w:r>
            <w:r>
              <w:rPr>
                <w:b w:val="1"/>
                <w:bCs w:val="1"/>
                <w:sz w:val="24"/>
                <w:szCs w:val="24"/>
                <w:shd w:val="nil" w:color="auto" w:fill="auto"/>
                <w:vertAlign w:val="superscript"/>
                <w:rtl w:val="0"/>
                <w:lang w:val="en-US"/>
              </w:rPr>
              <w:t>2</w:t>
            </w:r>
          </w:p>
        </w:tc>
      </w:tr>
      <w:tr>
        <w:tblPrEx>
          <w:shd w:val="clear" w:color="auto" w:fill="ced7e7"/>
        </w:tblPrEx>
        <w:trPr>
          <w:trHeight w:val="305" w:hRule="atLeast"/>
        </w:trPr>
        <w:tc>
          <w:tcPr>
            <w:tcW w:type="dxa" w:w="2340"/>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center"/>
          </w:tcPr>
          <w:p>
            <w:pPr>
              <w:pStyle w:val="Padrão A"/>
              <w:widowControl w:val="0"/>
              <w:tabs>
                <w:tab w:val="left" w:pos="708"/>
              </w:tabs>
              <w:suppressAutoHyphens w:val="1"/>
              <w:spacing w:before="0" w:line="480" w:lineRule="auto"/>
            </w:pPr>
            <w:r>
              <w:rPr>
                <w:sz w:val="24"/>
                <w:szCs w:val="24"/>
                <w:shd w:val="nil" w:color="auto" w:fill="auto"/>
                <w:rtl w:val="0"/>
                <w:lang w:val="en-US"/>
              </w:rPr>
              <w:t>0.0239687</w:t>
            </w:r>
          </w:p>
        </w:tc>
        <w:tc>
          <w:tcPr>
            <w:tcW w:type="dxa" w:w="2341"/>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center"/>
          </w:tcPr>
          <w:p>
            <w:pPr>
              <w:pStyle w:val="Padrão A"/>
              <w:widowControl w:val="0"/>
              <w:tabs>
                <w:tab w:val="left" w:pos="708"/>
              </w:tabs>
              <w:suppressAutoHyphens w:val="1"/>
              <w:spacing w:before="0" w:line="480" w:lineRule="auto"/>
            </w:pPr>
            <w:r>
              <w:rPr>
                <w:sz w:val="24"/>
                <w:szCs w:val="24"/>
                <w:shd w:val="nil" w:color="auto" w:fill="auto"/>
                <w:rtl w:val="0"/>
                <w:lang w:val="en-US"/>
              </w:rPr>
              <w:t>96.45%</w:t>
            </w:r>
          </w:p>
        </w:tc>
        <w:tc>
          <w:tcPr>
            <w:tcW w:type="dxa" w:w="2340"/>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center"/>
          </w:tcPr>
          <w:p>
            <w:pPr>
              <w:pStyle w:val="Padrão A"/>
              <w:widowControl w:val="0"/>
              <w:tabs>
                <w:tab w:val="left" w:pos="708"/>
              </w:tabs>
              <w:suppressAutoHyphens w:val="1"/>
              <w:spacing w:before="0" w:line="480" w:lineRule="auto"/>
            </w:pPr>
            <w:r>
              <w:rPr>
                <w:sz w:val="24"/>
                <w:szCs w:val="24"/>
                <w:shd w:val="nil" w:color="auto" w:fill="auto"/>
                <w:rtl w:val="0"/>
                <w:lang w:val="en-US"/>
              </w:rPr>
              <w:t>93.61%</w:t>
            </w:r>
          </w:p>
        </w:tc>
        <w:tc>
          <w:tcPr>
            <w:tcW w:type="dxa" w:w="2339"/>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center"/>
          </w:tcPr>
          <w:p>
            <w:pPr>
              <w:pStyle w:val="Padrão A"/>
              <w:widowControl w:val="0"/>
              <w:tabs>
                <w:tab w:val="left" w:pos="708"/>
              </w:tabs>
              <w:suppressAutoHyphens w:val="1"/>
              <w:spacing w:before="0" w:line="480" w:lineRule="auto"/>
            </w:pPr>
            <w:r>
              <w:rPr>
                <w:sz w:val="24"/>
                <w:szCs w:val="24"/>
                <w:shd w:val="nil" w:color="auto" w:fill="auto"/>
                <w:rtl w:val="0"/>
                <w:lang w:val="en-US"/>
              </w:rPr>
              <w:t>86.03%</w:t>
            </w:r>
          </w:p>
        </w:tc>
      </w:tr>
    </w:tbl>
    <w:p>
      <w:pPr>
        <w:pStyle w:val="Padrão 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240" w:lineRule="auto"/>
        <w:ind w:left="216" w:hanging="216"/>
      </w:pPr>
    </w:p>
    <w:p>
      <w:pPr>
        <w:pStyle w:val="Padrão 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ind w:left="108" w:hanging="108"/>
        <w:rPr>
          <w:b w:val="1"/>
          <w:bCs w:val="1"/>
          <w:sz w:val="20"/>
          <w:szCs w:val="20"/>
          <w:u w:val="none"/>
          <w:lang w:val="en-US"/>
        </w:rPr>
      </w:pPr>
    </w:p>
    <w:p>
      <w:pPr>
        <w:pStyle w:val="Padrão 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sz w:val="20"/>
          <w:szCs w:val="20"/>
          <w:u w:val="none"/>
          <w:lang w:val="en-US"/>
        </w:rPr>
      </w:pPr>
    </w:p>
    <w:p>
      <w:pPr>
        <w:pStyle w:val="Padrão A"/>
        <w:keepNext w:val="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lang w:val="en-US"/>
        </w:rPr>
      </w:pPr>
      <w:r>
        <w:rPr>
          <w:b w:val="1"/>
          <w:bCs w:val="1"/>
          <w:sz w:val="20"/>
          <w:szCs w:val="20"/>
          <w:u w:val="none"/>
          <w:rtl w:val="0"/>
          <w:lang w:val="en-US"/>
        </w:rPr>
        <w:t>Table S2</w:t>
      </w:r>
      <w:r>
        <w:rPr>
          <w:sz w:val="20"/>
          <w:szCs w:val="20"/>
          <w:u w:val="none"/>
          <w:rtl w:val="0"/>
          <w:lang w:val="en-US"/>
        </w:rPr>
        <w:t xml:space="preserve"> Analysis of variance for fulvic acid + humin degradation</w:t>
      </w:r>
    </w:p>
    <w:tbl>
      <w:tblPr>
        <w:tblW w:w="9359" w:type="dxa"/>
        <w:jc w:val="left"/>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429"/>
        <w:gridCol w:w="811"/>
        <w:gridCol w:w="1498"/>
        <w:gridCol w:w="1313"/>
        <w:gridCol w:w="1179"/>
        <w:gridCol w:w="1129"/>
      </w:tblGrid>
      <w:tr>
        <w:tblPrEx>
          <w:shd w:val="clear" w:color="auto" w:fill="ced7e7"/>
        </w:tblPrEx>
        <w:trPr>
          <w:trHeight w:val="305" w:hRule="atLeast"/>
        </w:trPr>
        <w:tc>
          <w:tcPr>
            <w:tcW w:type="dxa" w:w="3429"/>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b w:val="1"/>
                <w:bCs w:val="1"/>
                <w:sz w:val="24"/>
                <w:szCs w:val="24"/>
                <w:shd w:val="nil" w:color="auto" w:fill="auto"/>
                <w:rtl w:val="0"/>
                <w:lang w:val="en-US"/>
              </w:rPr>
              <w:t>Source</w:t>
            </w:r>
          </w:p>
        </w:tc>
        <w:tc>
          <w:tcPr>
            <w:tcW w:type="dxa" w:w="811"/>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b w:val="1"/>
                <w:bCs w:val="1"/>
                <w:sz w:val="24"/>
                <w:szCs w:val="24"/>
                <w:shd w:val="nil" w:color="auto" w:fill="auto"/>
                <w:rtl w:val="0"/>
                <w:lang w:val="en-US"/>
              </w:rPr>
              <w:t>df</w:t>
            </w:r>
          </w:p>
        </w:tc>
        <w:tc>
          <w:tcPr>
            <w:tcW w:type="dxa" w:w="1498"/>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b w:val="1"/>
                <w:bCs w:val="1"/>
                <w:sz w:val="24"/>
                <w:szCs w:val="24"/>
                <w:shd w:val="nil" w:color="auto" w:fill="auto"/>
                <w:rtl w:val="0"/>
                <w:lang w:val="en-US"/>
              </w:rPr>
              <w:t>Adj SS</w:t>
            </w:r>
          </w:p>
        </w:tc>
        <w:tc>
          <w:tcPr>
            <w:tcW w:type="dxa" w:w="1313"/>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b w:val="1"/>
                <w:bCs w:val="1"/>
                <w:sz w:val="24"/>
                <w:szCs w:val="24"/>
                <w:shd w:val="nil" w:color="auto" w:fill="auto"/>
                <w:rtl w:val="0"/>
                <w:lang w:val="en-US"/>
              </w:rPr>
              <w:t>Adj MS</w:t>
            </w:r>
          </w:p>
        </w:tc>
        <w:tc>
          <w:tcPr>
            <w:tcW w:type="dxa" w:w="1179"/>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b w:val="1"/>
                <w:bCs w:val="1"/>
                <w:i w:val="1"/>
                <w:iCs w:val="1"/>
                <w:sz w:val="24"/>
                <w:szCs w:val="24"/>
                <w:shd w:val="nil" w:color="auto" w:fill="auto"/>
                <w:rtl w:val="0"/>
                <w:lang w:val="en-US"/>
              </w:rPr>
              <w:t>F</w:t>
            </w:r>
            <w:r>
              <w:rPr>
                <w:b w:val="1"/>
                <w:bCs w:val="1"/>
                <w:sz w:val="24"/>
                <w:szCs w:val="24"/>
                <w:shd w:val="nil" w:color="auto" w:fill="auto"/>
                <w:rtl w:val="0"/>
                <w:lang w:val="en-US"/>
              </w:rPr>
              <w:t>-value</w:t>
            </w:r>
          </w:p>
        </w:tc>
        <w:tc>
          <w:tcPr>
            <w:tcW w:type="dxa" w:w="1129"/>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b w:val="1"/>
                <w:bCs w:val="1"/>
                <w:i w:val="1"/>
                <w:iCs w:val="1"/>
                <w:sz w:val="24"/>
                <w:szCs w:val="24"/>
                <w:shd w:val="nil" w:color="auto" w:fill="auto"/>
                <w:rtl w:val="0"/>
                <w:lang w:val="en-US"/>
              </w:rPr>
              <w:t>P</w:t>
            </w:r>
            <w:r>
              <w:rPr>
                <w:b w:val="1"/>
                <w:bCs w:val="1"/>
                <w:sz w:val="24"/>
                <w:szCs w:val="24"/>
                <w:shd w:val="nil" w:color="auto" w:fill="auto"/>
                <w:rtl w:val="0"/>
                <w:lang w:val="en-US"/>
              </w:rPr>
              <w:t>-value</w:t>
            </w:r>
          </w:p>
        </w:tc>
      </w:tr>
      <w:tr>
        <w:tblPrEx>
          <w:shd w:val="clear" w:color="auto" w:fill="ced7e7"/>
        </w:tblPrEx>
        <w:trPr>
          <w:trHeight w:val="297" w:hRule="atLeast"/>
        </w:trPr>
        <w:tc>
          <w:tcPr>
            <w:tcW w:type="dxa" w:w="3429"/>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Regression</w:t>
            </w:r>
          </w:p>
        </w:tc>
        <w:tc>
          <w:tcPr>
            <w:tcW w:type="dxa" w:w="811"/>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4</w:t>
            </w:r>
          </w:p>
        </w:tc>
        <w:tc>
          <w:tcPr>
            <w:tcW w:type="dxa" w:w="1498"/>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0.043080</w:t>
            </w:r>
          </w:p>
        </w:tc>
        <w:tc>
          <w:tcPr>
            <w:tcW w:type="dxa" w:w="1313"/>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0.010770</w:t>
            </w:r>
          </w:p>
        </w:tc>
        <w:tc>
          <w:tcPr>
            <w:tcW w:type="dxa" w:w="1179"/>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149.58</w:t>
            </w:r>
          </w:p>
        </w:tc>
        <w:tc>
          <w:tcPr>
            <w:tcW w:type="dxa" w:w="1129"/>
            <w:tcBorders>
              <w:top w:val="single" w:color="000000" w:sz="6" w:space="0" w:shadow="0" w:frame="0"/>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0.000</w:t>
            </w:r>
          </w:p>
        </w:tc>
      </w:tr>
      <w:tr>
        <w:tblPrEx>
          <w:shd w:val="clear" w:color="auto" w:fill="ced7e7"/>
        </w:tblPrEx>
        <w:trPr>
          <w:trHeight w:val="290" w:hRule="atLeast"/>
        </w:trPr>
        <w:tc>
          <w:tcPr>
            <w:tcW w:type="dxa" w:w="3429"/>
            <w:tcBorders>
              <w:top w:val="nil"/>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[ZnO</w:t>
            </w:r>
            <w:r>
              <w:rPr>
                <w:sz w:val="24"/>
                <w:szCs w:val="24"/>
                <w:shd w:val="nil" w:color="auto" w:fill="auto"/>
                <w:rtl w:val="0"/>
                <w:lang w:val="en-US"/>
              </w:rPr>
              <w:t>–</w:t>
            </w:r>
            <w:r>
              <w:rPr>
                <w:sz w:val="24"/>
                <w:szCs w:val="24"/>
                <w:shd w:val="nil" w:color="auto" w:fill="auto"/>
                <w:rtl w:val="0"/>
                <w:lang w:val="en-US"/>
              </w:rPr>
              <w:t>TiO</w:t>
            </w:r>
            <w:r>
              <w:rPr>
                <w:sz w:val="24"/>
                <w:szCs w:val="24"/>
                <w:shd w:val="nil" w:color="auto" w:fill="auto"/>
                <w:vertAlign w:val="subscript"/>
                <w:rtl w:val="0"/>
                <w:lang w:val="en-US"/>
              </w:rPr>
              <w:t>2</w:t>
            </w:r>
            <w:r>
              <w:rPr>
                <w:sz w:val="24"/>
                <w:szCs w:val="24"/>
                <w:shd w:val="nil" w:color="auto" w:fill="auto"/>
                <w:rtl w:val="0"/>
                <w:lang w:val="en-US"/>
              </w:rPr>
              <w:t>]</w:t>
            </w:r>
          </w:p>
        </w:tc>
        <w:tc>
          <w:tcPr>
            <w:tcW w:type="dxa" w:w="811"/>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w:t>
            </w:r>
          </w:p>
        </w:tc>
        <w:tc>
          <w:tcPr>
            <w:tcW w:type="dxa" w:w="1498"/>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0.028800</w:t>
            </w:r>
          </w:p>
        </w:tc>
        <w:tc>
          <w:tcPr>
            <w:tcW w:type="dxa" w:w="1313"/>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0.028800</w:t>
            </w:r>
          </w:p>
        </w:tc>
        <w:tc>
          <w:tcPr>
            <w:tcW w:type="dxa" w:w="1179"/>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400.00</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0.000</w:t>
            </w:r>
          </w:p>
        </w:tc>
      </w:tr>
      <w:tr>
        <w:tblPrEx>
          <w:shd w:val="clear" w:color="auto" w:fill="ced7e7"/>
        </w:tblPrEx>
        <w:trPr>
          <w:trHeight w:val="290" w:hRule="atLeast"/>
        </w:trPr>
        <w:tc>
          <w:tcPr>
            <w:tcW w:type="dxa" w:w="3429"/>
            <w:tcBorders>
              <w:top w:val="nil"/>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Replicate</w:t>
            </w:r>
          </w:p>
        </w:tc>
        <w:tc>
          <w:tcPr>
            <w:tcW w:type="dxa" w:w="811"/>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w:t>
            </w:r>
          </w:p>
        </w:tc>
        <w:tc>
          <w:tcPr>
            <w:tcW w:type="dxa" w:w="1498"/>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0.007840</w:t>
            </w:r>
          </w:p>
        </w:tc>
        <w:tc>
          <w:tcPr>
            <w:tcW w:type="dxa" w:w="1313"/>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0.007840</w:t>
            </w:r>
          </w:p>
        </w:tc>
        <w:tc>
          <w:tcPr>
            <w:tcW w:type="dxa" w:w="1179"/>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108.89</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0.000</w:t>
            </w:r>
          </w:p>
        </w:tc>
      </w:tr>
      <w:tr>
        <w:tblPrEx>
          <w:shd w:val="clear" w:color="auto" w:fill="ced7e7"/>
        </w:tblPrEx>
        <w:trPr>
          <w:trHeight w:val="290" w:hRule="atLeast"/>
        </w:trPr>
        <w:tc>
          <w:tcPr>
            <w:tcW w:type="dxa" w:w="3429"/>
            <w:tcBorders>
              <w:top w:val="nil"/>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[ZnO</w:t>
            </w:r>
            <w:r>
              <w:rPr>
                <w:sz w:val="24"/>
                <w:szCs w:val="24"/>
                <w:shd w:val="nil" w:color="auto" w:fill="auto"/>
                <w:rtl w:val="0"/>
                <w:lang w:val="en-US"/>
              </w:rPr>
              <w:t>–</w:t>
            </w:r>
            <w:r>
              <w:rPr>
                <w:sz w:val="24"/>
                <w:szCs w:val="24"/>
                <w:shd w:val="nil" w:color="auto" w:fill="auto"/>
                <w:rtl w:val="0"/>
                <w:lang w:val="en-US"/>
              </w:rPr>
              <w:t>TiO</w:t>
            </w:r>
            <w:r>
              <w:rPr>
                <w:sz w:val="24"/>
                <w:szCs w:val="24"/>
                <w:shd w:val="nil" w:color="auto" w:fill="auto"/>
                <w:vertAlign w:val="subscript"/>
                <w:rtl w:val="0"/>
                <w:lang w:val="en-US"/>
              </w:rPr>
              <w:t>2</w:t>
            </w:r>
            <w:r>
              <w:rPr>
                <w:sz w:val="24"/>
                <w:szCs w:val="24"/>
                <w:shd w:val="nil" w:color="auto" w:fill="auto"/>
                <w:rtl w:val="0"/>
                <w:lang w:val="en-US"/>
              </w:rPr>
              <w:t>]*[ZnO</w:t>
            </w:r>
            <w:r>
              <w:rPr>
                <w:sz w:val="24"/>
                <w:szCs w:val="24"/>
                <w:shd w:val="nil" w:color="auto" w:fill="auto"/>
                <w:rtl w:val="0"/>
                <w:lang w:val="en-US"/>
              </w:rPr>
              <w:t>–</w:t>
            </w:r>
            <w:r>
              <w:rPr>
                <w:sz w:val="24"/>
                <w:szCs w:val="24"/>
                <w:shd w:val="nil" w:color="auto" w:fill="auto"/>
                <w:rtl w:val="0"/>
                <w:lang w:val="en-US"/>
              </w:rPr>
              <w:t>TiO</w:t>
            </w:r>
            <w:r>
              <w:rPr>
                <w:sz w:val="24"/>
                <w:szCs w:val="24"/>
                <w:shd w:val="nil" w:color="auto" w:fill="auto"/>
                <w:vertAlign w:val="subscript"/>
                <w:rtl w:val="0"/>
                <w:lang w:val="en-US"/>
              </w:rPr>
              <w:t>2</w:t>
            </w:r>
            <w:r>
              <w:rPr>
                <w:sz w:val="24"/>
                <w:szCs w:val="24"/>
                <w:shd w:val="nil" w:color="auto" w:fill="auto"/>
                <w:rtl w:val="0"/>
                <w:lang w:val="en-US"/>
              </w:rPr>
              <w:t>]</w:t>
            </w:r>
          </w:p>
        </w:tc>
        <w:tc>
          <w:tcPr>
            <w:tcW w:type="dxa" w:w="811"/>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w:t>
            </w:r>
          </w:p>
        </w:tc>
        <w:tc>
          <w:tcPr>
            <w:tcW w:type="dxa" w:w="1498"/>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0.003240</w:t>
            </w:r>
          </w:p>
        </w:tc>
        <w:tc>
          <w:tcPr>
            <w:tcW w:type="dxa" w:w="1313"/>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0.003240</w:t>
            </w:r>
          </w:p>
        </w:tc>
        <w:tc>
          <w:tcPr>
            <w:tcW w:type="dxa" w:w="1179"/>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45.00</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0.001</w:t>
            </w:r>
          </w:p>
        </w:tc>
      </w:tr>
      <w:tr>
        <w:tblPrEx>
          <w:shd w:val="clear" w:color="auto" w:fill="ced7e7"/>
        </w:tblPrEx>
        <w:trPr>
          <w:trHeight w:val="290" w:hRule="atLeast"/>
        </w:trPr>
        <w:tc>
          <w:tcPr>
            <w:tcW w:type="dxa" w:w="3429"/>
            <w:tcBorders>
              <w:top w:val="nil"/>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[ZnO</w:t>
            </w:r>
            <w:r>
              <w:rPr>
                <w:sz w:val="24"/>
                <w:szCs w:val="24"/>
                <w:shd w:val="nil" w:color="auto" w:fill="auto"/>
                <w:rtl w:val="0"/>
                <w:lang w:val="en-US"/>
              </w:rPr>
              <w:t>–</w:t>
            </w:r>
            <w:r>
              <w:rPr>
                <w:sz w:val="24"/>
                <w:szCs w:val="24"/>
                <w:shd w:val="nil" w:color="auto" w:fill="auto"/>
                <w:rtl w:val="0"/>
                <w:lang w:val="en-US"/>
              </w:rPr>
              <w:t>TiO</w:t>
            </w:r>
            <w:r>
              <w:rPr>
                <w:sz w:val="24"/>
                <w:szCs w:val="24"/>
                <w:shd w:val="nil" w:color="auto" w:fill="auto"/>
                <w:vertAlign w:val="subscript"/>
                <w:rtl w:val="0"/>
                <w:lang w:val="en-US"/>
              </w:rPr>
              <w:t>2</w:t>
            </w:r>
            <w:r>
              <w:rPr>
                <w:sz w:val="24"/>
                <w:szCs w:val="24"/>
                <w:shd w:val="nil" w:color="auto" w:fill="auto"/>
                <w:rtl w:val="0"/>
                <w:lang w:val="en-US"/>
              </w:rPr>
              <w:t>]*[pH]</w:t>
            </w:r>
          </w:p>
        </w:tc>
        <w:tc>
          <w:tcPr>
            <w:tcW w:type="dxa" w:w="811"/>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1</w:t>
            </w:r>
          </w:p>
        </w:tc>
        <w:tc>
          <w:tcPr>
            <w:tcW w:type="dxa" w:w="1498"/>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0.003200</w:t>
            </w:r>
          </w:p>
        </w:tc>
        <w:tc>
          <w:tcPr>
            <w:tcW w:type="dxa" w:w="1313"/>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0.003200</w:t>
            </w:r>
          </w:p>
        </w:tc>
        <w:tc>
          <w:tcPr>
            <w:tcW w:type="dxa" w:w="1179"/>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44.44</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0.001</w:t>
            </w:r>
          </w:p>
        </w:tc>
      </w:tr>
      <w:tr>
        <w:tblPrEx>
          <w:shd w:val="clear" w:color="auto" w:fill="ced7e7"/>
        </w:tblPrEx>
        <w:trPr>
          <w:trHeight w:val="290" w:hRule="atLeast"/>
        </w:trPr>
        <w:tc>
          <w:tcPr>
            <w:tcW w:type="dxa" w:w="3429"/>
            <w:tcBorders>
              <w:top w:val="nil"/>
              <w:left w:val="nil"/>
              <w:bottom w:val="nil"/>
              <w:right w:val="nil"/>
            </w:tcBorders>
            <w:shd w:val="clear" w:color="auto" w:fill="auto"/>
            <w:tcMar>
              <w:top w:type="dxa" w:w="80"/>
              <w:left w:type="dxa" w:w="80"/>
              <w:bottom w:type="dxa" w:w="80"/>
              <w:right w:type="dxa" w:w="80"/>
            </w:tcMar>
            <w:vAlign w:val="top"/>
          </w:tcPr>
          <w:p>
            <w:pPr>
              <w:pStyle w:val="Padrão A"/>
              <w:keepNext w:val="1"/>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Error</w:t>
            </w:r>
          </w:p>
        </w:tc>
        <w:tc>
          <w:tcPr>
            <w:tcW w:type="dxa" w:w="811"/>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5</w:t>
            </w:r>
          </w:p>
        </w:tc>
        <w:tc>
          <w:tcPr>
            <w:tcW w:type="dxa" w:w="1498"/>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0.000360</w:t>
            </w:r>
          </w:p>
        </w:tc>
        <w:tc>
          <w:tcPr>
            <w:tcW w:type="dxa" w:w="1313"/>
            <w:tcBorders>
              <w:top w:val="nil"/>
              <w:left w:val="nil"/>
              <w:bottom w:val="nil"/>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0.000072</w:t>
            </w:r>
          </w:p>
        </w:tc>
        <w:tc>
          <w:tcPr>
            <w:tcW w:type="dxa" w:w="1179"/>
            <w:tcBorders>
              <w:top w:val="nil"/>
              <w:left w:val="nil"/>
              <w:bottom w:val="nil"/>
              <w:right w:val="nil"/>
            </w:tcBorders>
            <w:shd w:val="clear" w:color="auto" w:fill="auto"/>
            <w:tcMar>
              <w:top w:type="dxa" w:w="80"/>
              <w:left w:type="dxa" w:w="80"/>
              <w:bottom w:type="dxa" w:w="80"/>
              <w:right w:type="dxa" w:w="80"/>
            </w:tcMar>
            <w:vAlign w:val="top"/>
          </w:tcPr>
          <w:p/>
        </w:tc>
        <w:tc>
          <w:tcPr>
            <w:tcW w:type="dxa" w:w="1129"/>
            <w:tcBorders>
              <w:top w:val="nil"/>
              <w:left w:val="nil"/>
              <w:bottom w:val="nil"/>
              <w:right w:val="nil"/>
            </w:tcBorders>
            <w:shd w:val="clear" w:color="auto" w:fill="auto"/>
            <w:tcMar>
              <w:top w:type="dxa" w:w="80"/>
              <w:left w:type="dxa" w:w="80"/>
              <w:bottom w:type="dxa" w:w="80"/>
              <w:right w:type="dxa" w:w="80"/>
            </w:tcMar>
            <w:vAlign w:val="top"/>
          </w:tcPr>
          <w:p/>
        </w:tc>
      </w:tr>
      <w:tr>
        <w:tblPrEx>
          <w:shd w:val="clear" w:color="auto" w:fill="ced7e7"/>
        </w:tblPrEx>
        <w:trPr>
          <w:trHeight w:val="297" w:hRule="atLeast"/>
        </w:trPr>
        <w:tc>
          <w:tcPr>
            <w:tcW w:type="dxa" w:w="3429"/>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 w:val="left" w:pos="1416"/>
                <w:tab w:val="left" w:pos="2124"/>
                <w:tab w:val="left" w:pos="2832"/>
              </w:tabs>
              <w:suppressAutoHyphens w:val="1"/>
              <w:spacing w:before="0" w:line="480" w:lineRule="auto"/>
            </w:pPr>
            <w:r>
              <w:rPr>
                <w:sz w:val="24"/>
                <w:szCs w:val="24"/>
                <w:shd w:val="nil" w:color="auto" w:fill="auto"/>
                <w:rtl w:val="0"/>
                <w:lang w:val="en-US"/>
              </w:rPr>
              <w:t>Total</w:t>
            </w:r>
          </w:p>
        </w:tc>
        <w:tc>
          <w:tcPr>
            <w:tcW w:type="dxa" w:w="811"/>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9</w:t>
            </w:r>
          </w:p>
        </w:tc>
        <w:tc>
          <w:tcPr>
            <w:tcW w:type="dxa" w:w="1498"/>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0.043440</w:t>
            </w:r>
          </w:p>
        </w:tc>
        <w:tc>
          <w:tcPr>
            <w:tcW w:type="dxa" w:w="1313"/>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tc>
        <w:tc>
          <w:tcPr>
            <w:tcW w:type="dxa" w:w="1179"/>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tc>
        <w:tc>
          <w:tcPr>
            <w:tcW w:type="dxa" w:w="1129"/>
            <w:tcBorders>
              <w:top w:val="nil"/>
              <w:left w:val="nil"/>
              <w:bottom w:val="single" w:color="000000" w:sz="6" w:space="0" w:shadow="0" w:frame="0"/>
              <w:right w:val="nil"/>
            </w:tcBorders>
            <w:shd w:val="clear" w:color="auto" w:fill="auto"/>
            <w:tcMar>
              <w:top w:type="dxa" w:w="80"/>
              <w:left w:type="dxa" w:w="80"/>
              <w:bottom w:type="dxa" w:w="80"/>
              <w:right w:type="dxa" w:w="80"/>
            </w:tcMar>
            <w:vAlign w:val="top"/>
          </w:tcPr>
          <w:p/>
        </w:tc>
      </w:tr>
    </w:tbl>
    <w:p>
      <w:pPr>
        <w:pStyle w:val="Padrão A"/>
        <w:keepNext w:val="1"/>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240" w:lineRule="auto"/>
        <w:ind w:left="216" w:hanging="216"/>
        <w:rPr>
          <w:lang w:val="en-US"/>
        </w:rPr>
      </w:pPr>
    </w:p>
    <w:p>
      <w:pPr>
        <w:pStyle w:val="Padrão A"/>
        <w:keepNext w:val="1"/>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ind w:left="108" w:hanging="108"/>
        <w:rPr>
          <w:sz w:val="20"/>
          <w:szCs w:val="20"/>
          <w:u w:val="none"/>
          <w:lang w:val="en-US"/>
        </w:rPr>
      </w:pPr>
    </w:p>
    <w:p>
      <w:pPr>
        <w:pStyle w:val="Padrão A"/>
        <w:keepNext w:val="1"/>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ind w:left="55" w:hanging="55"/>
        <w:rPr>
          <w:b w:val="1"/>
          <w:bCs w:val="1"/>
          <w:sz w:val="20"/>
          <w:szCs w:val="20"/>
          <w:u w:val="none"/>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lang w:val="en-US"/>
        </w:rPr>
      </w:pPr>
      <w:r>
        <w:rPr>
          <w:b w:val="1"/>
          <w:bCs w:val="1"/>
          <w:sz w:val="20"/>
          <w:szCs w:val="20"/>
          <w:u w:val="none"/>
          <w:rtl w:val="0"/>
          <w:lang w:val="en-US"/>
        </w:rPr>
        <w:t>Fulvic acids and humins Model summary</w:t>
      </w:r>
    </w:p>
    <w:tbl>
      <w:tblPr>
        <w:tblW w:w="9360" w:type="dxa"/>
        <w:jc w:val="left"/>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341"/>
        <w:gridCol w:w="2340"/>
        <w:gridCol w:w="2340"/>
        <w:gridCol w:w="2339"/>
      </w:tblGrid>
      <w:tr>
        <w:tblPrEx>
          <w:shd w:val="clear" w:color="auto" w:fill="ced7e7"/>
        </w:tblPrEx>
        <w:trPr>
          <w:trHeight w:val="305" w:hRule="atLeast"/>
        </w:trPr>
        <w:tc>
          <w:tcPr>
            <w:tcW w:type="dxa" w:w="2341"/>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bottom"/>
          </w:tcPr>
          <w:p>
            <w:pPr>
              <w:pStyle w:val="Padrão A"/>
              <w:widowControl w:val="0"/>
              <w:tabs>
                <w:tab w:val="left" w:pos="708"/>
              </w:tabs>
              <w:suppressAutoHyphens w:val="1"/>
              <w:spacing w:before="0" w:line="480" w:lineRule="auto"/>
            </w:pPr>
            <w:r>
              <w:rPr>
                <w:b w:val="1"/>
                <w:bCs w:val="1"/>
                <w:i w:val="1"/>
                <w:iCs w:val="1"/>
                <w:sz w:val="24"/>
                <w:szCs w:val="24"/>
                <w:shd w:val="nil" w:color="auto" w:fill="auto"/>
                <w:rtl w:val="0"/>
                <w:lang w:val="en-US"/>
              </w:rPr>
              <w:t>S</w:t>
            </w:r>
          </w:p>
        </w:tc>
        <w:tc>
          <w:tcPr>
            <w:tcW w:type="dxa" w:w="2340"/>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bottom"/>
          </w:tcPr>
          <w:p>
            <w:pPr>
              <w:pStyle w:val="Padrão A"/>
              <w:widowControl w:val="0"/>
              <w:tabs>
                <w:tab w:val="left" w:pos="708"/>
              </w:tabs>
              <w:suppressAutoHyphens w:val="1"/>
              <w:spacing w:before="0" w:line="480" w:lineRule="auto"/>
            </w:pPr>
            <w:r>
              <w:rPr>
                <w:b w:val="1"/>
                <w:bCs w:val="1"/>
                <w:i w:val="1"/>
                <w:iCs w:val="1"/>
                <w:sz w:val="24"/>
                <w:szCs w:val="24"/>
                <w:shd w:val="nil" w:color="auto" w:fill="auto"/>
                <w:rtl w:val="0"/>
                <w:lang w:val="en-US"/>
              </w:rPr>
              <w:t>R</w:t>
            </w:r>
            <w:r>
              <w:rPr>
                <w:b w:val="1"/>
                <w:bCs w:val="1"/>
                <w:sz w:val="24"/>
                <w:szCs w:val="24"/>
                <w:shd w:val="nil" w:color="auto" w:fill="auto"/>
                <w:vertAlign w:val="superscript"/>
                <w:rtl w:val="0"/>
                <w:lang w:val="en-US"/>
              </w:rPr>
              <w:t>2</w:t>
            </w:r>
          </w:p>
        </w:tc>
        <w:tc>
          <w:tcPr>
            <w:tcW w:type="dxa" w:w="2340"/>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bottom"/>
          </w:tcPr>
          <w:p>
            <w:pPr>
              <w:pStyle w:val="Padrão A"/>
              <w:widowControl w:val="0"/>
              <w:tabs>
                <w:tab w:val="left" w:pos="708"/>
              </w:tabs>
              <w:suppressAutoHyphens w:val="1"/>
              <w:spacing w:before="0" w:line="480" w:lineRule="auto"/>
            </w:pPr>
            <w:r>
              <w:rPr>
                <w:b w:val="1"/>
                <w:bCs w:val="1"/>
                <w:sz w:val="24"/>
                <w:szCs w:val="24"/>
                <w:shd w:val="nil" w:color="auto" w:fill="auto"/>
                <w:rtl w:val="0"/>
                <w:lang w:val="en-US"/>
              </w:rPr>
              <w:t xml:space="preserve">Adjusted </w:t>
            </w:r>
            <w:r>
              <w:rPr>
                <w:b w:val="1"/>
                <w:bCs w:val="1"/>
                <w:i w:val="1"/>
                <w:iCs w:val="1"/>
                <w:sz w:val="24"/>
                <w:szCs w:val="24"/>
                <w:shd w:val="nil" w:color="auto" w:fill="auto"/>
                <w:rtl w:val="0"/>
                <w:lang w:val="en-US"/>
              </w:rPr>
              <w:t>R</w:t>
            </w:r>
            <w:r>
              <w:rPr>
                <w:b w:val="1"/>
                <w:bCs w:val="1"/>
                <w:sz w:val="24"/>
                <w:szCs w:val="24"/>
                <w:shd w:val="nil" w:color="auto" w:fill="auto"/>
                <w:vertAlign w:val="superscript"/>
                <w:rtl w:val="0"/>
                <w:lang w:val="en-US"/>
              </w:rPr>
              <w:t>2</w:t>
            </w:r>
          </w:p>
        </w:tc>
        <w:tc>
          <w:tcPr>
            <w:tcW w:type="dxa" w:w="2339"/>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bottom"/>
          </w:tcPr>
          <w:p>
            <w:pPr>
              <w:pStyle w:val="Padrão A"/>
              <w:widowControl w:val="0"/>
              <w:tabs>
                <w:tab w:val="left" w:pos="708"/>
              </w:tabs>
              <w:suppressAutoHyphens w:val="1"/>
              <w:spacing w:before="0" w:line="480" w:lineRule="auto"/>
            </w:pPr>
            <w:r>
              <w:rPr>
                <w:b w:val="1"/>
                <w:bCs w:val="1"/>
                <w:sz w:val="24"/>
                <w:szCs w:val="24"/>
                <w:shd w:val="nil" w:color="auto" w:fill="auto"/>
                <w:rtl w:val="0"/>
                <w:lang w:val="en-US"/>
              </w:rPr>
              <w:t xml:space="preserve">Predicted </w:t>
            </w:r>
            <w:r>
              <w:rPr>
                <w:b w:val="1"/>
                <w:bCs w:val="1"/>
                <w:i w:val="1"/>
                <w:iCs w:val="1"/>
                <w:sz w:val="24"/>
                <w:szCs w:val="24"/>
                <w:shd w:val="nil" w:color="auto" w:fill="auto"/>
                <w:rtl w:val="0"/>
                <w:lang w:val="en-US"/>
              </w:rPr>
              <w:t>R</w:t>
            </w:r>
            <w:r>
              <w:rPr>
                <w:b w:val="1"/>
                <w:bCs w:val="1"/>
                <w:sz w:val="24"/>
                <w:szCs w:val="24"/>
                <w:shd w:val="nil" w:color="auto" w:fill="auto"/>
                <w:vertAlign w:val="superscript"/>
                <w:rtl w:val="0"/>
                <w:lang w:val="en-US"/>
              </w:rPr>
              <w:t>2</w:t>
            </w:r>
          </w:p>
        </w:tc>
      </w:tr>
      <w:tr>
        <w:tblPrEx>
          <w:shd w:val="clear" w:color="auto" w:fill="ced7e7"/>
        </w:tblPrEx>
        <w:trPr>
          <w:trHeight w:val="305" w:hRule="atLeast"/>
        </w:trPr>
        <w:tc>
          <w:tcPr>
            <w:tcW w:type="dxa" w:w="2341"/>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0.0084853</w:t>
            </w:r>
          </w:p>
        </w:tc>
        <w:tc>
          <w:tcPr>
            <w:tcW w:type="dxa" w:w="2340"/>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99.17%</w:t>
            </w:r>
          </w:p>
        </w:tc>
        <w:tc>
          <w:tcPr>
            <w:tcW w:type="dxa" w:w="2340"/>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98.51%</w:t>
            </w:r>
          </w:p>
        </w:tc>
        <w:tc>
          <w:tcPr>
            <w:tcW w:type="dxa" w:w="2339"/>
            <w:tcBorders>
              <w:top w:val="single" w:color="000000" w:sz="6" w:space="0" w:shadow="0" w:frame="0"/>
              <w:left w:val="nil"/>
              <w:bottom w:val="single" w:color="000000" w:sz="6" w:space="0" w:shadow="0" w:frame="0"/>
              <w:right w:val="nil"/>
            </w:tcBorders>
            <w:shd w:val="clear" w:color="auto" w:fill="ffffff"/>
            <w:tcMar>
              <w:top w:type="dxa" w:w="80"/>
              <w:left w:type="dxa" w:w="80"/>
              <w:bottom w:type="dxa" w:w="80"/>
              <w:right w:type="dxa" w:w="80"/>
            </w:tcMar>
            <w:vAlign w:val="top"/>
          </w:tcPr>
          <w:p>
            <w:pPr>
              <w:pStyle w:val="Padrão A"/>
              <w:widowControl w:val="0"/>
              <w:tabs>
                <w:tab w:val="left" w:pos="708"/>
              </w:tabs>
              <w:suppressAutoHyphens w:val="1"/>
              <w:spacing w:before="0" w:line="480" w:lineRule="auto"/>
            </w:pPr>
            <w:r>
              <w:rPr>
                <w:sz w:val="24"/>
                <w:szCs w:val="24"/>
                <w:shd w:val="nil" w:color="auto" w:fill="auto"/>
                <w:rtl w:val="0"/>
                <w:lang w:val="en-US"/>
              </w:rPr>
              <w:t>96.94%</w:t>
            </w:r>
          </w:p>
        </w:tc>
      </w:tr>
    </w:tbl>
    <w:p>
      <w:pPr>
        <w:pStyle w:val="Padrão 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240" w:lineRule="auto"/>
        <w:ind w:left="216" w:hanging="216"/>
        <w:rPr>
          <w:b w:val="1"/>
          <w:bCs w:val="1"/>
          <w:sz w:val="20"/>
          <w:szCs w:val="20"/>
          <w:u w:val="none"/>
          <w:lang w:val="en-US"/>
        </w:rPr>
      </w:pPr>
    </w:p>
    <w:p>
      <w:pPr>
        <w:pStyle w:val="Padrão 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ind w:left="108" w:hanging="108"/>
        <w:rPr>
          <w:b w:val="1"/>
          <w:bCs w:val="1"/>
          <w:sz w:val="20"/>
          <w:szCs w:val="20"/>
          <w:u w:val="none"/>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shd w:val="clear" w:color="auto" w:fill="00ffff"/>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b w:val="1"/>
          <w:bCs w:val="1"/>
          <w:sz w:val="20"/>
          <w:szCs w:val="20"/>
          <w:u w:val="none"/>
          <w:lang w:val="en-US"/>
        </w:rPr>
      </w:pPr>
      <w:r>
        <w:rPr>
          <w:b w:val="1"/>
          <w:bCs w:val="1"/>
          <w:sz w:val="20"/>
          <w:szCs w:val="20"/>
          <w:u w:val="none"/>
          <w:rtl w:val="0"/>
          <w:lang w:val="en-US"/>
        </w:rPr>
        <w:t>Comparison of experimental and model results</w:t>
      </w: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sz w:val="20"/>
          <w:szCs w:val="20"/>
          <w:u w:val="none"/>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lang w:val="en-US"/>
        </w:rPr>
      </w:pPr>
      <w:r>
        <w:rPr>
          <w:outline w:val="0"/>
          <w:color w:val="800080"/>
          <w:sz w:val="20"/>
          <w:szCs w:val="20"/>
          <w:u w:val="none" w:color="800080"/>
          <w:rtl w:val="0"/>
          <w:lang w:val="en-US"/>
          <w14:textFill>
            <w14:solidFill>
              <w14:srgbClr w14:val="800080"/>
            </w14:solidFill>
          </w14:textFill>
        </w:rPr>
        <w:t>Figs S5</w:t>
      </w:r>
      <w:r>
        <w:rPr>
          <w:sz w:val="20"/>
          <w:szCs w:val="20"/>
          <w:u w:val="none"/>
          <w:rtl w:val="0"/>
          <w:lang w:val="en-US"/>
        </w:rPr>
        <w:t xml:space="preserve"> and </w:t>
      </w:r>
      <w:r>
        <w:rPr>
          <w:outline w:val="0"/>
          <w:color w:val="800080"/>
          <w:sz w:val="20"/>
          <w:szCs w:val="20"/>
          <w:u w:val="none" w:color="800080"/>
          <w:rtl w:val="0"/>
          <w:lang w:val="en-US"/>
          <w14:textFill>
            <w14:solidFill>
              <w14:srgbClr w14:val="800080"/>
            </w14:solidFill>
          </w14:textFill>
        </w:rPr>
        <w:t>S6</w:t>
      </w:r>
      <w:r>
        <w:rPr>
          <w:sz w:val="20"/>
          <w:szCs w:val="20"/>
          <w:u w:val="none"/>
          <w:rtl w:val="0"/>
          <w:lang w:val="en-US"/>
        </w:rPr>
        <w:t xml:space="preserve"> present a comparison of experimental and model results for humic acid and fulvic acid + humin conversions, respectively.</w:t>
      </w: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sz w:val="20"/>
          <w:szCs w:val="20"/>
          <w:u w:val="none"/>
          <w:lang w:val="en-US"/>
        </w:rPr>
      </w:pPr>
    </w:p>
    <w:tbl>
      <w:tblPr>
        <w:tblW w:w="5725" w:type="dxa"/>
        <w:jc w:val="left"/>
        <w:tblInd w:w="595"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725"/>
      </w:tblGrid>
      <w:tr>
        <w:tblPrEx>
          <w:shd w:val="clear" w:color="auto" w:fill="ced7e7"/>
        </w:tblPrEx>
        <w:trPr>
          <w:trHeight w:val="3761" w:hRule="atLeast"/>
        </w:trPr>
        <w:tc>
          <w:tcPr>
            <w:tcW w:type="dxa" w:w="5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Padrão A"/>
              <w:widowControl w:val="0"/>
              <w:tabs>
                <w:tab w:val="left" w:pos="708"/>
                <w:tab w:val="left" w:pos="1416"/>
                <w:tab w:val="left" w:pos="2124"/>
                <w:tab w:val="left" w:pos="2832"/>
                <w:tab w:val="left" w:pos="3540"/>
                <w:tab w:val="left" w:pos="4248"/>
                <w:tab w:val="left" w:pos="4956"/>
                <w:tab w:val="left" w:pos="5664"/>
              </w:tabs>
              <w:suppressAutoHyphens w:val="1"/>
              <w:spacing w:before="0" w:line="480" w:lineRule="auto"/>
            </w:pPr>
            <w:r>
              <w:rPr>
                <w:sz w:val="20"/>
                <w:szCs w:val="20"/>
                <w:shd w:val="nil" w:color="auto" w:fill="auto"/>
              </w:rPr>
              <w:drawing xmlns:a="http://schemas.openxmlformats.org/drawingml/2006/main">
                <wp:inline distT="0" distB="0" distL="0" distR="0">
                  <wp:extent cx="3530600" cy="2357755"/>
                  <wp:effectExtent l="0" t="0" r="0" b="0"/>
                  <wp:docPr id="1073741829" name="officeArt object" descr="Imagem"/>
                  <wp:cNvGraphicFramePr/>
                  <a:graphic xmlns:a="http://schemas.openxmlformats.org/drawingml/2006/main">
                    <a:graphicData uri="http://schemas.openxmlformats.org/drawingml/2006/picture">
                      <pic:pic xmlns:pic="http://schemas.openxmlformats.org/drawingml/2006/picture">
                        <pic:nvPicPr>
                          <pic:cNvPr id="1073741829" name="Imagem" descr="Imagem"/>
                          <pic:cNvPicPr>
                            <a:picLocks noChangeAspect="1"/>
                          </pic:cNvPicPr>
                        </pic:nvPicPr>
                        <pic:blipFill>
                          <a:blip r:embed="rId8">
                            <a:extLst/>
                          </a:blip>
                          <a:stretch>
                            <a:fillRect/>
                          </a:stretch>
                        </pic:blipFill>
                        <pic:spPr>
                          <a:xfrm>
                            <a:off x="0" y="0"/>
                            <a:ext cx="3530600" cy="2357755"/>
                          </a:xfrm>
                          <a:prstGeom prst="rect">
                            <a:avLst/>
                          </a:prstGeom>
                          <a:ln w="12700" cap="flat">
                            <a:noFill/>
                            <a:miter lim="400000"/>
                          </a:ln>
                          <a:effectLst/>
                        </pic:spPr>
                      </pic:pic>
                    </a:graphicData>
                  </a:graphic>
                </wp:inline>
              </w:drawing>
            </w:r>
          </w:p>
        </w:tc>
      </w:tr>
    </w:tbl>
    <w:p>
      <w:pPr>
        <w:pStyle w:val="Padrão 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240" w:lineRule="auto"/>
        <w:ind w:left="487" w:hanging="487"/>
        <w:rPr>
          <w:sz w:val="20"/>
          <w:szCs w:val="20"/>
          <w:u w:val="none"/>
          <w:lang w:val="en-US"/>
        </w:rPr>
      </w:pPr>
    </w:p>
    <w:p>
      <w:pPr>
        <w:pStyle w:val="Padrão 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ind w:left="379" w:hanging="379"/>
        <w:rPr>
          <w:sz w:val="20"/>
          <w:szCs w:val="20"/>
          <w:u w:val="none"/>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pPr>
      <w:r>
        <w:rPr>
          <w:b w:val="1"/>
          <w:bCs w:val="1"/>
          <w:sz w:val="20"/>
          <w:szCs w:val="20"/>
          <w:u w:val="none"/>
          <w:rtl w:val="0"/>
          <w:lang w:val="en-US"/>
        </w:rPr>
        <w:t>Fig</w:t>
      </w:r>
      <w:r>
        <w:rPr>
          <w:b w:val="1"/>
          <w:bCs w:val="1"/>
          <w:sz w:val="20"/>
          <w:szCs w:val="20"/>
          <w:u w:val="none"/>
          <w:rtl w:val="0"/>
          <w:lang w:val="pt-PT"/>
        </w:rPr>
        <w:t>.</w:t>
      </w:r>
      <w:r>
        <w:rPr>
          <w:b w:val="1"/>
          <w:bCs w:val="1"/>
          <w:sz w:val="20"/>
          <w:szCs w:val="20"/>
          <w:u w:val="none"/>
          <w:rtl w:val="0"/>
          <w:lang w:val="en-US"/>
        </w:rPr>
        <w:t xml:space="preserve"> S5</w:t>
      </w:r>
      <w:r>
        <w:rPr>
          <w:sz w:val="20"/>
          <w:szCs w:val="20"/>
          <w:u w:val="none"/>
          <w:rtl w:val="0"/>
          <w:lang w:val="en-US"/>
        </w:rPr>
        <w:t xml:space="preserve"> Comparison of experimental data and values predicted by a statistic model for humic acid conversion after 240 min of solar photocatalysis.</w:t>
      </w: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sz w:val="20"/>
          <w:szCs w:val="20"/>
          <w:u w:val="none"/>
          <w:lang w:val="en-US"/>
        </w:rPr>
      </w:pPr>
    </w:p>
    <w:tbl>
      <w:tblPr>
        <w:tblW w:w="5787" w:type="dxa"/>
        <w:jc w:val="left"/>
        <w:tblInd w:w="595"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787"/>
      </w:tblGrid>
      <w:tr>
        <w:tblPrEx>
          <w:shd w:val="clear" w:color="auto" w:fill="ced7e7"/>
        </w:tblPrEx>
        <w:trPr>
          <w:trHeight w:val="3803" w:hRule="atLeast"/>
        </w:trPr>
        <w:tc>
          <w:tcPr>
            <w:tcW w:type="dxa" w:w="578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Corpo A"/>
              <w:widowControl w:val="0"/>
              <w:tabs>
                <w:tab w:val="left" w:pos="708"/>
                <w:tab w:val="left" w:pos="1416"/>
                <w:tab w:val="left" w:pos="2124"/>
                <w:tab w:val="left" w:pos="2832"/>
                <w:tab w:val="left" w:pos="3540"/>
                <w:tab w:val="left" w:pos="4248"/>
                <w:tab w:val="left" w:pos="4956"/>
                <w:tab w:val="left" w:pos="5664"/>
              </w:tabs>
              <w:suppressAutoHyphens w:val="1"/>
              <w:spacing w:line="480" w:lineRule="auto"/>
            </w:pPr>
            <w:r>
              <w:rPr>
                <w:sz w:val="20"/>
                <w:szCs w:val="20"/>
                <w:shd w:val="nil" w:color="auto" w:fill="auto"/>
              </w:rPr>
              <w:drawing xmlns:a="http://schemas.openxmlformats.org/drawingml/2006/main">
                <wp:inline distT="0" distB="0" distL="0" distR="0">
                  <wp:extent cx="3569971" cy="2384425"/>
                  <wp:effectExtent l="0" t="0" r="0" b="0"/>
                  <wp:docPr id="1073741830" name="officeArt object" descr="Imagem"/>
                  <wp:cNvGraphicFramePr/>
                  <a:graphic xmlns:a="http://schemas.openxmlformats.org/drawingml/2006/main">
                    <a:graphicData uri="http://schemas.openxmlformats.org/drawingml/2006/picture">
                      <pic:pic xmlns:pic="http://schemas.openxmlformats.org/drawingml/2006/picture">
                        <pic:nvPicPr>
                          <pic:cNvPr id="1073741830" name="Imagem" descr="Imagem"/>
                          <pic:cNvPicPr>
                            <a:picLocks noChangeAspect="1"/>
                          </pic:cNvPicPr>
                        </pic:nvPicPr>
                        <pic:blipFill>
                          <a:blip r:embed="rId9">
                            <a:extLst/>
                          </a:blip>
                          <a:stretch>
                            <a:fillRect/>
                          </a:stretch>
                        </pic:blipFill>
                        <pic:spPr>
                          <a:xfrm>
                            <a:off x="0" y="0"/>
                            <a:ext cx="3569971" cy="2384425"/>
                          </a:xfrm>
                          <a:prstGeom prst="rect">
                            <a:avLst/>
                          </a:prstGeom>
                          <a:ln w="12700" cap="flat">
                            <a:noFill/>
                            <a:miter lim="400000"/>
                          </a:ln>
                          <a:effectLst/>
                        </pic:spPr>
                      </pic:pic>
                    </a:graphicData>
                  </a:graphic>
                </wp:inline>
              </w:drawing>
            </w:r>
          </w:p>
        </w:tc>
      </w:tr>
    </w:tbl>
    <w:p>
      <w:pPr>
        <w:pStyle w:val="Padrão 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240" w:lineRule="auto"/>
        <w:ind w:left="487" w:hanging="487"/>
        <w:rPr>
          <w:sz w:val="20"/>
          <w:szCs w:val="20"/>
          <w:u w:val="none"/>
          <w:lang w:val="en-US"/>
        </w:rPr>
      </w:pPr>
    </w:p>
    <w:p>
      <w:pPr>
        <w:pStyle w:val="Padrão 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ind w:left="379" w:hanging="379"/>
        <w:rPr>
          <w:sz w:val="20"/>
          <w:szCs w:val="20"/>
          <w:u w:val="none"/>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pPr>
      <w:r>
        <w:rPr>
          <w:b w:val="1"/>
          <w:bCs w:val="1"/>
          <w:sz w:val="20"/>
          <w:szCs w:val="20"/>
          <w:u w:val="none"/>
          <w:rtl w:val="0"/>
          <w:lang w:val="en-US"/>
        </w:rPr>
        <w:t>Fig</w:t>
      </w:r>
      <w:r>
        <w:rPr>
          <w:b w:val="1"/>
          <w:bCs w:val="1"/>
          <w:sz w:val="20"/>
          <w:szCs w:val="20"/>
          <w:u w:val="none"/>
          <w:rtl w:val="0"/>
          <w:lang w:val="pt-PT"/>
        </w:rPr>
        <w:t>.</w:t>
      </w:r>
      <w:r>
        <w:rPr>
          <w:b w:val="1"/>
          <w:bCs w:val="1"/>
          <w:sz w:val="20"/>
          <w:szCs w:val="20"/>
          <w:u w:val="none"/>
          <w:rtl w:val="0"/>
          <w:lang w:val="en-US"/>
        </w:rPr>
        <w:t xml:space="preserve"> S6</w:t>
      </w:r>
      <w:r>
        <w:rPr>
          <w:sz w:val="20"/>
          <w:szCs w:val="20"/>
          <w:u w:val="none"/>
          <w:rtl w:val="0"/>
          <w:lang w:val="en-US"/>
        </w:rPr>
        <w:t xml:space="preserve"> Comparison of experimental data and values predicted by a statistic model for conversion of fulvic acids + humins after 240 min of solar photocatalysis.</w:t>
      </w: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sz w:val="20"/>
          <w:szCs w:val="20"/>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sz w:val="20"/>
          <w:szCs w:val="20"/>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rPr>
          <w:sz w:val="20"/>
          <w:szCs w:val="20"/>
          <w:u w:val="none"/>
          <w:lang w:val="en-US"/>
        </w:rPr>
      </w:pPr>
    </w:p>
    <w:p>
      <w:pPr>
        <w:pStyle w:val="Padrã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860"/>
        </w:tabs>
        <w:suppressAutoHyphens w:val="1"/>
        <w:spacing w:before="0" w:line="480" w:lineRule="auto"/>
      </w:pPr>
      <w:r>
        <w:rPr>
          <w:b w:val="1"/>
          <w:bCs w:val="1"/>
          <w:sz w:val="20"/>
          <w:szCs w:val="20"/>
          <w:u w:val="none"/>
          <w:rtl w:val="0"/>
          <w:lang w:val="en-US"/>
        </w:rPr>
        <w:t>S</w:t>
      </w:r>
      <w:r>
        <w:rPr>
          <w:b w:val="1"/>
          <w:bCs w:val="1"/>
          <w:sz w:val="20"/>
          <w:szCs w:val="20"/>
          <w:u w:val="none"/>
          <w:rtl w:val="0"/>
          <w:lang w:val="pt-PT"/>
        </w:rPr>
        <w:t>upplementary Information references</w:t>
      </w:r>
    </w:p>
    <w:p>
      <w:pPr>
        <w:pStyle w:val="Padrão"/>
        <w:bidi w:val="0"/>
        <w:spacing w:before="0" w:line="480" w:lineRule="auto"/>
        <w:ind w:left="283" w:right="0" w:hanging="283"/>
        <w:jc w:val="left"/>
        <w:rPr>
          <w:sz w:val="20"/>
          <w:szCs w:val="20"/>
          <w:u w:color="000000"/>
          <w:rtl w:val="0"/>
        </w:rPr>
      </w:pPr>
    </w:p>
    <w:p>
      <w:pPr>
        <w:pStyle w:val="Padrão"/>
        <w:numPr>
          <w:ilvl w:val="0"/>
          <w:numId w:val="4"/>
        </w:numPr>
        <w:bidi w:val="0"/>
        <w:spacing w:before="0" w:line="480" w:lineRule="auto"/>
        <w:ind w:right="0"/>
        <w:jc w:val="left"/>
        <w:rPr>
          <w:rFonts w:ascii="Times Roman" w:hAnsi="Times Roman"/>
          <w:sz w:val="20"/>
          <w:szCs w:val="20"/>
          <w:rtl w:val="0"/>
          <w:lang w:val="en-US"/>
        </w:rPr>
      </w:pPr>
      <w:r>
        <w:rPr>
          <w:rFonts w:ascii="Times Roman" w:hAnsi="Times Roman"/>
          <w:sz w:val="20"/>
          <w:szCs w:val="20"/>
          <w:rtl w:val="0"/>
          <w:lang w:val="en-US"/>
        </w:rPr>
        <w:t>Jones FN, Nichols ME, Pappas SP. Organic coatings: science and technology. Fourth edition. Hoboken, NJ, USA: John Wiley &amp; Sons, Inc; 2017.</w:t>
      </w:r>
    </w:p>
    <w:p>
      <w:pPr>
        <w:pStyle w:val="Padrão"/>
        <w:numPr>
          <w:ilvl w:val="0"/>
          <w:numId w:val="4"/>
        </w:numPr>
        <w:bidi w:val="0"/>
        <w:spacing w:before="0" w:line="480" w:lineRule="auto"/>
        <w:ind w:right="0"/>
        <w:jc w:val="left"/>
        <w:rPr>
          <w:rFonts w:ascii="Times Roman" w:hAnsi="Times Roman"/>
          <w:sz w:val="20"/>
          <w:szCs w:val="20"/>
          <w:rtl w:val="0"/>
          <w:lang w:val="pt-PT"/>
        </w:rPr>
      </w:pPr>
      <w:r>
        <w:rPr>
          <w:rFonts w:ascii="Times Roman" w:hAnsi="Times Roman"/>
          <w:sz w:val="20"/>
          <w:szCs w:val="20"/>
          <w:rtl w:val="0"/>
          <w:lang w:val="pt-PT"/>
        </w:rPr>
        <w:t>A</w:t>
      </w:r>
      <w:r>
        <w:rPr>
          <w:rFonts w:ascii="Times Roman" w:hAnsi="Times Roman"/>
          <w:sz w:val="20"/>
          <w:szCs w:val="20"/>
          <w:rtl w:val="0"/>
          <w:lang w:val="en-US"/>
        </w:rPr>
        <w:t>PHA - American Public Health Association. Standard methods for the examination of water and wasterwater. 23rd edition. Bridgewater LL, Baird RB, Eaton AD, Rice EW, American Public Health Association, American Water Works Association, et al., editors. Washington, DC: American Public Health Association; 2017.</w:t>
      </w:r>
    </w:p>
    <w:p>
      <w:pPr>
        <w:pStyle w:val="Padrão"/>
        <w:bidi w:val="0"/>
        <w:spacing w:before="0" w:line="480" w:lineRule="auto"/>
        <w:ind w:left="283" w:right="0" w:hanging="283"/>
        <w:jc w:val="left"/>
        <w:rPr>
          <w:rtl w:val="0"/>
        </w:rPr>
      </w:pPr>
      <w:r>
        <w:rPr>
          <w:sz w:val="20"/>
          <w:szCs w:val="20"/>
          <w:u w:color="000000"/>
          <w:rtl w:val="0"/>
        </w:rPr>
      </w:r>
    </w:p>
    <w:sectPr>
      <w:headerReference w:type="default" r:id="rId10"/>
      <w:footerReference w:type="default" r:id="rId11"/>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mbria">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abeçalho e Rodapé A"/>
      <w:tabs>
        <w:tab w:val="center" w:pos="4819"/>
        <w:tab w:val="right" w:pos="9612"/>
        <w:tab w:val="clear" w:pos="9020"/>
      </w:tabs>
    </w:pPr>
    <w:r>
      <w:tab/>
      <w:tab/>
    </w:r>
    <w:r>
      <w:rPr>
        <w:rtl w:val="0"/>
      </w:rPr>
      <w:fldChar w:fldCharType="begin" w:fldLock="0"/>
    </w:r>
    <w:r>
      <w:rPr>
        <w:rtl w:val="0"/>
      </w:rPr>
      <w:instrText xml:space="preserve"> PAGE </w:instrText>
    </w:r>
    <w:r>
      <w:rPr>
        <w:rtl w:val="0"/>
      </w:rPr>
      <w:fldChar w:fldCharType="separate" w:fldLock="0"/>
    </w:r>
    <w:r>
      <w:rPr>
        <w:rtl w:val="0"/>
      </w:rPr>
    </w:r>
    <w:r>
      <w:rPr>
        <w:rtl w:val="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abeçalho e Rodapé"/>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Estilo Importado 1"/>
  </w:abstractNum>
  <w:abstractNum w:abstractNumId="1">
    <w:multiLevelType w:val="hybridMultilevel"/>
    <w:styleLink w:val="Estilo Importado 1"/>
    <w:lvl w:ilvl="0">
      <w:start w:val="1"/>
      <w:numFmt w:val="bullet"/>
      <w:suff w:val="tab"/>
      <w:lvlText w:val="*"/>
      <w:lvlJc w:val="left"/>
      <w:pPr>
        <w:ind w:left="158" w:hanging="158"/>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758" w:hanging="158"/>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358" w:hanging="158"/>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958" w:hanging="158"/>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2558" w:hanging="158"/>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158" w:hanging="158"/>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3758" w:hanging="158"/>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4358" w:hanging="158"/>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4958" w:hanging="158"/>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Números"/>
  </w:abstractNum>
  <w:abstractNum w:abstractNumId="3">
    <w:multiLevelType w:val="hybridMultilevel"/>
    <w:styleLink w:val="Números"/>
    <w:lvl w:ilvl="0">
      <w:start w:val="1"/>
      <w:numFmt w:val="decimal"/>
      <w:suff w:val="tab"/>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687" w:hanging="32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47" w:hanging="32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07" w:hanging="32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767" w:hanging="32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27" w:hanging="32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487" w:hanging="32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47" w:hanging="32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07" w:hanging="327"/>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português" w:val="‘“(〔[{〈《「『【⦅〘〖«〝︵︷︹︻︽︿﹁﹃﹇﹙﹛﹝｢"/>
  <w:noLineBreaksBefore w:lang="portuguê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abeçalho e Rodapé">
    <w:name w:val="Cabeçalho e Rodapé"/>
    <w:next w:val="Cabeçalho e Rodapé"/>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Cabeçalho e Rodapé A">
    <w:name w:val="Cabeçalho e Rodapé A"/>
    <w:next w:val="Cabeçalho e Rodapé 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6"/>
      <w:szCs w:val="26"/>
      <w:u w:val="none" w:color="000000"/>
      <w:shd w:val="nil" w:color="auto" w:fill="auto"/>
      <w:vertAlign w:val="baseline"/>
      <w:lang w:val="pt-PT"/>
      <w14:textFill>
        <w14:solidFill>
          <w14:srgbClr w14:val="000000"/>
        </w14:solidFill>
      </w14:textFill>
    </w:r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pt-PT"/>
      <w14:textOutline>
        <w14:noFill/>
      </w14:textOutline>
      <w14:textFill>
        <w14:solidFill>
          <w14:srgbClr w14:val="000000"/>
        </w14:solidFill>
      </w14:textFill>
    </w:rPr>
  </w:style>
  <w:style w:type="paragraph" w:styleId="Padrão A">
    <w:name w:val="Padrão A"/>
    <w:next w:val="Padrão A"/>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6"/>
      <w:szCs w:val="26"/>
      <w:u w:val="none" w:color="000000"/>
      <w:shd w:val="nil" w:color="auto" w:fill="auto"/>
      <w:vertAlign w:val="baseline"/>
      <w:lang w:val="pt-PT"/>
      <w14:textFill>
        <w14:solidFill>
          <w14:srgbClr w14:val="000000"/>
        </w14:solidFill>
      </w14:textFill>
    </w:rPr>
  </w:style>
  <w:style w:type="numbering" w:styleId="Estilo Importado 1">
    <w:name w:val="Estilo Importado 1"/>
    <w:pPr>
      <w:numPr>
        <w:numId w:val="1"/>
      </w:numPr>
    </w:pPr>
  </w:style>
  <w:style w:type="paragraph" w:styleId="Corpo A">
    <w:name w:val="Corpo A"/>
    <w:next w:val="Corpo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pt-PT"/>
      <w14:textFill>
        <w14:solidFill>
          <w14:srgbClr w14:val="000000"/>
        </w14:solidFill>
      </w14:textFill>
    </w:rPr>
  </w:style>
  <w:style w:type="paragraph" w:styleId="Padrão">
    <w:name w:val="Padrão"/>
    <w:next w:val="Padrão"/>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numbering" w:styleId="Números">
    <w:name w:val="Números"/>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numbering" Target="numbering.xml"/><Relationship Id="rId13"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