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D11E8" w14:textId="57E0BE3F" w:rsidR="008A4611" w:rsidRPr="00724F3A" w:rsidRDefault="008A4611" w:rsidP="008A4611">
      <w:pPr>
        <w:spacing w:after="0" w:line="276" w:lineRule="auto"/>
        <w:rPr>
          <w:rFonts w:ascii="Arial" w:eastAsia="Arial" w:hAnsi="Arial" w:cs="Arial"/>
          <w:b/>
          <w:i/>
          <w:color w:val="FF0000"/>
          <w:sz w:val="24"/>
          <w:szCs w:val="24"/>
          <w:highlight w:val="white"/>
        </w:rPr>
      </w:pPr>
      <w:r>
        <w:rPr>
          <w:rFonts w:ascii="Arial" w:eastAsia="Arial" w:hAnsi="Arial" w:cs="Arial"/>
          <w:b/>
          <w:sz w:val="24"/>
          <w:szCs w:val="24"/>
          <w:highlight w:val="white"/>
        </w:rPr>
        <w:t>SUPPLEMENTAL INFORMATION</w:t>
      </w:r>
    </w:p>
    <w:p w14:paraId="552BC70F" w14:textId="77777777" w:rsidR="008A4611" w:rsidRDefault="008A4611" w:rsidP="008A4611">
      <w:pPr>
        <w:spacing w:after="0" w:line="276" w:lineRule="auto"/>
        <w:rPr>
          <w:rFonts w:ascii="Arial" w:eastAsia="Arial" w:hAnsi="Arial" w:cs="Arial"/>
          <w:b/>
          <w:sz w:val="24"/>
          <w:szCs w:val="24"/>
          <w:highlight w:val="white"/>
        </w:rPr>
      </w:pPr>
    </w:p>
    <w:p w14:paraId="503F8D89" w14:textId="15B4D3BD" w:rsidR="008C7310" w:rsidRDefault="002745DE" w:rsidP="008A4611">
      <w:pPr>
        <w:spacing w:after="0" w:line="276" w:lineRule="auto"/>
        <w:rPr>
          <w:rFonts w:ascii="Arial" w:eastAsia="Arial" w:hAnsi="Arial" w:cs="Arial"/>
          <w:sz w:val="24"/>
          <w:szCs w:val="24"/>
          <w:highlight w:val="white"/>
        </w:rPr>
      </w:pPr>
      <w:r>
        <w:rPr>
          <w:rFonts w:ascii="Arial" w:eastAsia="Arial" w:hAnsi="Arial" w:cs="Arial"/>
          <w:b/>
          <w:sz w:val="24"/>
          <w:szCs w:val="24"/>
          <w:highlight w:val="white"/>
        </w:rPr>
        <w:t>Global survey-based assessment of lifestyle changes during the COVID-19 pandemic</w:t>
      </w:r>
    </w:p>
    <w:p w14:paraId="2A8FD2E2" w14:textId="62A6BF2F" w:rsidR="008C7310" w:rsidRDefault="002745DE" w:rsidP="00554EBA">
      <w:pPr>
        <w:spacing w:before="240" w:after="24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Poonam Agarwal, </w:t>
      </w:r>
      <w:proofErr w:type="spellStart"/>
      <w:r>
        <w:rPr>
          <w:rFonts w:ascii="Arial" w:eastAsia="Arial" w:hAnsi="Arial" w:cs="Arial"/>
          <w:sz w:val="24"/>
          <w:szCs w:val="24"/>
          <w:highlight w:val="white"/>
        </w:rPr>
        <w:t>Abhinav</w:t>
      </w:r>
      <w:proofErr w:type="spellEnd"/>
      <w:r>
        <w:rPr>
          <w:rFonts w:ascii="Arial" w:eastAsia="Arial" w:hAnsi="Arial" w:cs="Arial"/>
          <w:sz w:val="24"/>
          <w:szCs w:val="24"/>
          <w:highlight w:val="white"/>
        </w:rPr>
        <w:t xml:space="preserve"> Kaushik, </w:t>
      </w:r>
      <w:proofErr w:type="spellStart"/>
      <w:r>
        <w:rPr>
          <w:rFonts w:ascii="Arial" w:eastAsia="Arial" w:hAnsi="Arial" w:cs="Arial"/>
          <w:sz w:val="24"/>
          <w:szCs w:val="24"/>
          <w:highlight w:val="white"/>
        </w:rPr>
        <w:t>Sutapa</w:t>
      </w:r>
      <w:proofErr w:type="spellEnd"/>
      <w:r>
        <w:rPr>
          <w:rFonts w:ascii="Arial" w:eastAsia="Arial" w:hAnsi="Arial" w:cs="Arial"/>
          <w:sz w:val="24"/>
          <w:szCs w:val="24"/>
          <w:highlight w:val="white"/>
        </w:rPr>
        <w:t xml:space="preserve"> Sarkar, </w:t>
      </w:r>
      <w:proofErr w:type="spellStart"/>
      <w:r>
        <w:rPr>
          <w:rFonts w:ascii="Arial" w:eastAsia="Arial" w:hAnsi="Arial" w:cs="Arial"/>
          <w:sz w:val="24"/>
          <w:szCs w:val="24"/>
          <w:highlight w:val="white"/>
        </w:rPr>
        <w:t>Deepti</w:t>
      </w:r>
      <w:proofErr w:type="spellEnd"/>
      <w:r>
        <w:rPr>
          <w:rFonts w:ascii="Arial" w:eastAsia="Arial" w:hAnsi="Arial" w:cs="Arial"/>
          <w:sz w:val="24"/>
          <w:szCs w:val="24"/>
          <w:highlight w:val="white"/>
        </w:rPr>
        <w:t xml:space="preserve"> Rao, </w:t>
      </w:r>
      <w:proofErr w:type="spellStart"/>
      <w:r>
        <w:rPr>
          <w:rFonts w:ascii="Arial" w:eastAsia="Arial" w:hAnsi="Arial" w:cs="Arial"/>
          <w:sz w:val="24"/>
          <w:szCs w:val="24"/>
          <w:highlight w:val="white"/>
        </w:rPr>
        <w:t>Nilanjan</w:t>
      </w:r>
      <w:proofErr w:type="spellEnd"/>
      <w:r>
        <w:rPr>
          <w:rFonts w:ascii="Arial" w:eastAsia="Arial" w:hAnsi="Arial" w:cs="Arial"/>
          <w:sz w:val="24"/>
          <w:szCs w:val="24"/>
          <w:highlight w:val="white"/>
        </w:rPr>
        <w:t xml:space="preserve"> Mukherjee, </w:t>
      </w:r>
      <w:r w:rsidR="00E83684">
        <w:rPr>
          <w:rFonts w:ascii="Arial" w:eastAsia="Arial" w:hAnsi="Arial" w:cs="Arial"/>
          <w:sz w:val="24"/>
          <w:szCs w:val="24"/>
          <w:highlight w:val="white"/>
        </w:rPr>
        <w:t xml:space="preserve">Vinita Bharat, </w:t>
      </w:r>
      <w:proofErr w:type="spellStart"/>
      <w:r w:rsidR="00E83684">
        <w:rPr>
          <w:rFonts w:ascii="Arial" w:eastAsia="Arial" w:hAnsi="Arial" w:cs="Arial"/>
          <w:sz w:val="24"/>
          <w:szCs w:val="24"/>
          <w:highlight w:val="white"/>
        </w:rPr>
        <w:t>Subhamoy</w:t>
      </w:r>
      <w:proofErr w:type="spellEnd"/>
      <w:r w:rsidR="00E83684">
        <w:rPr>
          <w:rFonts w:ascii="Arial" w:eastAsia="Arial" w:hAnsi="Arial" w:cs="Arial"/>
          <w:sz w:val="24"/>
          <w:szCs w:val="24"/>
          <w:highlight w:val="white"/>
        </w:rPr>
        <w:t xml:space="preserve"> Das, Amit K. Saha</w:t>
      </w:r>
    </w:p>
    <w:p w14:paraId="6A99ED2F" w14:textId="77777777" w:rsidR="008C7310" w:rsidRDefault="008C7310">
      <w:pPr>
        <w:spacing w:before="240" w:after="240" w:line="276" w:lineRule="auto"/>
        <w:rPr>
          <w:rFonts w:ascii="Arial" w:eastAsia="Arial" w:hAnsi="Arial" w:cs="Arial"/>
          <w:sz w:val="24"/>
          <w:szCs w:val="24"/>
          <w:highlight w:val="white"/>
        </w:rPr>
      </w:pPr>
    </w:p>
    <w:p w14:paraId="063BE235" w14:textId="75698DAE" w:rsidR="00554EBA" w:rsidRDefault="002745DE" w:rsidP="00554EBA">
      <w:pPr>
        <w:spacing w:line="276" w:lineRule="auto"/>
        <w:jc w:val="both"/>
        <w:rPr>
          <w:rFonts w:ascii="Arial" w:eastAsia="Arial" w:hAnsi="Arial" w:cs="Arial"/>
        </w:rPr>
      </w:pPr>
      <w:r>
        <w:rPr>
          <w:rFonts w:ascii="Arial" w:eastAsia="Arial" w:hAnsi="Arial" w:cs="Arial"/>
          <w:sz w:val="24"/>
          <w:szCs w:val="24"/>
          <w:highlight w:val="white"/>
        </w:rPr>
        <w:t xml:space="preserve"> </w:t>
      </w:r>
      <w:r w:rsidR="00554EBA" w:rsidRPr="00554EBA">
        <w:rPr>
          <w:rFonts w:ascii="Arial" w:eastAsia="Arial" w:hAnsi="Arial" w:cs="Arial"/>
          <w:b/>
        </w:rPr>
        <w:t xml:space="preserve">Table S1: </w:t>
      </w:r>
      <w:r w:rsidR="00554EBA">
        <w:rPr>
          <w:rFonts w:ascii="Arial" w:eastAsia="Arial" w:hAnsi="Arial" w:cs="Arial"/>
        </w:rPr>
        <w:t>List of countries with less than ten participants who took the online survey.</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C7310" w14:paraId="176DDC20" w14:textId="77777777">
        <w:tc>
          <w:tcPr>
            <w:tcW w:w="2340" w:type="dxa"/>
            <w:shd w:val="clear" w:color="auto" w:fill="auto"/>
            <w:tcMar>
              <w:top w:w="100" w:type="dxa"/>
              <w:left w:w="100" w:type="dxa"/>
              <w:bottom w:w="100" w:type="dxa"/>
              <w:right w:w="100" w:type="dxa"/>
            </w:tcMar>
          </w:tcPr>
          <w:p w14:paraId="434AA65F"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Algeria</w:t>
            </w:r>
          </w:p>
        </w:tc>
        <w:tc>
          <w:tcPr>
            <w:tcW w:w="2340" w:type="dxa"/>
            <w:shd w:val="clear" w:color="auto" w:fill="auto"/>
            <w:tcMar>
              <w:top w:w="100" w:type="dxa"/>
              <w:left w:w="100" w:type="dxa"/>
              <w:bottom w:w="100" w:type="dxa"/>
              <w:right w:w="100" w:type="dxa"/>
            </w:tcMar>
          </w:tcPr>
          <w:p w14:paraId="21DD6E3E"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Israel</w:t>
            </w:r>
          </w:p>
        </w:tc>
        <w:tc>
          <w:tcPr>
            <w:tcW w:w="2340" w:type="dxa"/>
            <w:shd w:val="clear" w:color="auto" w:fill="auto"/>
            <w:tcMar>
              <w:top w:w="100" w:type="dxa"/>
              <w:left w:w="100" w:type="dxa"/>
              <w:bottom w:w="100" w:type="dxa"/>
              <w:right w:w="100" w:type="dxa"/>
            </w:tcMar>
          </w:tcPr>
          <w:p w14:paraId="46DB114C"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Romania</w:t>
            </w:r>
          </w:p>
        </w:tc>
        <w:tc>
          <w:tcPr>
            <w:tcW w:w="2340" w:type="dxa"/>
            <w:shd w:val="clear" w:color="auto" w:fill="auto"/>
            <w:tcMar>
              <w:top w:w="100" w:type="dxa"/>
              <w:left w:w="100" w:type="dxa"/>
              <w:bottom w:w="100" w:type="dxa"/>
              <w:right w:w="100" w:type="dxa"/>
            </w:tcMar>
          </w:tcPr>
          <w:p w14:paraId="5D33631B"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Sweden</w:t>
            </w:r>
          </w:p>
        </w:tc>
      </w:tr>
      <w:tr w:rsidR="008C7310" w14:paraId="3CB0221F" w14:textId="77777777">
        <w:tc>
          <w:tcPr>
            <w:tcW w:w="2340" w:type="dxa"/>
            <w:shd w:val="clear" w:color="auto" w:fill="auto"/>
            <w:tcMar>
              <w:top w:w="100" w:type="dxa"/>
              <w:left w:w="100" w:type="dxa"/>
              <w:bottom w:w="100" w:type="dxa"/>
              <w:right w:w="100" w:type="dxa"/>
            </w:tcMar>
          </w:tcPr>
          <w:p w14:paraId="6CA27EE1"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Austria</w:t>
            </w:r>
          </w:p>
        </w:tc>
        <w:tc>
          <w:tcPr>
            <w:tcW w:w="2340" w:type="dxa"/>
            <w:shd w:val="clear" w:color="auto" w:fill="auto"/>
            <w:tcMar>
              <w:top w:w="100" w:type="dxa"/>
              <w:left w:w="100" w:type="dxa"/>
              <w:bottom w:w="100" w:type="dxa"/>
              <w:right w:w="100" w:type="dxa"/>
            </w:tcMar>
          </w:tcPr>
          <w:p w14:paraId="30EA73FA"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Liberia</w:t>
            </w:r>
          </w:p>
        </w:tc>
        <w:tc>
          <w:tcPr>
            <w:tcW w:w="2340" w:type="dxa"/>
            <w:shd w:val="clear" w:color="auto" w:fill="auto"/>
            <w:tcMar>
              <w:top w:w="100" w:type="dxa"/>
              <w:left w:w="100" w:type="dxa"/>
              <w:bottom w:w="100" w:type="dxa"/>
              <w:right w:w="100" w:type="dxa"/>
            </w:tcMar>
          </w:tcPr>
          <w:p w14:paraId="2D700993"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Saudi Arabia</w:t>
            </w:r>
          </w:p>
        </w:tc>
        <w:tc>
          <w:tcPr>
            <w:tcW w:w="2340" w:type="dxa"/>
            <w:shd w:val="clear" w:color="auto" w:fill="auto"/>
            <w:tcMar>
              <w:top w:w="100" w:type="dxa"/>
              <w:left w:w="100" w:type="dxa"/>
              <w:bottom w:w="100" w:type="dxa"/>
              <w:right w:w="100" w:type="dxa"/>
            </w:tcMar>
          </w:tcPr>
          <w:p w14:paraId="3E2C1861"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Switzerland</w:t>
            </w:r>
          </w:p>
        </w:tc>
      </w:tr>
      <w:tr w:rsidR="008C7310" w14:paraId="716C47B9" w14:textId="77777777">
        <w:tc>
          <w:tcPr>
            <w:tcW w:w="2340" w:type="dxa"/>
            <w:shd w:val="clear" w:color="auto" w:fill="auto"/>
            <w:tcMar>
              <w:top w:w="100" w:type="dxa"/>
              <w:left w:w="100" w:type="dxa"/>
              <w:bottom w:w="100" w:type="dxa"/>
              <w:right w:w="100" w:type="dxa"/>
            </w:tcMar>
          </w:tcPr>
          <w:p w14:paraId="4C19D3C8"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Bangladesh</w:t>
            </w:r>
          </w:p>
        </w:tc>
        <w:tc>
          <w:tcPr>
            <w:tcW w:w="2340" w:type="dxa"/>
            <w:shd w:val="clear" w:color="auto" w:fill="auto"/>
            <w:tcMar>
              <w:top w:w="100" w:type="dxa"/>
              <w:left w:w="100" w:type="dxa"/>
              <w:bottom w:w="100" w:type="dxa"/>
              <w:right w:w="100" w:type="dxa"/>
            </w:tcMar>
          </w:tcPr>
          <w:p w14:paraId="15DE754D"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Luxembourg</w:t>
            </w:r>
          </w:p>
        </w:tc>
        <w:tc>
          <w:tcPr>
            <w:tcW w:w="2340" w:type="dxa"/>
            <w:shd w:val="clear" w:color="auto" w:fill="auto"/>
            <w:tcMar>
              <w:top w:w="100" w:type="dxa"/>
              <w:left w:w="100" w:type="dxa"/>
              <w:bottom w:w="100" w:type="dxa"/>
              <w:right w:w="100" w:type="dxa"/>
            </w:tcMar>
          </w:tcPr>
          <w:p w14:paraId="1246D60E"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Singapore</w:t>
            </w:r>
          </w:p>
        </w:tc>
        <w:tc>
          <w:tcPr>
            <w:tcW w:w="2340" w:type="dxa"/>
            <w:shd w:val="clear" w:color="auto" w:fill="auto"/>
            <w:tcMar>
              <w:top w:w="100" w:type="dxa"/>
              <w:left w:w="100" w:type="dxa"/>
              <w:bottom w:w="100" w:type="dxa"/>
              <w:right w:w="100" w:type="dxa"/>
            </w:tcMar>
          </w:tcPr>
          <w:p w14:paraId="428E8AB6"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Taiwan</w:t>
            </w:r>
          </w:p>
        </w:tc>
      </w:tr>
      <w:tr w:rsidR="008C7310" w14:paraId="329F20A3" w14:textId="77777777">
        <w:tc>
          <w:tcPr>
            <w:tcW w:w="2340" w:type="dxa"/>
            <w:shd w:val="clear" w:color="auto" w:fill="auto"/>
            <w:tcMar>
              <w:top w:w="100" w:type="dxa"/>
              <w:left w:w="100" w:type="dxa"/>
              <w:bottom w:w="100" w:type="dxa"/>
              <w:right w:w="100" w:type="dxa"/>
            </w:tcMar>
          </w:tcPr>
          <w:p w14:paraId="62087BB7"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Bosnia and Herzegovina</w:t>
            </w:r>
          </w:p>
        </w:tc>
        <w:tc>
          <w:tcPr>
            <w:tcW w:w="2340" w:type="dxa"/>
            <w:shd w:val="clear" w:color="auto" w:fill="auto"/>
            <w:tcMar>
              <w:top w:w="100" w:type="dxa"/>
              <w:left w:w="100" w:type="dxa"/>
              <w:bottom w:w="100" w:type="dxa"/>
              <w:right w:w="100" w:type="dxa"/>
            </w:tcMar>
          </w:tcPr>
          <w:p w14:paraId="7A7F10E4"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Malaysia</w:t>
            </w:r>
          </w:p>
        </w:tc>
        <w:tc>
          <w:tcPr>
            <w:tcW w:w="2340" w:type="dxa"/>
            <w:shd w:val="clear" w:color="auto" w:fill="auto"/>
            <w:tcMar>
              <w:top w:w="100" w:type="dxa"/>
              <w:left w:w="100" w:type="dxa"/>
              <w:bottom w:w="100" w:type="dxa"/>
              <w:right w:w="100" w:type="dxa"/>
            </w:tcMar>
          </w:tcPr>
          <w:p w14:paraId="77B7ECDE"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Slovakia</w:t>
            </w:r>
          </w:p>
        </w:tc>
        <w:tc>
          <w:tcPr>
            <w:tcW w:w="2340" w:type="dxa"/>
            <w:shd w:val="clear" w:color="auto" w:fill="auto"/>
            <w:tcMar>
              <w:top w:w="100" w:type="dxa"/>
              <w:left w:w="100" w:type="dxa"/>
              <w:bottom w:w="100" w:type="dxa"/>
              <w:right w:w="100" w:type="dxa"/>
            </w:tcMar>
          </w:tcPr>
          <w:p w14:paraId="6606EC2B"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Tanzania</w:t>
            </w:r>
          </w:p>
        </w:tc>
      </w:tr>
      <w:tr w:rsidR="008C7310" w14:paraId="127C55D0" w14:textId="77777777">
        <w:tc>
          <w:tcPr>
            <w:tcW w:w="2340" w:type="dxa"/>
            <w:shd w:val="clear" w:color="auto" w:fill="auto"/>
            <w:tcMar>
              <w:top w:w="100" w:type="dxa"/>
              <w:left w:w="100" w:type="dxa"/>
              <w:bottom w:w="100" w:type="dxa"/>
              <w:right w:w="100" w:type="dxa"/>
            </w:tcMar>
          </w:tcPr>
          <w:p w14:paraId="1DB3E017"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Brazil</w:t>
            </w:r>
          </w:p>
        </w:tc>
        <w:tc>
          <w:tcPr>
            <w:tcW w:w="2340" w:type="dxa"/>
            <w:shd w:val="clear" w:color="auto" w:fill="auto"/>
            <w:tcMar>
              <w:top w:w="100" w:type="dxa"/>
              <w:left w:w="100" w:type="dxa"/>
              <w:bottom w:w="100" w:type="dxa"/>
              <w:right w:w="100" w:type="dxa"/>
            </w:tcMar>
          </w:tcPr>
          <w:p w14:paraId="18A881CA"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Monaco</w:t>
            </w:r>
          </w:p>
        </w:tc>
        <w:tc>
          <w:tcPr>
            <w:tcW w:w="2340" w:type="dxa"/>
            <w:shd w:val="clear" w:color="auto" w:fill="auto"/>
            <w:tcMar>
              <w:top w:w="100" w:type="dxa"/>
              <w:left w:w="100" w:type="dxa"/>
              <w:bottom w:w="100" w:type="dxa"/>
              <w:right w:w="100" w:type="dxa"/>
            </w:tcMar>
          </w:tcPr>
          <w:p w14:paraId="1387D50A"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Slovenia</w:t>
            </w:r>
          </w:p>
        </w:tc>
        <w:tc>
          <w:tcPr>
            <w:tcW w:w="2340" w:type="dxa"/>
            <w:shd w:val="clear" w:color="auto" w:fill="auto"/>
            <w:tcMar>
              <w:top w:w="100" w:type="dxa"/>
              <w:left w:w="100" w:type="dxa"/>
              <w:bottom w:w="100" w:type="dxa"/>
              <w:right w:w="100" w:type="dxa"/>
            </w:tcMar>
          </w:tcPr>
          <w:p w14:paraId="5D048C04"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Turkey</w:t>
            </w:r>
          </w:p>
        </w:tc>
      </w:tr>
      <w:tr w:rsidR="008C7310" w14:paraId="4F672E4C" w14:textId="77777777">
        <w:tc>
          <w:tcPr>
            <w:tcW w:w="2340" w:type="dxa"/>
            <w:shd w:val="clear" w:color="auto" w:fill="auto"/>
            <w:tcMar>
              <w:top w:w="100" w:type="dxa"/>
              <w:left w:w="100" w:type="dxa"/>
              <w:bottom w:w="100" w:type="dxa"/>
              <w:right w:w="100" w:type="dxa"/>
            </w:tcMar>
          </w:tcPr>
          <w:p w14:paraId="46F4D6AB"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China</w:t>
            </w:r>
          </w:p>
        </w:tc>
        <w:tc>
          <w:tcPr>
            <w:tcW w:w="2340" w:type="dxa"/>
            <w:shd w:val="clear" w:color="auto" w:fill="auto"/>
            <w:tcMar>
              <w:top w:w="100" w:type="dxa"/>
              <w:left w:w="100" w:type="dxa"/>
              <w:bottom w:w="100" w:type="dxa"/>
              <w:right w:w="100" w:type="dxa"/>
            </w:tcMar>
          </w:tcPr>
          <w:p w14:paraId="39DC2A40"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Netherlands</w:t>
            </w:r>
          </w:p>
        </w:tc>
        <w:tc>
          <w:tcPr>
            <w:tcW w:w="2340" w:type="dxa"/>
            <w:shd w:val="clear" w:color="auto" w:fill="auto"/>
            <w:tcMar>
              <w:top w:w="100" w:type="dxa"/>
              <w:left w:w="100" w:type="dxa"/>
              <w:bottom w:w="100" w:type="dxa"/>
              <w:right w:w="100" w:type="dxa"/>
            </w:tcMar>
          </w:tcPr>
          <w:p w14:paraId="4E4DA1B5"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South Africa</w:t>
            </w:r>
          </w:p>
        </w:tc>
        <w:tc>
          <w:tcPr>
            <w:tcW w:w="2340" w:type="dxa"/>
            <w:shd w:val="clear" w:color="auto" w:fill="auto"/>
            <w:tcMar>
              <w:top w:w="100" w:type="dxa"/>
              <w:left w:w="100" w:type="dxa"/>
              <w:bottom w:w="100" w:type="dxa"/>
              <w:right w:w="100" w:type="dxa"/>
            </w:tcMar>
          </w:tcPr>
          <w:p w14:paraId="13416909"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Uganda</w:t>
            </w:r>
          </w:p>
        </w:tc>
      </w:tr>
      <w:tr w:rsidR="008C7310" w14:paraId="74DF4121" w14:textId="77777777">
        <w:tc>
          <w:tcPr>
            <w:tcW w:w="2340" w:type="dxa"/>
            <w:shd w:val="clear" w:color="auto" w:fill="auto"/>
            <w:tcMar>
              <w:top w:w="100" w:type="dxa"/>
              <w:left w:w="100" w:type="dxa"/>
              <w:bottom w:w="100" w:type="dxa"/>
              <w:right w:w="100" w:type="dxa"/>
            </w:tcMar>
          </w:tcPr>
          <w:p w14:paraId="44680402"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Egypt</w:t>
            </w:r>
          </w:p>
        </w:tc>
        <w:tc>
          <w:tcPr>
            <w:tcW w:w="2340" w:type="dxa"/>
            <w:shd w:val="clear" w:color="auto" w:fill="auto"/>
            <w:tcMar>
              <w:top w:w="100" w:type="dxa"/>
              <w:left w:w="100" w:type="dxa"/>
              <w:bottom w:w="100" w:type="dxa"/>
              <w:right w:w="100" w:type="dxa"/>
            </w:tcMar>
          </w:tcPr>
          <w:p w14:paraId="656E97DE"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Papua New Guinea</w:t>
            </w:r>
          </w:p>
        </w:tc>
        <w:tc>
          <w:tcPr>
            <w:tcW w:w="2340" w:type="dxa"/>
            <w:shd w:val="clear" w:color="auto" w:fill="auto"/>
            <w:tcMar>
              <w:top w:w="100" w:type="dxa"/>
              <w:left w:w="100" w:type="dxa"/>
              <w:bottom w:w="100" w:type="dxa"/>
              <w:right w:w="100" w:type="dxa"/>
            </w:tcMar>
          </w:tcPr>
          <w:p w14:paraId="5EC50300"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Spain</w:t>
            </w:r>
          </w:p>
        </w:tc>
        <w:tc>
          <w:tcPr>
            <w:tcW w:w="2340" w:type="dxa"/>
            <w:shd w:val="clear" w:color="auto" w:fill="auto"/>
            <w:tcMar>
              <w:top w:w="100" w:type="dxa"/>
              <w:left w:w="100" w:type="dxa"/>
              <w:bottom w:w="100" w:type="dxa"/>
              <w:right w:w="100" w:type="dxa"/>
            </w:tcMar>
          </w:tcPr>
          <w:p w14:paraId="471111A8"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Ukraine</w:t>
            </w:r>
          </w:p>
        </w:tc>
      </w:tr>
      <w:tr w:rsidR="008C7310" w14:paraId="369BDB9A" w14:textId="77777777">
        <w:trPr>
          <w:trHeight w:val="660"/>
        </w:trPr>
        <w:tc>
          <w:tcPr>
            <w:tcW w:w="2340" w:type="dxa"/>
            <w:shd w:val="clear" w:color="auto" w:fill="auto"/>
            <w:tcMar>
              <w:top w:w="100" w:type="dxa"/>
              <w:left w:w="100" w:type="dxa"/>
              <w:bottom w:w="100" w:type="dxa"/>
              <w:right w:w="100" w:type="dxa"/>
            </w:tcMar>
          </w:tcPr>
          <w:p w14:paraId="33D28CCB"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Greece</w:t>
            </w:r>
          </w:p>
        </w:tc>
        <w:tc>
          <w:tcPr>
            <w:tcW w:w="2340" w:type="dxa"/>
            <w:shd w:val="clear" w:color="auto" w:fill="auto"/>
            <w:tcMar>
              <w:top w:w="100" w:type="dxa"/>
              <w:left w:w="100" w:type="dxa"/>
              <w:bottom w:w="100" w:type="dxa"/>
              <w:right w:w="100" w:type="dxa"/>
            </w:tcMar>
          </w:tcPr>
          <w:p w14:paraId="2F7020B0"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Poland</w:t>
            </w:r>
          </w:p>
        </w:tc>
        <w:tc>
          <w:tcPr>
            <w:tcW w:w="2340" w:type="dxa"/>
            <w:shd w:val="clear" w:color="auto" w:fill="auto"/>
            <w:tcMar>
              <w:top w:w="100" w:type="dxa"/>
              <w:left w:w="100" w:type="dxa"/>
              <w:bottom w:w="100" w:type="dxa"/>
              <w:right w:w="100" w:type="dxa"/>
            </w:tcMar>
          </w:tcPr>
          <w:p w14:paraId="7BA2CAB6" w14:textId="77777777" w:rsidR="008C7310" w:rsidRDefault="002745DE">
            <w:pPr>
              <w:widowControl w:val="0"/>
              <w:spacing w:after="0" w:line="240" w:lineRule="auto"/>
              <w:jc w:val="center"/>
              <w:rPr>
                <w:rFonts w:ascii="Arial" w:eastAsia="Arial" w:hAnsi="Arial" w:cs="Arial"/>
                <w:sz w:val="24"/>
                <w:szCs w:val="24"/>
              </w:rPr>
            </w:pPr>
            <w:r>
              <w:rPr>
                <w:rFonts w:ascii="Arial" w:eastAsia="Arial" w:hAnsi="Arial" w:cs="Arial"/>
                <w:sz w:val="24"/>
                <w:szCs w:val="24"/>
              </w:rPr>
              <w:t>Sri Lanka</w:t>
            </w:r>
          </w:p>
          <w:p w14:paraId="2F47B2F6" w14:textId="77777777" w:rsidR="008C7310" w:rsidRDefault="008C7310">
            <w:pPr>
              <w:widowControl w:val="0"/>
              <w:spacing w:after="0" w:line="240" w:lineRule="auto"/>
              <w:jc w:val="center"/>
              <w:rPr>
                <w:rFonts w:ascii="Arial" w:eastAsia="Arial" w:hAnsi="Arial" w:cs="Arial"/>
                <w:sz w:val="24"/>
                <w:szCs w:val="24"/>
              </w:rPr>
            </w:pPr>
          </w:p>
        </w:tc>
        <w:tc>
          <w:tcPr>
            <w:tcW w:w="2340" w:type="dxa"/>
            <w:shd w:val="clear" w:color="auto" w:fill="auto"/>
            <w:tcMar>
              <w:top w:w="100" w:type="dxa"/>
              <w:left w:w="100" w:type="dxa"/>
              <w:bottom w:w="100" w:type="dxa"/>
              <w:right w:w="100" w:type="dxa"/>
            </w:tcMar>
          </w:tcPr>
          <w:p w14:paraId="6CA9512B" w14:textId="77777777" w:rsidR="008C7310" w:rsidRDefault="002745DE">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 xml:space="preserve">United Arab Emirates </w:t>
            </w:r>
          </w:p>
        </w:tc>
      </w:tr>
    </w:tbl>
    <w:p w14:paraId="2F4DC356" w14:textId="77777777" w:rsidR="0081494C" w:rsidRDefault="0081494C">
      <w:pPr>
        <w:spacing w:line="276" w:lineRule="auto"/>
        <w:jc w:val="both"/>
        <w:rPr>
          <w:rFonts w:ascii="Arial" w:eastAsia="Arial" w:hAnsi="Arial" w:cs="Arial"/>
        </w:rPr>
      </w:pPr>
    </w:p>
    <w:p w14:paraId="15920AD3" w14:textId="3CFF6047" w:rsidR="00CD588E" w:rsidRDefault="00966F80" w:rsidP="00CD588E">
      <w:pPr>
        <w:spacing w:line="276" w:lineRule="auto"/>
        <w:ind w:left="2160" w:hanging="1890"/>
        <w:jc w:val="both"/>
        <w:rPr>
          <w:rFonts w:ascii="Arial" w:eastAsia="Arial" w:hAnsi="Arial" w:cs="Arial"/>
          <w:sz w:val="24"/>
          <w:szCs w:val="24"/>
        </w:rPr>
      </w:pPr>
      <w:r>
        <w:rPr>
          <w:rFonts w:ascii="Arial" w:eastAsia="Arial" w:hAnsi="Arial" w:cs="Arial"/>
          <w:sz w:val="24"/>
          <w:szCs w:val="24"/>
        </w:rPr>
        <w:pict w14:anchorId="3469A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9pt;height:177.2pt">
            <v:imagedata r:id="rId8" o:title="Fig S1" croptop="4623f" cropbottom="41952f" cropleft="11992f" cropright="14477f"/>
          </v:shape>
        </w:pict>
      </w:r>
    </w:p>
    <w:p w14:paraId="2B64F501" w14:textId="7BE82539" w:rsidR="008C7310" w:rsidRDefault="002745DE">
      <w:pPr>
        <w:spacing w:after="0" w:line="276" w:lineRule="auto"/>
        <w:jc w:val="both"/>
        <w:rPr>
          <w:rFonts w:ascii="Arial" w:eastAsia="Arial" w:hAnsi="Arial" w:cs="Arial"/>
          <w:sz w:val="24"/>
          <w:szCs w:val="24"/>
        </w:rPr>
      </w:pPr>
      <w:r w:rsidRPr="00554EBA">
        <w:rPr>
          <w:rFonts w:ascii="Arial" w:eastAsia="Arial" w:hAnsi="Arial" w:cs="Arial"/>
          <w:b/>
        </w:rPr>
        <w:t>Fig S1.</w:t>
      </w:r>
      <w:r>
        <w:rPr>
          <w:rFonts w:ascii="Arial" w:eastAsia="Arial" w:hAnsi="Arial" w:cs="Arial"/>
        </w:rPr>
        <w:t xml:space="preserve"> </w:t>
      </w:r>
      <w:r w:rsidR="002435B8">
        <w:rPr>
          <w:rFonts w:ascii="Arial" w:eastAsia="Arial" w:hAnsi="Arial" w:cs="Arial"/>
        </w:rPr>
        <w:t>Group wise distribution showing the fraction of total essential and non-essential workers who took the COVID-19 test.</w:t>
      </w:r>
    </w:p>
    <w:p w14:paraId="1E7EF17B" w14:textId="77777777" w:rsidR="00FE0DEB" w:rsidRDefault="002745DE">
      <w:pPr>
        <w:spacing w:line="276" w:lineRule="auto"/>
        <w:jc w:val="both"/>
        <w:rPr>
          <w:rFonts w:ascii="Arial" w:eastAsia="Arial" w:hAnsi="Arial" w:cs="Arial"/>
          <w:sz w:val="24"/>
          <w:szCs w:val="24"/>
        </w:rPr>
      </w:pPr>
      <w:r>
        <w:rPr>
          <w:rFonts w:ascii="Arial" w:eastAsia="Arial" w:hAnsi="Arial" w:cs="Arial"/>
          <w:sz w:val="24"/>
          <w:szCs w:val="24"/>
        </w:rPr>
        <w:lastRenderedPageBreak/>
        <w:t>We performed comparative analyses among the various subgroups to explore the following: a) whether there were significant differences between the essential and non-essential workers with respect to their employment status or whether these two groups had similar or variable social interaction patterns. As anticipated and shown in Fig S2</w:t>
      </w:r>
      <w:r w:rsidR="00FE0DEB">
        <w:rPr>
          <w:rFonts w:ascii="Arial" w:eastAsia="Arial" w:hAnsi="Arial" w:cs="Arial"/>
          <w:sz w:val="24"/>
          <w:szCs w:val="24"/>
        </w:rPr>
        <w:t>A</w:t>
      </w:r>
      <w:r>
        <w:rPr>
          <w:rFonts w:ascii="Arial" w:eastAsia="Arial" w:hAnsi="Arial" w:cs="Arial"/>
          <w:sz w:val="24"/>
          <w:szCs w:val="24"/>
        </w:rPr>
        <w:t xml:space="preserve">, we found that the non-essential group lost more jobs as opposed to the essential workers. Moreover. </w:t>
      </w:r>
      <w:proofErr w:type="gramStart"/>
      <w:r>
        <w:rPr>
          <w:rFonts w:ascii="Arial" w:eastAsia="Arial" w:hAnsi="Arial" w:cs="Arial"/>
          <w:sz w:val="24"/>
          <w:szCs w:val="24"/>
        </w:rPr>
        <w:t>there</w:t>
      </w:r>
      <w:proofErr w:type="gramEnd"/>
      <w:r>
        <w:rPr>
          <w:rFonts w:ascii="Arial" w:eastAsia="Arial" w:hAnsi="Arial" w:cs="Arial"/>
          <w:sz w:val="24"/>
          <w:szCs w:val="24"/>
        </w:rPr>
        <w:t xml:space="preserve"> was a bigger effect on social interaction among the non-essential working group as compared t</w:t>
      </w:r>
      <w:r w:rsidR="00FE0DEB">
        <w:rPr>
          <w:rFonts w:ascii="Arial" w:eastAsia="Arial" w:hAnsi="Arial" w:cs="Arial"/>
          <w:sz w:val="24"/>
          <w:szCs w:val="24"/>
        </w:rPr>
        <w:t>o the essential workers (Fig S2B</w:t>
      </w:r>
      <w:r>
        <w:rPr>
          <w:rFonts w:ascii="Arial" w:eastAsia="Arial" w:hAnsi="Arial" w:cs="Arial"/>
          <w:sz w:val="24"/>
          <w:szCs w:val="24"/>
        </w:rPr>
        <w:t xml:space="preserve">). </w:t>
      </w:r>
    </w:p>
    <w:p w14:paraId="58AB162F" w14:textId="4E7D62E8" w:rsidR="00CD588E" w:rsidRDefault="002745DE">
      <w:pPr>
        <w:spacing w:line="276" w:lineRule="auto"/>
        <w:jc w:val="both"/>
        <w:rPr>
          <w:rFonts w:ascii="Arial" w:eastAsia="Arial" w:hAnsi="Arial" w:cs="Arial"/>
          <w:sz w:val="24"/>
          <w:szCs w:val="24"/>
        </w:rPr>
      </w:pPr>
      <w:r>
        <w:rPr>
          <w:rFonts w:ascii="Arial" w:eastAsia="Arial" w:hAnsi="Arial" w:cs="Arial"/>
          <w:sz w:val="24"/>
          <w:szCs w:val="24"/>
        </w:rPr>
        <w:t xml:space="preserve">We also performed a comparative analysis on two categories of survey takers, namely, those who reported changes in social interactions </w:t>
      </w:r>
      <w:proofErr w:type="gramStart"/>
      <w:r>
        <w:rPr>
          <w:rFonts w:ascii="Arial" w:eastAsia="Arial" w:hAnsi="Arial" w:cs="Arial"/>
          <w:sz w:val="24"/>
          <w:szCs w:val="24"/>
        </w:rPr>
        <w:t>and also</w:t>
      </w:r>
      <w:proofErr w:type="gramEnd"/>
      <w:r>
        <w:rPr>
          <w:rFonts w:ascii="Arial" w:eastAsia="Arial" w:hAnsi="Arial" w:cs="Arial"/>
          <w:sz w:val="24"/>
          <w:szCs w:val="24"/>
        </w:rPr>
        <w:t xml:space="preserve"> the ones who reported no changes in social interactions. Comparisons </w:t>
      </w:r>
      <w:proofErr w:type="gramStart"/>
      <w:r>
        <w:rPr>
          <w:rFonts w:ascii="Arial" w:eastAsia="Arial" w:hAnsi="Arial" w:cs="Arial"/>
          <w:sz w:val="24"/>
          <w:szCs w:val="24"/>
        </w:rPr>
        <w:t>were made</w:t>
      </w:r>
      <w:proofErr w:type="gramEnd"/>
      <w:r>
        <w:rPr>
          <w:rFonts w:ascii="Arial" w:eastAsia="Arial" w:hAnsi="Arial" w:cs="Arial"/>
          <w:sz w:val="24"/>
          <w:szCs w:val="24"/>
        </w:rPr>
        <w:t xml:space="preserve"> with respect to a few parameters including COVID-19 test taken, financial loss, household living company and whether they belonged to essential vs. non-essential workers cohort. For all of the above metrics, there was similar distribution in the two groups as dep</w:t>
      </w:r>
      <w:r w:rsidR="00E919AD">
        <w:rPr>
          <w:rFonts w:ascii="Arial" w:eastAsia="Arial" w:hAnsi="Arial" w:cs="Arial"/>
          <w:sz w:val="24"/>
          <w:szCs w:val="24"/>
        </w:rPr>
        <w:t>icted by the bar graphs (Fig S3A</w:t>
      </w:r>
      <w:r>
        <w:rPr>
          <w:rFonts w:ascii="Arial" w:eastAsia="Arial" w:hAnsi="Arial" w:cs="Arial"/>
          <w:sz w:val="24"/>
          <w:szCs w:val="24"/>
        </w:rPr>
        <w:t>). We then evaluated what effect these two groups of survey takers had on their</w:t>
      </w:r>
      <w:r w:rsidR="00A0717B">
        <w:rPr>
          <w:rFonts w:ascii="Arial" w:eastAsia="Arial" w:hAnsi="Arial" w:cs="Arial"/>
          <w:sz w:val="24"/>
          <w:szCs w:val="24"/>
        </w:rPr>
        <w:t xml:space="preserve"> </w:t>
      </w:r>
      <w:r w:rsidR="00966F80">
        <w:rPr>
          <w:rFonts w:ascii="Arial" w:eastAsia="Arial" w:hAnsi="Arial" w:cs="Arial"/>
          <w:sz w:val="24"/>
          <w:szCs w:val="24"/>
        </w:rPr>
        <w:pict w14:anchorId="5B20F6F6">
          <v:shape id="_x0000_i1026" type="#_x0000_t75" style="width:298.95pt;height:361.25pt">
            <v:imagedata r:id="rId9" o:title="Fig S2" croptop="3308f" cropbottom="22086f" cropleft="1844f" cropright="20136f"/>
          </v:shape>
        </w:pict>
      </w:r>
    </w:p>
    <w:p w14:paraId="075A8606" w14:textId="00E08141" w:rsidR="008C7310" w:rsidRDefault="002745DE">
      <w:pPr>
        <w:spacing w:line="276" w:lineRule="auto"/>
        <w:jc w:val="both"/>
        <w:rPr>
          <w:rFonts w:ascii="Arial" w:eastAsia="Arial" w:hAnsi="Arial" w:cs="Arial"/>
        </w:rPr>
      </w:pPr>
      <w:r w:rsidRPr="002435B8">
        <w:rPr>
          <w:rFonts w:ascii="Arial" w:eastAsia="Arial" w:hAnsi="Arial" w:cs="Arial"/>
          <w:b/>
        </w:rPr>
        <w:t>Fig S2:</w:t>
      </w:r>
      <w:r>
        <w:rPr>
          <w:rFonts w:ascii="Arial" w:eastAsia="Arial" w:hAnsi="Arial" w:cs="Arial"/>
        </w:rPr>
        <w:t xml:space="preserve"> </w:t>
      </w:r>
      <w:r w:rsidR="00724F3A" w:rsidRPr="00170C26">
        <w:rPr>
          <w:rFonts w:ascii="Arial" w:eastAsia="Arial" w:hAnsi="Arial" w:cs="Arial"/>
        </w:rPr>
        <w:t>Comparative analyses of essential vs non-essential workers. A. Comparison with regard to their employment status during the study period. B. Change in social interaction levels.</w:t>
      </w:r>
    </w:p>
    <w:p w14:paraId="36D455D1" w14:textId="6A1CA3FE" w:rsidR="008C7310" w:rsidRDefault="002745DE">
      <w:pPr>
        <w:spacing w:line="276" w:lineRule="auto"/>
        <w:jc w:val="both"/>
        <w:rPr>
          <w:rFonts w:ascii="Arial" w:eastAsia="Arial" w:hAnsi="Arial" w:cs="Arial"/>
        </w:rPr>
      </w:pPr>
      <w:proofErr w:type="gramStart"/>
      <w:r>
        <w:rPr>
          <w:rFonts w:ascii="Arial" w:eastAsia="Arial" w:hAnsi="Arial" w:cs="Arial"/>
          <w:sz w:val="24"/>
          <w:szCs w:val="24"/>
        </w:rPr>
        <w:lastRenderedPageBreak/>
        <w:t>mental</w:t>
      </w:r>
      <w:proofErr w:type="gramEnd"/>
      <w:r>
        <w:rPr>
          <w:rFonts w:ascii="Arial" w:eastAsia="Arial" w:hAnsi="Arial" w:cs="Arial"/>
          <w:sz w:val="24"/>
          <w:szCs w:val="24"/>
        </w:rPr>
        <w:t xml:space="preserve"> health as a result of COVID-19 and social isolation. In particular, we asked about the extent of impact on their mental health by providing different levels or categories to choose from, such as, extremely, moderately to overwhelming or no effect at all. Our analysis shows that a large portion of the social interaction affected individuals had moderate effects on their mental health whereas the majority of the participants who did not have an </w:t>
      </w:r>
      <w:r w:rsidR="00966F80">
        <w:rPr>
          <w:rFonts w:ascii="Arial" w:eastAsia="Arial" w:hAnsi="Arial" w:cs="Arial"/>
          <w:sz w:val="24"/>
          <w:szCs w:val="24"/>
        </w:rPr>
        <w:t>effect</w:t>
      </w:r>
      <w:bookmarkStart w:id="0" w:name="_GoBack"/>
      <w:bookmarkEnd w:id="0"/>
      <w:r>
        <w:rPr>
          <w:rFonts w:ascii="Arial" w:eastAsia="Arial" w:hAnsi="Arial" w:cs="Arial"/>
          <w:sz w:val="24"/>
          <w:szCs w:val="24"/>
        </w:rPr>
        <w:t xml:space="preserve"> on their social interaction neither had any kind of mental health impact (Fig S3</w:t>
      </w:r>
      <w:r w:rsidR="005D52ED">
        <w:rPr>
          <w:rFonts w:ascii="Arial" w:eastAsia="Arial" w:hAnsi="Arial" w:cs="Arial"/>
          <w:sz w:val="24"/>
          <w:szCs w:val="24"/>
        </w:rPr>
        <w:t>B</w:t>
      </w:r>
      <w:r>
        <w:rPr>
          <w:rFonts w:ascii="Arial" w:eastAsia="Arial" w:hAnsi="Arial" w:cs="Arial"/>
          <w:sz w:val="24"/>
          <w:szCs w:val="24"/>
        </w:rPr>
        <w:t>). Moreover, a substantial proportion of the participants who had changes in their social interaction felt that the overall quality of their mental health could have been better whereas the other group had a neutral opinion. We also measured the differences with regard to stress coping mechanisms in these two groups of individuals. Our data reflects that both these groups had a similar trend of involvement in alternate activities as a way to cope with stress and anxiety. For instance, in both the groups, the largest fraction of people opted to communicate with their friends and family the most followed by pursuing their hobbies (Fig S3</w:t>
      </w:r>
      <w:r w:rsidR="005D52ED">
        <w:rPr>
          <w:rFonts w:ascii="Arial" w:eastAsia="Arial" w:hAnsi="Arial" w:cs="Arial"/>
          <w:sz w:val="24"/>
          <w:szCs w:val="24"/>
        </w:rPr>
        <w:t>C</w:t>
      </w:r>
      <w:r>
        <w:rPr>
          <w:rFonts w:ascii="Arial" w:eastAsia="Arial" w:hAnsi="Arial" w:cs="Arial"/>
          <w:sz w:val="24"/>
          <w:szCs w:val="24"/>
        </w:rPr>
        <w:t>).</w:t>
      </w:r>
    </w:p>
    <w:p w14:paraId="3A366798" w14:textId="22A3C5F5" w:rsidR="008C7310" w:rsidRPr="00E919AD" w:rsidRDefault="00340863">
      <w:pPr>
        <w:spacing w:line="276" w:lineRule="auto"/>
        <w:jc w:val="both"/>
        <w:rPr>
          <w:rFonts w:ascii="Arial" w:eastAsia="Arial" w:hAnsi="Arial" w:cs="Arial"/>
          <w:b/>
        </w:rPr>
      </w:pPr>
      <w:r>
        <w:rPr>
          <w:noProof/>
        </w:rPr>
        <w:pict w14:anchorId="22C5D865">
          <v:shape id="_x0000_s1026" type="#_x0000_t75" style="position:absolute;left:0;text-align:left;margin-left:0;margin-top:0;width:430.1pt;height:358.75pt;z-index:251659264;mso-position-horizontal:absolute;mso-position-horizontal-relative:text;mso-position-vertical:center;mso-position-vertical-relative:text;mso-width-relative:page;mso-height-relative:page">
            <v:imagedata r:id="rId10" o:title="Fig S3" croptop="5898f" cropbottom="20757f" cropleft="2501f" cropright="2767f"/>
            <w10:wrap type="topAndBottom"/>
          </v:shape>
        </w:pict>
      </w:r>
      <w:r w:rsidR="002745DE" w:rsidRPr="00191355">
        <w:rPr>
          <w:rFonts w:ascii="Arial" w:eastAsia="Arial" w:hAnsi="Arial" w:cs="Arial"/>
          <w:b/>
        </w:rPr>
        <w:t>Fig S3:</w:t>
      </w:r>
      <w:r w:rsidR="002745DE">
        <w:rPr>
          <w:rFonts w:ascii="Arial" w:eastAsia="Arial" w:hAnsi="Arial" w:cs="Arial"/>
        </w:rPr>
        <w:t xml:space="preserve"> </w:t>
      </w:r>
      <w:r w:rsidR="00A93BF9" w:rsidRPr="00170C26">
        <w:rPr>
          <w:rFonts w:ascii="Arial" w:eastAsia="Arial" w:hAnsi="Arial" w:cs="Arial"/>
        </w:rPr>
        <w:t xml:space="preserve">Comparative analyses between the two groups of participants who experienced changes in their social interaction and those who reported no changes in social interaction during the study period. The comparisons were based on their: A. Employment status, household companion and </w:t>
      </w:r>
      <w:r w:rsidR="00A93BF9" w:rsidRPr="00170C26">
        <w:rPr>
          <w:rFonts w:ascii="Arial" w:eastAsia="Arial" w:hAnsi="Arial" w:cs="Arial"/>
        </w:rPr>
        <w:lastRenderedPageBreak/>
        <w:t>COVID-19 test status. B. Mental health status of participants. C. Strategies to cope with mental health issues.</w:t>
      </w:r>
    </w:p>
    <w:sectPr w:rsidR="008C7310" w:rsidRPr="00E919AD" w:rsidSect="003A0941">
      <w:footerReference w:type="default" r:id="rId1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83D8" w14:textId="77777777" w:rsidR="00340863" w:rsidRDefault="00340863">
      <w:pPr>
        <w:spacing w:after="0" w:line="240" w:lineRule="auto"/>
      </w:pPr>
      <w:r>
        <w:separator/>
      </w:r>
    </w:p>
  </w:endnote>
  <w:endnote w:type="continuationSeparator" w:id="0">
    <w:p w14:paraId="0C5DC27D" w14:textId="77777777" w:rsidR="00340863" w:rsidRDefault="0034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379281"/>
      <w:docPartObj>
        <w:docPartGallery w:val="Page Numbers (Bottom of Page)"/>
        <w:docPartUnique/>
      </w:docPartObj>
    </w:sdtPr>
    <w:sdtEndPr>
      <w:rPr>
        <w:noProof/>
      </w:rPr>
    </w:sdtEndPr>
    <w:sdtContent>
      <w:p w14:paraId="7A7B5ADB" w14:textId="4626A6CF" w:rsidR="003A0941" w:rsidRDefault="003A0941">
        <w:pPr>
          <w:pStyle w:val="Footer"/>
          <w:jc w:val="right"/>
        </w:pPr>
        <w:r>
          <w:fldChar w:fldCharType="begin"/>
        </w:r>
        <w:r>
          <w:instrText xml:space="preserve"> PAGE   \* MERGEFORMAT </w:instrText>
        </w:r>
        <w:r>
          <w:fldChar w:fldCharType="separate"/>
        </w:r>
        <w:r w:rsidR="00966F80">
          <w:rPr>
            <w:noProof/>
          </w:rPr>
          <w:t>4</w:t>
        </w:r>
        <w:r>
          <w:rPr>
            <w:noProof/>
          </w:rPr>
          <w:fldChar w:fldCharType="end"/>
        </w:r>
      </w:p>
    </w:sdtContent>
  </w:sdt>
  <w:p w14:paraId="7BCF9404" w14:textId="77777777" w:rsidR="003A0941" w:rsidRDefault="003A0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3B83" w14:textId="77777777" w:rsidR="00340863" w:rsidRDefault="00340863">
      <w:pPr>
        <w:spacing w:after="0" w:line="240" w:lineRule="auto"/>
      </w:pPr>
      <w:r>
        <w:separator/>
      </w:r>
    </w:p>
  </w:footnote>
  <w:footnote w:type="continuationSeparator" w:id="0">
    <w:p w14:paraId="02ACF89E" w14:textId="77777777" w:rsidR="00340863" w:rsidRDefault="00340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F687B"/>
    <w:multiLevelType w:val="multilevel"/>
    <w:tmpl w:val="9CD2B7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0ev0etiwxw0rexs0oxrr2i5ew5r5vw5dxf&quot;&gt;My EndNote Library_01102021&lt;record-ids&gt;&lt;item&gt;25&lt;/item&gt;&lt;/record-ids&gt;&lt;/item&gt;&lt;/Libraries&gt;"/>
  </w:docVars>
  <w:rsids>
    <w:rsidRoot w:val="008C7310"/>
    <w:rsid w:val="00140F49"/>
    <w:rsid w:val="00180F4F"/>
    <w:rsid w:val="00191355"/>
    <w:rsid w:val="002435B8"/>
    <w:rsid w:val="002745DE"/>
    <w:rsid w:val="00340863"/>
    <w:rsid w:val="00354DBD"/>
    <w:rsid w:val="003A0941"/>
    <w:rsid w:val="003B45FD"/>
    <w:rsid w:val="00554EBA"/>
    <w:rsid w:val="005D52ED"/>
    <w:rsid w:val="00724F3A"/>
    <w:rsid w:val="0081494C"/>
    <w:rsid w:val="008A09D3"/>
    <w:rsid w:val="008A4611"/>
    <w:rsid w:val="008C7310"/>
    <w:rsid w:val="00966F80"/>
    <w:rsid w:val="00A0717B"/>
    <w:rsid w:val="00A93BF9"/>
    <w:rsid w:val="00CD588E"/>
    <w:rsid w:val="00DC3614"/>
    <w:rsid w:val="00E62A55"/>
    <w:rsid w:val="00E83684"/>
    <w:rsid w:val="00E919AD"/>
    <w:rsid w:val="00EB7B45"/>
    <w:rsid w:val="00F32E73"/>
    <w:rsid w:val="00F80346"/>
    <w:rsid w:val="00FE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27491"/>
  <w15:docId w15:val="{576310D2-2468-49E3-9761-10221988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B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5FD"/>
    <w:rPr>
      <w:rFonts w:ascii="Segoe UI" w:hAnsi="Segoe UI" w:cs="Segoe UI"/>
      <w:sz w:val="18"/>
      <w:szCs w:val="18"/>
    </w:rPr>
  </w:style>
  <w:style w:type="paragraph" w:customStyle="1" w:styleId="EndNoteBibliographyTitle">
    <w:name w:val="EndNote Bibliography Title"/>
    <w:basedOn w:val="Normal"/>
    <w:link w:val="EndNoteBibliographyTitleChar"/>
    <w:rsid w:val="0081494C"/>
    <w:pPr>
      <w:spacing w:after="0"/>
      <w:jc w:val="center"/>
    </w:pPr>
    <w:rPr>
      <w:noProof/>
    </w:rPr>
  </w:style>
  <w:style w:type="character" w:customStyle="1" w:styleId="EndNoteBibliographyTitleChar">
    <w:name w:val="EndNote Bibliography Title Char"/>
    <w:basedOn w:val="DefaultParagraphFont"/>
    <w:link w:val="EndNoteBibliographyTitle"/>
    <w:rsid w:val="0081494C"/>
    <w:rPr>
      <w:noProof/>
    </w:rPr>
  </w:style>
  <w:style w:type="paragraph" w:customStyle="1" w:styleId="EndNoteBibliography">
    <w:name w:val="EndNote Bibliography"/>
    <w:basedOn w:val="Normal"/>
    <w:link w:val="EndNoteBibliographyChar"/>
    <w:rsid w:val="0081494C"/>
    <w:pPr>
      <w:spacing w:line="240" w:lineRule="auto"/>
      <w:jc w:val="both"/>
    </w:pPr>
    <w:rPr>
      <w:noProof/>
    </w:rPr>
  </w:style>
  <w:style w:type="character" w:customStyle="1" w:styleId="EndNoteBibliographyChar">
    <w:name w:val="EndNote Bibliography Char"/>
    <w:basedOn w:val="DefaultParagraphFont"/>
    <w:link w:val="EndNoteBibliography"/>
    <w:rsid w:val="0081494C"/>
    <w:rPr>
      <w:noProof/>
    </w:rPr>
  </w:style>
  <w:style w:type="paragraph" w:styleId="Header">
    <w:name w:val="header"/>
    <w:basedOn w:val="Normal"/>
    <w:link w:val="HeaderChar"/>
    <w:uiPriority w:val="99"/>
    <w:unhideWhenUsed/>
    <w:rsid w:val="003A0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41"/>
  </w:style>
  <w:style w:type="paragraph" w:styleId="Footer">
    <w:name w:val="footer"/>
    <w:basedOn w:val="Normal"/>
    <w:link w:val="FooterChar"/>
    <w:uiPriority w:val="99"/>
    <w:unhideWhenUsed/>
    <w:rsid w:val="003A0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941"/>
  </w:style>
  <w:style w:type="character" w:styleId="LineNumber">
    <w:name w:val="line number"/>
    <w:basedOn w:val="DefaultParagraphFont"/>
    <w:uiPriority w:val="99"/>
    <w:semiHidden/>
    <w:unhideWhenUsed/>
    <w:rsid w:val="003A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B4F4-810D-4B19-BFE8-B763A3B9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Kumar Saha</dc:creator>
  <cp:lastModifiedBy>Amit Kumar Saha</cp:lastModifiedBy>
  <cp:revision>12</cp:revision>
  <dcterms:created xsi:type="dcterms:W3CDTF">2021-01-11T07:26:00Z</dcterms:created>
  <dcterms:modified xsi:type="dcterms:W3CDTF">2021-01-11T07:40:00Z</dcterms:modified>
</cp:coreProperties>
</file>