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DB5DA4" w14:textId="30EA618B" w:rsidR="000D267D" w:rsidRDefault="009D1FB3">
      <w:r>
        <w:rPr>
          <w:b/>
          <w:noProof/>
        </w:rPr>
        <w:drawing>
          <wp:inline distT="0" distB="0" distL="0" distR="0" wp14:anchorId="14F311C8" wp14:editId="4BFDD05D">
            <wp:extent cx="5167423" cy="3317358"/>
            <wp:effectExtent l="0" t="0" r="14605" b="16510"/>
            <wp:docPr id="2" name="Chart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2AACD349" w14:textId="7E370A7E" w:rsidR="009D1FB3" w:rsidRDefault="009D1FB3" w:rsidP="009D1FB3">
      <w:pPr>
        <w:tabs>
          <w:tab w:val="left" w:pos="8505"/>
        </w:tabs>
      </w:pPr>
      <w:r>
        <w:tab/>
      </w:r>
    </w:p>
    <w:p w14:paraId="6041FC89" w14:textId="59FB96F9" w:rsidR="009D1FB3" w:rsidRDefault="009D1FB3" w:rsidP="009D1FB3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Figure </w:t>
      </w:r>
      <w:r w:rsidR="00856B56">
        <w:rPr>
          <w:rFonts w:ascii="Times New Roman" w:eastAsia="Times New Roman" w:hAnsi="Times New Roman" w:cs="Times New Roman"/>
          <w:b/>
          <w:sz w:val="24"/>
          <w:szCs w:val="24"/>
        </w:rPr>
        <w:t>-</w:t>
      </w:r>
      <w:r w:rsidR="004D7CCF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48636C">
        <w:rPr>
          <w:rFonts w:ascii="Times New Roman" w:eastAsia="Times New Roman" w:hAnsi="Times New Roman" w:cs="Times New Roman"/>
          <w:b/>
          <w:sz w:val="24"/>
          <w:szCs w:val="24"/>
        </w:rPr>
        <w:t>S1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: Antibiotic Resistance Pattern of isolates from various samples</w:t>
      </w:r>
    </w:p>
    <w:p w14:paraId="209A7332" w14:textId="45452BF8" w:rsidR="009D1FB3" w:rsidRDefault="009D1FB3" w:rsidP="009D1FB3">
      <w:pPr>
        <w:tabs>
          <w:tab w:val="left" w:pos="8505"/>
        </w:tabs>
      </w:pPr>
    </w:p>
    <w:p w14:paraId="09B4984C" w14:textId="3ACDDBDB" w:rsidR="009D1FB3" w:rsidRDefault="009D1FB3" w:rsidP="009D1FB3">
      <w:pPr>
        <w:tabs>
          <w:tab w:val="left" w:pos="8505"/>
        </w:tabs>
      </w:pPr>
      <w:r>
        <w:rPr>
          <w:noProof/>
        </w:rPr>
        <w:drawing>
          <wp:inline distT="0" distB="0" distL="0" distR="0" wp14:anchorId="6135310D" wp14:editId="50A7A58D">
            <wp:extent cx="5307965" cy="2181225"/>
            <wp:effectExtent l="0" t="0" r="6985" b="9525"/>
            <wp:docPr id="4" name="Chart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1E2377A4" w14:textId="34CBEFFD" w:rsidR="009D1FB3" w:rsidRDefault="009D1FB3" w:rsidP="009D1FB3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</w:rPr>
        <w:t xml:space="preserve">Figure </w:t>
      </w:r>
      <w:r w:rsidR="00856B56">
        <w:rPr>
          <w:rFonts w:ascii="Times New Roman" w:eastAsia="Times New Roman" w:hAnsi="Times New Roman" w:cs="Times New Roman"/>
          <w:b/>
        </w:rPr>
        <w:t>-</w:t>
      </w:r>
      <w:r>
        <w:rPr>
          <w:rFonts w:ascii="Times New Roman" w:eastAsia="Times New Roman" w:hAnsi="Times New Roman" w:cs="Times New Roman"/>
          <w:b/>
        </w:rPr>
        <w:t xml:space="preserve"> </w:t>
      </w:r>
      <w:r w:rsidR="0048636C">
        <w:rPr>
          <w:rFonts w:ascii="Times New Roman" w:eastAsia="Times New Roman" w:hAnsi="Times New Roman" w:cs="Times New Roman"/>
          <w:b/>
        </w:rPr>
        <w:t>S2</w:t>
      </w:r>
      <w:r>
        <w:rPr>
          <w:rFonts w:ascii="Times New Roman" w:eastAsia="Times New Roman" w:hAnsi="Times New Roman" w:cs="Times New Roman"/>
          <w:b/>
        </w:rPr>
        <w:t>: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ESBL production in 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pneumoniae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Isolates </w:t>
      </w:r>
    </w:p>
    <w:p w14:paraId="0678384E" w14:textId="6A2E7C56" w:rsidR="009D1FB3" w:rsidRDefault="009D1FB3" w:rsidP="009D1FB3">
      <w:pPr>
        <w:tabs>
          <w:tab w:val="left" w:pos="8505"/>
        </w:tabs>
      </w:pPr>
    </w:p>
    <w:p w14:paraId="1464E21C" w14:textId="1E7FC8F6" w:rsidR="009D1FB3" w:rsidRDefault="009D1FB3" w:rsidP="009D1FB3">
      <w:pPr>
        <w:tabs>
          <w:tab w:val="left" w:pos="8505"/>
        </w:tabs>
      </w:pPr>
      <w:r>
        <w:rPr>
          <w:noProof/>
        </w:rPr>
        <w:lastRenderedPageBreak/>
        <w:drawing>
          <wp:inline distT="0" distB="0" distL="0" distR="0" wp14:anchorId="10F416D9" wp14:editId="7F1D34CE">
            <wp:extent cx="5553075" cy="2209800"/>
            <wp:effectExtent l="0" t="0" r="9525" b="0"/>
            <wp:docPr id="3" name="Chart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083EE155" w14:textId="77777777" w:rsidR="009D1FB3" w:rsidRDefault="009D1FB3" w:rsidP="009D1FB3">
      <w:pPr>
        <w:jc w:val="center"/>
      </w:pPr>
    </w:p>
    <w:p w14:paraId="6F57397E" w14:textId="2DDA99C1" w:rsidR="009D1FB3" w:rsidRDefault="004D7CCF" w:rsidP="009D1FB3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Figure </w:t>
      </w:r>
      <w:r w:rsidR="00856B56">
        <w:rPr>
          <w:rFonts w:ascii="Times New Roman" w:eastAsia="Times New Roman" w:hAnsi="Times New Roman" w:cs="Times New Roman"/>
          <w:b/>
        </w:rPr>
        <w:t>-</w:t>
      </w:r>
      <w:r>
        <w:rPr>
          <w:rFonts w:ascii="Times New Roman" w:eastAsia="Times New Roman" w:hAnsi="Times New Roman" w:cs="Times New Roman"/>
          <w:b/>
        </w:rPr>
        <w:t xml:space="preserve"> </w:t>
      </w:r>
      <w:r w:rsidR="0048636C">
        <w:rPr>
          <w:rFonts w:ascii="Times New Roman" w:eastAsia="Times New Roman" w:hAnsi="Times New Roman" w:cs="Times New Roman"/>
          <w:b/>
        </w:rPr>
        <w:t>S3</w:t>
      </w:r>
      <w:r w:rsidR="009D1FB3">
        <w:rPr>
          <w:rFonts w:ascii="Times New Roman" w:eastAsia="Times New Roman" w:hAnsi="Times New Roman" w:cs="Times New Roman"/>
          <w:b/>
        </w:rPr>
        <w:t xml:space="preserve">: </w:t>
      </w:r>
      <w:r w:rsidR="009D1FB3">
        <w:rPr>
          <w:rFonts w:ascii="Times New Roman" w:eastAsia="Times New Roman" w:hAnsi="Times New Roman" w:cs="Times New Roman"/>
          <w:b/>
          <w:sz w:val="24"/>
          <w:szCs w:val="24"/>
        </w:rPr>
        <w:t xml:space="preserve">Confirmatory of MBL Production in </w:t>
      </w:r>
      <w:r w:rsidR="009D1FB3">
        <w:rPr>
          <w:rFonts w:ascii="Times New Roman" w:eastAsia="Times New Roman" w:hAnsi="Times New Roman" w:cs="Times New Roman"/>
          <w:b/>
          <w:i/>
          <w:sz w:val="24"/>
          <w:szCs w:val="24"/>
        </w:rPr>
        <w:t>K</w:t>
      </w:r>
      <w:r w:rsidR="009D1FB3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="009D1FB3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pneumoniae </w:t>
      </w:r>
      <w:r w:rsidR="009D1FB3">
        <w:rPr>
          <w:rFonts w:ascii="Times New Roman" w:eastAsia="Times New Roman" w:hAnsi="Times New Roman" w:cs="Times New Roman"/>
          <w:b/>
          <w:sz w:val="24"/>
          <w:szCs w:val="24"/>
        </w:rPr>
        <w:t xml:space="preserve">Isolates </w:t>
      </w:r>
    </w:p>
    <w:p w14:paraId="274D3E3D" w14:textId="5AEC8CFB" w:rsidR="009D1FB3" w:rsidRDefault="009D1FB3" w:rsidP="009D1FB3">
      <w:pPr>
        <w:tabs>
          <w:tab w:val="left" w:pos="8505"/>
        </w:tabs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77BC783F" wp14:editId="145E0EA3">
            <wp:extent cx="5438775" cy="2124075"/>
            <wp:effectExtent l="0" t="0" r="9525" b="9525"/>
            <wp:docPr id="6" name="Chart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3F944DD5" w14:textId="77777777" w:rsidR="009D1FB3" w:rsidRDefault="009D1FB3" w:rsidP="009D1FB3"/>
    <w:p w14:paraId="377AAAF6" w14:textId="45A3E819" w:rsidR="009D1FB3" w:rsidRDefault="004D7CCF" w:rsidP="009D1FB3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Figure</w:t>
      </w:r>
      <w:r w:rsidR="00856B56">
        <w:rPr>
          <w:rFonts w:ascii="Times New Roman" w:eastAsia="Times New Roman" w:hAnsi="Times New Roman" w:cs="Times New Roman"/>
          <w:b/>
          <w:sz w:val="24"/>
          <w:szCs w:val="24"/>
        </w:rPr>
        <w:t xml:space="preserve"> -</w:t>
      </w:r>
      <w:r w:rsidR="009D1FB3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48636C">
        <w:rPr>
          <w:rFonts w:ascii="Times New Roman" w:eastAsia="Times New Roman" w:hAnsi="Times New Roman" w:cs="Times New Roman"/>
          <w:b/>
          <w:sz w:val="24"/>
          <w:szCs w:val="24"/>
        </w:rPr>
        <w:t>S4</w:t>
      </w:r>
      <w:r w:rsidR="009D1FB3">
        <w:rPr>
          <w:rFonts w:ascii="Times New Roman" w:eastAsia="Times New Roman" w:hAnsi="Times New Roman" w:cs="Times New Roman"/>
          <w:b/>
          <w:sz w:val="24"/>
          <w:szCs w:val="24"/>
        </w:rPr>
        <w:t xml:space="preserve">: Lipase Test Positive and Negative </w:t>
      </w:r>
    </w:p>
    <w:p w14:paraId="7DE5185A" w14:textId="58E436EB" w:rsidR="009D1FB3" w:rsidRDefault="009D1FB3" w:rsidP="009D1FB3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10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09"/>
        <w:gridCol w:w="4823"/>
      </w:tblGrid>
      <w:tr w:rsidR="009D1FB3" w14:paraId="5D3B5FD7" w14:textId="77777777" w:rsidTr="00793B7A">
        <w:trPr>
          <w:trHeight w:val="3808"/>
        </w:trPr>
        <w:tc>
          <w:tcPr>
            <w:tcW w:w="5309" w:type="dxa"/>
          </w:tcPr>
          <w:p w14:paraId="331CCE40" w14:textId="77777777" w:rsidR="009D1FB3" w:rsidRDefault="009D1FB3" w:rsidP="00793B7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49D89325" wp14:editId="1491DCB1">
                  <wp:extent cx="3143250" cy="2412054"/>
                  <wp:effectExtent l="0" t="0" r="0" b="7620"/>
                  <wp:docPr id="5" name="Chart 5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9"/>
                    </a:graphicData>
                  </a:graphic>
                </wp:inline>
              </w:drawing>
            </w:r>
          </w:p>
        </w:tc>
        <w:tc>
          <w:tcPr>
            <w:tcW w:w="4823" w:type="dxa"/>
          </w:tcPr>
          <w:p w14:paraId="73213D58" w14:textId="77777777" w:rsidR="009D1FB3" w:rsidRDefault="009D1FB3" w:rsidP="00793B7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3ACC3B82" wp14:editId="4813AF76">
                  <wp:extent cx="2811294" cy="2392680"/>
                  <wp:effectExtent l="0" t="0" r="8255" b="7620"/>
                  <wp:docPr id="1" name="Chart 1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0"/>
                    </a:graphicData>
                  </a:graphic>
                </wp:inline>
              </w:drawing>
            </w:r>
          </w:p>
        </w:tc>
      </w:tr>
    </w:tbl>
    <w:p w14:paraId="76999380" w14:textId="1A08FB58" w:rsidR="009D1FB3" w:rsidRDefault="004D7CCF" w:rsidP="009D1FB3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Figure </w:t>
      </w:r>
      <w:r w:rsidR="004D3FEA">
        <w:rPr>
          <w:rFonts w:ascii="Times New Roman" w:eastAsia="Times New Roman" w:hAnsi="Times New Roman" w:cs="Times New Roman"/>
          <w:b/>
          <w:sz w:val="24"/>
          <w:szCs w:val="24"/>
        </w:rPr>
        <w:t>–</w:t>
      </w:r>
      <w:r w:rsidR="009D1FB3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48636C">
        <w:rPr>
          <w:rFonts w:ascii="Times New Roman" w:eastAsia="Times New Roman" w:hAnsi="Times New Roman" w:cs="Times New Roman"/>
          <w:b/>
          <w:sz w:val="24"/>
          <w:szCs w:val="24"/>
        </w:rPr>
        <w:t>S</w:t>
      </w:r>
      <w:r w:rsidR="004D3FEA">
        <w:rPr>
          <w:rFonts w:ascii="Times New Roman" w:eastAsia="Times New Roman" w:hAnsi="Times New Roman" w:cs="Times New Roman"/>
          <w:b/>
          <w:sz w:val="24"/>
          <w:szCs w:val="24"/>
        </w:rPr>
        <w:t>5</w:t>
      </w:r>
      <w:r w:rsidR="009D1FB3">
        <w:rPr>
          <w:rFonts w:ascii="Times New Roman" w:eastAsia="Times New Roman" w:hAnsi="Times New Roman" w:cs="Times New Roman"/>
          <w:b/>
          <w:sz w:val="24"/>
          <w:szCs w:val="24"/>
        </w:rPr>
        <w:t>: Lipase Positive and Lipase Negative</w:t>
      </w:r>
    </w:p>
    <w:p w14:paraId="461BC9E2" w14:textId="77777777" w:rsidR="009D1FB3" w:rsidRDefault="009D1FB3" w:rsidP="009D1FB3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FE971BE" w14:textId="77777777" w:rsidR="009D1FB3" w:rsidRPr="009D1FB3" w:rsidRDefault="009D1FB3" w:rsidP="009D1FB3">
      <w:pPr>
        <w:ind w:firstLine="720"/>
      </w:pPr>
    </w:p>
    <w:sectPr w:rsidR="009D1FB3" w:rsidRPr="009D1FB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1FB3"/>
    <w:rsid w:val="000D267D"/>
    <w:rsid w:val="000E500F"/>
    <w:rsid w:val="0048636C"/>
    <w:rsid w:val="004D3FEA"/>
    <w:rsid w:val="004D7CCF"/>
    <w:rsid w:val="00856B56"/>
    <w:rsid w:val="009D1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9DDD04"/>
  <w15:chartTrackingRefBased/>
  <w15:docId w15:val="{B94AD47D-D93E-4CB9-8694-79C403B89C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ta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4.xml"/><Relationship Id="rId3" Type="http://schemas.openxmlformats.org/officeDocument/2006/relationships/settings" Target="settings.xml"/><Relationship Id="rId7" Type="http://schemas.openxmlformats.org/officeDocument/2006/relationships/chart" Target="charts/chart3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chart" Target="charts/chart2.xml"/><Relationship Id="rId11" Type="http://schemas.openxmlformats.org/officeDocument/2006/relationships/fontTable" Target="fontTable.xml"/><Relationship Id="rId5" Type="http://schemas.openxmlformats.org/officeDocument/2006/relationships/chart" Target="charts/chart1.xml"/><Relationship Id="rId10" Type="http://schemas.openxmlformats.org/officeDocument/2006/relationships/chart" Target="charts/chart6.xml"/><Relationship Id="rId4" Type="http://schemas.openxmlformats.org/officeDocument/2006/relationships/webSettings" Target="webSettings.xml"/><Relationship Id="rId9" Type="http://schemas.openxmlformats.org/officeDocument/2006/relationships/chart" Target="charts/chart5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Book1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Book1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VijayKR\Documents\Table-1_ResearchPaper-1-piechart-2_lipase%20test.xlsx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oleObject" Target="Book1" TargetMode="External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oleObject" Target="Book1" TargetMode="External"/><Relationship Id="rId2" Type="http://schemas.microsoft.com/office/2011/relationships/chartColorStyle" Target="colors6.xml"/><Relationship Id="rId1" Type="http://schemas.microsoft.com/office/2011/relationships/chartStyle" Target="style6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Exudate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Sheet1!$A$2:$A$12</c:f>
              <c:strCache>
                <c:ptCount val="11"/>
                <c:pt idx="0">
                  <c:v>Cotrimaxazole</c:v>
                </c:pt>
                <c:pt idx="1">
                  <c:v>Ceftriaxone/Cefotaxime</c:v>
                </c:pt>
                <c:pt idx="2">
                  <c:v>Ciprofloxacin/Norfloxacin</c:v>
                </c:pt>
                <c:pt idx="3">
                  <c:v>Gentamicin</c:v>
                </c:pt>
                <c:pt idx="4">
                  <c:v>Amikacin</c:v>
                </c:pt>
                <c:pt idx="5">
                  <c:v>Imipenem</c:v>
                </c:pt>
                <c:pt idx="6">
                  <c:v>Meropenem</c:v>
                </c:pt>
                <c:pt idx="7">
                  <c:v>Piperacillin/Tazobactam</c:v>
                </c:pt>
                <c:pt idx="8">
                  <c:v>Cefperzone/Sulbactam</c:v>
                </c:pt>
                <c:pt idx="9">
                  <c:v>Nitrofurantoin</c:v>
                </c:pt>
                <c:pt idx="10">
                  <c:v>Nalidixic acid</c:v>
                </c:pt>
              </c:strCache>
            </c:strRef>
          </c:cat>
          <c:val>
            <c:numRef>
              <c:f>Sheet1!$B$2:$B$12</c:f>
              <c:numCache>
                <c:formatCode>0.00%</c:formatCode>
                <c:ptCount val="11"/>
                <c:pt idx="0">
                  <c:v>0.22900000000000001</c:v>
                </c:pt>
                <c:pt idx="1">
                  <c:v>0.58099999999999996</c:v>
                </c:pt>
                <c:pt idx="2">
                  <c:v>0.58099999999999996</c:v>
                </c:pt>
                <c:pt idx="3">
                  <c:v>0.35799999999999998</c:v>
                </c:pt>
                <c:pt idx="4">
                  <c:v>0.30859999999999999</c:v>
                </c:pt>
                <c:pt idx="5">
                  <c:v>0.35799999999999998</c:v>
                </c:pt>
                <c:pt idx="6">
                  <c:v>0.17280000000000001</c:v>
                </c:pt>
                <c:pt idx="7">
                  <c:v>9.8699999999999996E-2</c:v>
                </c:pt>
                <c:pt idx="8">
                  <c:v>0.16039999999999999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857-4CA7-943E-E9EEA4AB623F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Blood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Sheet1!$A$2:$A$12</c:f>
              <c:strCache>
                <c:ptCount val="11"/>
                <c:pt idx="0">
                  <c:v>Cotrimaxazole</c:v>
                </c:pt>
                <c:pt idx="1">
                  <c:v>Ceftriaxone/Cefotaxime</c:v>
                </c:pt>
                <c:pt idx="2">
                  <c:v>Ciprofloxacin/Norfloxacin</c:v>
                </c:pt>
                <c:pt idx="3">
                  <c:v>Gentamicin</c:v>
                </c:pt>
                <c:pt idx="4">
                  <c:v>Amikacin</c:v>
                </c:pt>
                <c:pt idx="5">
                  <c:v>Imipenem</c:v>
                </c:pt>
                <c:pt idx="6">
                  <c:v>Meropenem</c:v>
                </c:pt>
                <c:pt idx="7">
                  <c:v>Piperacillin/Tazobactam</c:v>
                </c:pt>
                <c:pt idx="8">
                  <c:v>Cefperzone/Sulbactam</c:v>
                </c:pt>
                <c:pt idx="9">
                  <c:v>Nitrofurantoin</c:v>
                </c:pt>
                <c:pt idx="10">
                  <c:v>Nalidixic acid</c:v>
                </c:pt>
              </c:strCache>
            </c:strRef>
          </c:cat>
          <c:val>
            <c:numRef>
              <c:f>Sheet1!$C$2:$C$12</c:f>
              <c:numCache>
                <c:formatCode>0.00%</c:formatCode>
                <c:ptCount val="11"/>
                <c:pt idx="0">
                  <c:v>0.42799999999999999</c:v>
                </c:pt>
                <c:pt idx="1">
                  <c:v>0.57140000000000002</c:v>
                </c:pt>
                <c:pt idx="2">
                  <c:v>0.57140000000000002</c:v>
                </c:pt>
                <c:pt idx="3">
                  <c:v>0.57140000000000002</c:v>
                </c:pt>
                <c:pt idx="4">
                  <c:v>0.71409999999999996</c:v>
                </c:pt>
                <c:pt idx="5">
                  <c:v>0.14280000000000001</c:v>
                </c:pt>
                <c:pt idx="6">
                  <c:v>0.28570000000000001</c:v>
                </c:pt>
                <c:pt idx="7">
                  <c:v>0.14280000000000001</c:v>
                </c:pt>
                <c:pt idx="8">
                  <c:v>0.14280000000000001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1857-4CA7-943E-E9EEA4AB623F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Urine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Sheet1!$A$2:$A$12</c:f>
              <c:strCache>
                <c:ptCount val="11"/>
                <c:pt idx="0">
                  <c:v>Cotrimaxazole</c:v>
                </c:pt>
                <c:pt idx="1">
                  <c:v>Ceftriaxone/Cefotaxime</c:v>
                </c:pt>
                <c:pt idx="2">
                  <c:v>Ciprofloxacin/Norfloxacin</c:v>
                </c:pt>
                <c:pt idx="3">
                  <c:v>Gentamicin</c:v>
                </c:pt>
                <c:pt idx="4">
                  <c:v>Amikacin</c:v>
                </c:pt>
                <c:pt idx="5">
                  <c:v>Imipenem</c:v>
                </c:pt>
                <c:pt idx="6">
                  <c:v>Meropenem</c:v>
                </c:pt>
                <c:pt idx="7">
                  <c:v>Piperacillin/Tazobactam</c:v>
                </c:pt>
                <c:pt idx="8">
                  <c:v>Cefperzone/Sulbactam</c:v>
                </c:pt>
                <c:pt idx="9">
                  <c:v>Nitrofurantoin</c:v>
                </c:pt>
                <c:pt idx="10">
                  <c:v>Nalidixic acid</c:v>
                </c:pt>
              </c:strCache>
            </c:strRef>
          </c:cat>
          <c:val>
            <c:numRef>
              <c:f>Sheet1!$D$2:$D$12</c:f>
              <c:numCache>
                <c:formatCode>0.00%</c:formatCode>
                <c:ptCount val="11"/>
                <c:pt idx="0">
                  <c:v>0.318</c:v>
                </c:pt>
                <c:pt idx="1">
                  <c:v>0.50800000000000001</c:v>
                </c:pt>
                <c:pt idx="2">
                  <c:v>0.26079999999999998</c:v>
                </c:pt>
                <c:pt idx="3">
                  <c:v>0.20280000000000001</c:v>
                </c:pt>
                <c:pt idx="4">
                  <c:v>0.13039999999999999</c:v>
                </c:pt>
                <c:pt idx="5">
                  <c:v>0.1449</c:v>
                </c:pt>
                <c:pt idx="6">
                  <c:v>0.13039999999999999</c:v>
                </c:pt>
                <c:pt idx="8">
                  <c:v>0.1159</c:v>
                </c:pt>
                <c:pt idx="9">
                  <c:v>0.37680000000000002</c:v>
                </c:pt>
                <c:pt idx="10">
                  <c:v>0.37680000000000002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1857-4CA7-943E-E9EEA4AB623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430208312"/>
        <c:axId val="430208632"/>
      </c:barChart>
      <c:catAx>
        <c:axId val="43020831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30208632"/>
        <c:crosses val="autoZero"/>
        <c:auto val="1"/>
        <c:lblAlgn val="ctr"/>
        <c:lblOffset val="100"/>
        <c:noMultiLvlLbl val="0"/>
      </c:catAx>
      <c:valAx>
        <c:axId val="43020863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.0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3020831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1-004C-4EB3-B2F9-C8086C4EE784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3-004C-4EB3-B2F9-C8086C4EE784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004C-4EB3-B2F9-C8086C4EE784}"/>
              </c:ext>
            </c:extLst>
          </c:dPt>
          <c:dLbls>
            <c:delete val="1"/>
          </c:dLbls>
          <c:cat>
            <c:strRef>
              <c:f>Sheet1!$A$1:$C$1</c:f>
              <c:strCache>
                <c:ptCount val="3"/>
                <c:pt idx="0">
                  <c:v>Total Isolates</c:v>
                </c:pt>
                <c:pt idx="1">
                  <c:v>Number of third Generation Cephalosporin Resistant isolates</c:v>
                </c:pt>
                <c:pt idx="2">
                  <c:v>ESBL Positive</c:v>
                </c:pt>
              </c:strCache>
            </c:strRef>
          </c:cat>
          <c:val>
            <c:numRef>
              <c:f>Sheet1!$A$2:$C$2</c:f>
              <c:numCache>
                <c:formatCode>General</c:formatCode>
                <c:ptCount val="3"/>
                <c:pt idx="0">
                  <c:v>150</c:v>
                </c:pt>
                <c:pt idx="1">
                  <c:v>75</c:v>
                </c:pt>
                <c:pt idx="2">
                  <c:v>43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004C-4EB3-B2F9-C8086C4EE784}"/>
            </c:ext>
          </c:extLst>
        </c:ser>
        <c:ser>
          <c:idx val="1"/>
          <c:order val="1"/>
          <c:dPt>
            <c:idx val="0"/>
            <c:bubble3D val="0"/>
            <c:spPr>
              <a:solidFill>
                <a:schemeClr val="accent1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8-004C-4EB3-B2F9-C8086C4EE784}"/>
              </c:ext>
            </c:extLst>
          </c:dPt>
          <c:dLbls>
            <c:spPr>
              <a:pattFill prst="pct75">
                <a:fgClr>
                  <a:schemeClr val="dk1">
                    <a:lumMod val="75000"/>
                    <a:lumOff val="25000"/>
                  </a:schemeClr>
                </a:fgClr>
                <a:bgClr>
                  <a:schemeClr val="dk1">
                    <a:lumMod val="65000"/>
                    <a:lumOff val="35000"/>
                  </a:schemeClr>
                </a:bgClr>
              </a:pattFill>
              <a:ln>
                <a:noFill/>
              </a:ln>
              <a:effectLst>
                <a:outerShdw blurRad="50800" dist="38100" dir="2700000" algn="tl" rotWithShape="0">
                  <a:prstClr val="black">
                    <a:alpha val="40000"/>
                  </a:prstClr>
                </a:outerShdw>
              </a:effectLst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ctr"/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dk1">
                      <a:lumMod val="50000"/>
                      <a:lumOff val="50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Sheet1!$A$1:$C$1</c:f>
              <c:strCache>
                <c:ptCount val="3"/>
                <c:pt idx="0">
                  <c:v>Total Isolates</c:v>
                </c:pt>
                <c:pt idx="1">
                  <c:v>Number of third Generation Cephalosporin Resistant isolates</c:v>
                </c:pt>
                <c:pt idx="2">
                  <c:v>ESBL Positive</c:v>
                </c:pt>
              </c:strCache>
            </c:strRef>
          </c:cat>
          <c:val>
            <c:numRef>
              <c:f>Sheet1!$A$1</c:f>
              <c:numCache>
                <c:formatCode>General</c:formatCode>
                <c:ptCount val="1"/>
                <c:pt idx="0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9-004C-4EB3-B2F9-C8086C4EE784}"/>
            </c:ext>
          </c:extLst>
        </c:ser>
        <c:dLbls>
          <c:dLblPos val="ctr"/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r"/>
      <c:overlay val="0"/>
      <c:spPr>
        <a:solidFill>
          <a:schemeClr val="lt1">
            <a:lumMod val="95000"/>
            <a:alpha val="39000"/>
          </a:schemeClr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1-1414-4D44-A00C-72A81EFC83EC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3-1414-4D44-A00C-72A81EFC83EC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1414-4D44-A00C-72A81EFC83EC}"/>
              </c:ext>
            </c:extLst>
          </c:dPt>
          <c:dLbls>
            <c:delete val="1"/>
          </c:dLbls>
          <c:cat>
            <c:strRef>
              <c:f>Sheet2!$A$1:$C$1</c:f>
              <c:strCache>
                <c:ptCount val="3"/>
                <c:pt idx="0">
                  <c:v>Total Isolates</c:v>
                </c:pt>
                <c:pt idx="1">
                  <c:v>Carbapenem Resistant</c:v>
                </c:pt>
                <c:pt idx="2">
                  <c:v>MBL Confirmative</c:v>
                </c:pt>
              </c:strCache>
            </c:strRef>
          </c:cat>
          <c:val>
            <c:numRef>
              <c:f>Sheet2!$A$2:$C$2</c:f>
              <c:numCache>
                <c:formatCode>General</c:formatCode>
                <c:ptCount val="3"/>
                <c:pt idx="0">
                  <c:v>150</c:v>
                </c:pt>
                <c:pt idx="1">
                  <c:v>37</c:v>
                </c:pt>
                <c:pt idx="2">
                  <c:v>20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1414-4D44-A00C-72A81EFC83EC}"/>
            </c:ext>
          </c:extLst>
        </c:ser>
        <c:dLbls>
          <c:dLblPos val="ctr"/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r"/>
      <c:overlay val="0"/>
      <c:spPr>
        <a:solidFill>
          <a:schemeClr val="lt1">
            <a:lumMod val="95000"/>
            <a:alpha val="39000"/>
          </a:schemeClr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1-073E-4CEA-A03F-0FE01EC2CF0C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3-073E-4CEA-A03F-0FE01EC2CF0C}"/>
              </c:ext>
            </c:extLst>
          </c:dPt>
          <c:dLbls>
            <c:delete val="1"/>
          </c:dLbls>
          <c:cat>
            <c:strRef>
              <c:f>Sheet1!$A$1:$B$1</c:f>
              <c:strCache>
                <c:ptCount val="2"/>
                <c:pt idx="0">
                  <c:v>Number of  Positive Lipase</c:v>
                </c:pt>
                <c:pt idx="1">
                  <c:v>Number of Negative Lipase</c:v>
                </c:pt>
              </c:strCache>
            </c:strRef>
          </c:cat>
          <c:val>
            <c:numRef>
              <c:f>Sheet1!$A$2:$B$2</c:f>
              <c:numCache>
                <c:formatCode>General</c:formatCode>
                <c:ptCount val="2"/>
                <c:pt idx="0">
                  <c:v>85</c:v>
                </c:pt>
                <c:pt idx="1">
                  <c:v>65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073E-4CEA-A03F-0FE01EC2CF0C}"/>
            </c:ext>
          </c:extLst>
        </c:ser>
        <c:dLbls>
          <c:dLblPos val="ctr"/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r"/>
      <c:overlay val="0"/>
      <c:spPr>
        <a:solidFill>
          <a:schemeClr val="lt1">
            <a:lumMod val="95000"/>
            <a:alpha val="39000"/>
          </a:schemeClr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Sheet1!$A$3</c:f>
              <c:strCache>
                <c:ptCount val="1"/>
                <c:pt idx="0">
                  <c:v>Lipase Positive</c:v>
                </c:pt>
              </c:strCache>
              <c:extLst xmlns:c15="http://schemas.microsoft.com/office/drawing/2012/chart"/>
            </c:strRef>
          </c:tx>
          <c:dPt>
            <c:idx val="0"/>
            <c:bubble3D val="0"/>
            <c:spPr>
              <a:solidFill>
                <a:schemeClr val="accent1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1-C6CC-4DA6-87DD-3C59E8707D98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3-C6CC-4DA6-87DD-3C59E8707D98}"/>
              </c:ext>
            </c:extLst>
          </c:dPt>
          <c:dLbls>
            <c:delete val="1"/>
          </c:dLbls>
          <c:cat>
            <c:multiLvlStrRef>
              <c:f>Sheet1!$B$1:$C$2</c:f>
              <c:multiLvlStrCache>
                <c:ptCount val="2"/>
                <c:lvl>
                  <c:pt idx="1">
                    <c:v> </c:v>
                  </c:pt>
                </c:lvl>
                <c:lvl>
                  <c:pt idx="0">
                    <c:v>  ESBL producer N=43 </c:v>
                  </c:pt>
                  <c:pt idx="1">
                    <c:v>Carbapenemase producer N = 20</c:v>
                  </c:pt>
                </c:lvl>
              </c:multiLvlStrCache>
              <c:extLst xmlns:c15="http://schemas.microsoft.com/office/drawing/2012/chart"/>
            </c:multiLvlStrRef>
          </c:cat>
          <c:val>
            <c:numRef>
              <c:f>Sheet1!$B$3:$C$3</c:f>
              <c:numCache>
                <c:formatCode>General</c:formatCode>
                <c:ptCount val="2"/>
                <c:pt idx="0">
                  <c:v>30</c:v>
                </c:pt>
                <c:pt idx="1">
                  <c:v>13</c:v>
                </c:pt>
              </c:numCache>
              <c:extLst xmlns:c15="http://schemas.microsoft.com/office/drawing/2012/chart"/>
            </c:numRef>
          </c:val>
          <c:extLst>
            <c:ext xmlns:c16="http://schemas.microsoft.com/office/drawing/2014/chart" uri="{C3380CC4-5D6E-409C-BE32-E72D297353CC}">
              <c16:uniqueId val="{00000004-C6CC-4DA6-87DD-3C59E8707D98}"/>
            </c:ext>
          </c:extLst>
        </c:ser>
        <c:dLbls>
          <c:dLblPos val="ctr"/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  <c:extLst>
          <c:ext xmlns:c15="http://schemas.microsoft.com/office/drawing/2012/chart" uri="{02D57815-91ED-43cb-92C2-25804820EDAC}">
            <c15:filteredPieSeries>
              <c15:ser>
                <c:idx val="1"/>
                <c:order val="1"/>
                <c:tx>
                  <c:strRef>
                    <c:extLst>
                      <c:ext uri="{02D57815-91ED-43cb-92C2-25804820EDAC}">
                        <c15:formulaRef>
                          <c15:sqref>Sheet1!$A$4</c15:sqref>
                        </c15:formulaRef>
                      </c:ext>
                    </c:extLst>
                    <c:strCache>
                      <c:ptCount val="1"/>
                      <c:pt idx="0">
                        <c:v>Lipase Negative</c:v>
                      </c:pt>
                    </c:strCache>
                  </c:strRef>
                </c:tx>
                <c:dPt>
                  <c:idx val="0"/>
                  <c:bubble3D val="0"/>
                  <c:spPr>
                    <a:solidFill>
                      <a:schemeClr val="accent1"/>
                    </a:solidFill>
                    <a:ln>
                      <a:noFill/>
                    </a:ln>
                    <a:effectLst>
                      <a:outerShdw blurRad="254000" sx="102000" sy="102000" algn="ctr" rotWithShape="0">
                        <a:prstClr val="black">
                          <a:alpha val="20000"/>
                        </a:prstClr>
                      </a:outerShdw>
                    </a:effectLst>
                  </c:spPr>
                  <c:extLst>
                    <c:ext xmlns:c16="http://schemas.microsoft.com/office/drawing/2014/chart" uri="{C3380CC4-5D6E-409C-BE32-E72D297353CC}">
                      <c16:uniqueId val="{00000006-C6CC-4DA6-87DD-3C59E8707D98}"/>
                    </c:ext>
                  </c:extLst>
                </c:dPt>
                <c:dPt>
                  <c:idx val="1"/>
                  <c:bubble3D val="0"/>
                  <c:spPr>
                    <a:solidFill>
                      <a:schemeClr val="accent2"/>
                    </a:solidFill>
                    <a:ln>
                      <a:noFill/>
                    </a:ln>
                    <a:effectLst>
                      <a:outerShdw blurRad="254000" sx="102000" sy="102000" algn="ctr" rotWithShape="0">
                        <a:prstClr val="black">
                          <a:alpha val="20000"/>
                        </a:prstClr>
                      </a:outerShdw>
                    </a:effectLst>
                  </c:spPr>
                  <c:extLst>
                    <c:ext xmlns:c16="http://schemas.microsoft.com/office/drawing/2014/chart" uri="{C3380CC4-5D6E-409C-BE32-E72D297353CC}">
                      <c16:uniqueId val="{00000008-C6CC-4DA6-87DD-3C59E8707D98}"/>
                    </c:ext>
                  </c:extLst>
                </c:dPt>
                <c:dLbls>
                  <c:spPr>
                    <a:pattFill prst="pct75">
                      <a:fgClr>
                        <a:schemeClr val="dk1">
                          <a:lumMod val="75000"/>
                          <a:lumOff val="25000"/>
                        </a:schemeClr>
                      </a:fgClr>
                      <a:bgClr>
                        <a:schemeClr val="dk1">
                          <a:lumMod val="65000"/>
                          <a:lumOff val="35000"/>
                        </a:schemeClr>
                      </a:bgClr>
                    </a:pattFill>
                    <a:ln>
                      <a:noFill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c:spPr>
                  <c:txPr>
                    <a:bodyPr rot="0" spcFirstLastPara="1" vertOverflow="ellipsis" vert="horz" wrap="square" lIns="38100" tIns="19050" rIns="38100" bIns="19050" anchor="ctr" anchorCtr="1">
                      <a:spAutoFit/>
                    </a:bodyPr>
                    <a:lstStyle/>
                    <a:p>
                      <a:pPr>
                        <a:defRPr sz="1000" b="1" i="0" u="none" strike="noStrike" kern="1200" baseline="0">
                          <a:solidFill>
                            <a:schemeClr val="lt1"/>
                          </a:solidFill>
                          <a:latin typeface="+mn-lt"/>
                          <a:ea typeface="+mn-ea"/>
                          <a:cs typeface="+mn-cs"/>
                        </a:defRPr>
                      </a:pPr>
                      <a:endParaRPr lang="en-US"/>
                    </a:p>
                  </c:txPr>
                  <c:dLblPos val="ctr"/>
                  <c:showLegendKey val="0"/>
                  <c:showVal val="0"/>
                  <c:showCatName val="0"/>
                  <c:showSerName val="0"/>
                  <c:showPercent val="1"/>
                  <c:showBubbleSize val="0"/>
                  <c:showLeaderLines val="1"/>
                  <c:leaderLines>
                    <c:spPr>
                      <a:ln w="9525">
                        <a:solidFill>
                          <a:schemeClr val="dk1">
                            <a:lumMod val="50000"/>
                            <a:lumOff val="50000"/>
                          </a:schemeClr>
                        </a:solidFill>
                      </a:ln>
                      <a:effectLst/>
                    </c:spPr>
                  </c:leaderLines>
                  <c:extLst>
                    <c:ext uri="{CE6537A1-D6FC-4f65-9D91-7224C49458BB}"/>
                  </c:extLst>
                </c:dLbls>
                <c:cat>
                  <c:multiLvlStrRef>
                    <c:extLst>
                      <c:ext uri="{02D57815-91ED-43cb-92C2-25804820EDAC}">
                        <c15:formulaRef>
                          <c15:sqref>Sheet1!$B$1:$C$2</c15:sqref>
                        </c15:formulaRef>
                      </c:ext>
                    </c:extLst>
                    <c:multiLvlStrCache>
                      <c:ptCount val="2"/>
                      <c:lvl>
                        <c:pt idx="1">
                          <c:v> </c:v>
                        </c:pt>
                      </c:lvl>
                      <c:lvl>
                        <c:pt idx="0">
                          <c:v>  ESBL producer N=43 </c:v>
                        </c:pt>
                        <c:pt idx="1">
                          <c:v>Carbapenemase producer N = 20</c:v>
                        </c:pt>
                      </c:lvl>
                    </c:multiLvlStrCache>
                  </c:multiLvlStrRef>
                </c:cat>
                <c:val>
                  <c:numRef>
                    <c:extLst>
                      <c:ext uri="{02D57815-91ED-43cb-92C2-25804820EDAC}">
                        <c15:formulaRef>
                          <c15:sqref>Sheet1!$B$4:$C$4</c15:sqref>
                        </c15:formulaRef>
                      </c:ext>
                    </c:extLst>
                    <c:numCache>
                      <c:formatCode>General</c:formatCode>
                      <c:ptCount val="2"/>
                      <c:pt idx="0">
                        <c:v>13</c:v>
                      </c:pt>
                      <c:pt idx="1">
                        <c:v>7</c:v>
                      </c:pt>
                    </c:numCache>
                  </c:numRef>
                </c:val>
                <c:extLst>
                  <c:ext xmlns:c16="http://schemas.microsoft.com/office/drawing/2014/chart" uri="{C3380CC4-5D6E-409C-BE32-E72D297353CC}">
                    <c16:uniqueId val="{00000009-C6CC-4DA6-87DD-3C59E8707D98}"/>
                  </c:ext>
                </c:extLst>
              </c15:ser>
            </c15:filteredPieSeries>
          </c:ext>
        </c:extLst>
      </c:pieChart>
      <c:spPr>
        <a:noFill/>
        <a:ln>
          <a:noFill/>
        </a:ln>
        <a:effectLst/>
      </c:spPr>
    </c:plotArea>
    <c:legend>
      <c:legendPos val="r"/>
      <c:overlay val="0"/>
      <c:spPr>
        <a:solidFill>
          <a:schemeClr val="lt1">
            <a:lumMod val="95000"/>
            <a:alpha val="39000"/>
          </a:schemeClr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pieChart>
        <c:varyColors val="1"/>
        <c:ser>
          <c:idx val="1"/>
          <c:order val="1"/>
          <c:tx>
            <c:strRef>
              <c:f>Sheet1!$A$4</c:f>
              <c:strCache>
                <c:ptCount val="1"/>
                <c:pt idx="0">
                  <c:v>Lipase Negative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1-B4A3-47E2-ADDC-7DE63163C54E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3-B4A3-47E2-ADDC-7DE63163C54E}"/>
              </c:ext>
            </c:extLst>
          </c:dPt>
          <c:dLbls>
            <c:delete val="1"/>
          </c:dLbls>
          <c:cat>
            <c:multiLvlStrRef>
              <c:f>Sheet1!$B$1:$C$2</c:f>
              <c:multiLvlStrCache>
                <c:ptCount val="2"/>
                <c:lvl>
                  <c:pt idx="1">
                    <c:v> </c:v>
                  </c:pt>
                </c:lvl>
                <c:lvl>
                  <c:pt idx="0">
                    <c:v>  ESBL producer N=43 </c:v>
                  </c:pt>
                  <c:pt idx="1">
                    <c:v>Carbapenemase producer N = 20</c:v>
                  </c:pt>
                </c:lvl>
              </c:multiLvlStrCache>
            </c:multiLvlStrRef>
          </c:cat>
          <c:val>
            <c:numRef>
              <c:f>Sheet1!$B$4:$C$4</c:f>
              <c:numCache>
                <c:formatCode>General</c:formatCode>
                <c:ptCount val="2"/>
                <c:pt idx="0">
                  <c:v>13</c:v>
                </c:pt>
                <c:pt idx="1">
                  <c:v>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B4A3-47E2-ADDC-7DE63163C54E}"/>
            </c:ext>
          </c:extLst>
        </c:ser>
        <c:dLbls>
          <c:dLblPos val="ctr"/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  <c:extLst>
          <c:ext xmlns:c15="http://schemas.microsoft.com/office/drawing/2012/chart" uri="{02D57815-91ED-43cb-92C2-25804820EDAC}">
            <c15:filteredPieSeries>
              <c15:ser>
                <c:idx val="0"/>
                <c:order val="0"/>
                <c:tx>
                  <c:strRef>
                    <c:extLst>
                      <c:ext uri="{02D57815-91ED-43cb-92C2-25804820EDAC}">
                        <c15:formulaRef>
                          <c15:sqref>Sheet1!$A$3</c15:sqref>
                        </c15:formulaRef>
                      </c:ext>
                    </c:extLst>
                    <c:strCache>
                      <c:ptCount val="1"/>
                      <c:pt idx="0">
                        <c:v>Lipase Positive</c:v>
                      </c:pt>
                    </c:strCache>
                  </c:strRef>
                </c:tx>
                <c:dPt>
                  <c:idx val="0"/>
                  <c:bubble3D val="0"/>
                  <c:spPr>
                    <a:solidFill>
                      <a:schemeClr val="accent1"/>
                    </a:solidFill>
                    <a:ln>
                      <a:noFill/>
                    </a:ln>
                    <a:effectLst>
                      <a:outerShdw blurRad="254000" sx="102000" sy="102000" algn="ctr" rotWithShape="0">
                        <a:prstClr val="black">
                          <a:alpha val="20000"/>
                        </a:prstClr>
                      </a:outerShdw>
                    </a:effectLst>
                  </c:spPr>
                  <c:extLst>
                    <c:ext xmlns:c16="http://schemas.microsoft.com/office/drawing/2014/chart" uri="{C3380CC4-5D6E-409C-BE32-E72D297353CC}">
                      <c16:uniqueId val="{00000006-B4A3-47E2-ADDC-7DE63163C54E}"/>
                    </c:ext>
                  </c:extLst>
                </c:dPt>
                <c:dPt>
                  <c:idx val="1"/>
                  <c:bubble3D val="0"/>
                  <c:spPr>
                    <a:solidFill>
                      <a:schemeClr val="accent2"/>
                    </a:solidFill>
                    <a:ln>
                      <a:noFill/>
                    </a:ln>
                    <a:effectLst>
                      <a:outerShdw blurRad="254000" sx="102000" sy="102000" algn="ctr" rotWithShape="0">
                        <a:prstClr val="black">
                          <a:alpha val="20000"/>
                        </a:prstClr>
                      </a:outerShdw>
                    </a:effectLst>
                  </c:spPr>
                  <c:extLst>
                    <c:ext xmlns:c16="http://schemas.microsoft.com/office/drawing/2014/chart" uri="{C3380CC4-5D6E-409C-BE32-E72D297353CC}">
                      <c16:uniqueId val="{00000008-B4A3-47E2-ADDC-7DE63163C54E}"/>
                    </c:ext>
                  </c:extLst>
                </c:dPt>
                <c:dLbls>
                  <c:spPr>
                    <a:pattFill prst="pct75">
                      <a:fgClr>
                        <a:schemeClr val="dk1">
                          <a:lumMod val="75000"/>
                          <a:lumOff val="25000"/>
                        </a:schemeClr>
                      </a:fgClr>
                      <a:bgClr>
                        <a:schemeClr val="dk1">
                          <a:lumMod val="65000"/>
                          <a:lumOff val="35000"/>
                        </a:schemeClr>
                      </a:bgClr>
                    </a:pattFill>
                    <a:ln>
                      <a:noFill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c:spPr>
                  <c:txPr>
                    <a:bodyPr rot="0" spcFirstLastPara="1" vertOverflow="ellipsis" vert="horz" wrap="square" lIns="38100" tIns="19050" rIns="38100" bIns="19050" anchor="ctr" anchorCtr="1">
                      <a:spAutoFit/>
                    </a:bodyPr>
                    <a:lstStyle/>
                    <a:p>
                      <a:pPr>
                        <a:defRPr sz="1000" b="1" i="0" u="none" strike="noStrike" kern="1200" baseline="0">
                          <a:solidFill>
                            <a:schemeClr val="lt1"/>
                          </a:solidFill>
                          <a:latin typeface="+mn-lt"/>
                          <a:ea typeface="+mn-ea"/>
                          <a:cs typeface="+mn-cs"/>
                        </a:defRPr>
                      </a:pPr>
                      <a:endParaRPr lang="en-US"/>
                    </a:p>
                  </c:txPr>
                  <c:dLblPos val="ctr"/>
                  <c:showLegendKey val="0"/>
                  <c:showVal val="0"/>
                  <c:showCatName val="0"/>
                  <c:showSerName val="0"/>
                  <c:showPercent val="1"/>
                  <c:showBubbleSize val="0"/>
                  <c:showLeaderLines val="1"/>
                  <c:leaderLines>
                    <c:spPr>
                      <a:ln w="9525">
                        <a:solidFill>
                          <a:schemeClr val="dk1">
                            <a:lumMod val="50000"/>
                            <a:lumOff val="50000"/>
                          </a:schemeClr>
                        </a:solidFill>
                      </a:ln>
                      <a:effectLst/>
                    </c:spPr>
                  </c:leaderLines>
                  <c:extLst>
                    <c:ext uri="{CE6537A1-D6FC-4f65-9D91-7224C49458BB}"/>
                  </c:extLst>
                </c:dLbls>
                <c:cat>
                  <c:multiLvlStrRef>
                    <c:extLst>
                      <c:ext uri="{02D57815-91ED-43cb-92C2-25804820EDAC}">
                        <c15:formulaRef>
                          <c15:sqref>Sheet1!$B$1:$C$2</c15:sqref>
                        </c15:formulaRef>
                      </c:ext>
                    </c:extLst>
                    <c:multiLvlStrCache>
                      <c:ptCount val="2"/>
                      <c:lvl>
                        <c:pt idx="1">
                          <c:v> </c:v>
                        </c:pt>
                      </c:lvl>
                      <c:lvl>
                        <c:pt idx="0">
                          <c:v>  ESBL producer N=43 </c:v>
                        </c:pt>
                        <c:pt idx="1">
                          <c:v>Carbapenemase producer N = 20</c:v>
                        </c:pt>
                      </c:lvl>
                    </c:multiLvlStrCache>
                  </c:multiLvlStrRef>
                </c:cat>
                <c:val>
                  <c:numRef>
                    <c:extLst>
                      <c:ext uri="{02D57815-91ED-43cb-92C2-25804820EDAC}">
                        <c15:formulaRef>
                          <c15:sqref>Sheet1!$B$3:$C$3</c15:sqref>
                        </c15:formulaRef>
                      </c:ext>
                    </c:extLst>
                    <c:numCache>
                      <c:formatCode>General</c:formatCode>
                      <c:ptCount val="2"/>
                      <c:pt idx="0">
                        <c:v>30</c:v>
                      </c:pt>
                      <c:pt idx="1">
                        <c:v>13</c:v>
                      </c:pt>
                    </c:numCache>
                  </c:numRef>
                </c:val>
                <c:extLst>
                  <c:ext xmlns:c16="http://schemas.microsoft.com/office/drawing/2014/chart" uri="{C3380CC4-5D6E-409C-BE32-E72D297353CC}">
                    <c16:uniqueId val="{00000009-B4A3-47E2-ADDC-7DE63163C54E}"/>
                  </c:ext>
                </c:extLst>
              </c15:ser>
            </c15:filteredPieSeries>
          </c:ext>
        </c:extLst>
      </c:pieChart>
      <c:spPr>
        <a:noFill/>
        <a:ln>
          <a:noFill/>
        </a:ln>
        <a:effectLst/>
      </c:spPr>
    </c:plotArea>
    <c:legend>
      <c:legendPos val="r"/>
      <c:overlay val="0"/>
      <c:spPr>
        <a:solidFill>
          <a:schemeClr val="lt1">
            <a:lumMod val="95000"/>
            <a:alpha val="39000"/>
          </a:schemeClr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3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3.xml><?xml version="1.0" encoding="utf-8"?>
<cs:chartStyle xmlns:cs="http://schemas.microsoft.com/office/drawing/2012/chartStyle" xmlns:a="http://schemas.openxmlformats.org/drawingml/2006/main" id="253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4.xml><?xml version="1.0" encoding="utf-8"?>
<cs:chartStyle xmlns:cs="http://schemas.microsoft.com/office/drawing/2012/chartStyle" xmlns:a="http://schemas.openxmlformats.org/drawingml/2006/main" id="253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5.xml><?xml version="1.0" encoding="utf-8"?>
<cs:chartStyle xmlns:cs="http://schemas.microsoft.com/office/drawing/2012/chartStyle" xmlns:a="http://schemas.openxmlformats.org/drawingml/2006/main" id="253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6.xml><?xml version="1.0" encoding="utf-8"?>
<cs:chartStyle xmlns:cs="http://schemas.microsoft.com/office/drawing/2012/chartStyle" xmlns:a="http://schemas.openxmlformats.org/drawingml/2006/main" id="253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6BC42C-B018-4079-A178-45F85022AE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48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vijay kumarasamy</dc:creator>
  <cp:keywords/>
  <dc:description/>
  <cp:lastModifiedBy>vijay kumarasamy</cp:lastModifiedBy>
  <cp:revision>7</cp:revision>
  <dcterms:created xsi:type="dcterms:W3CDTF">2022-03-18T01:28:00Z</dcterms:created>
  <dcterms:modified xsi:type="dcterms:W3CDTF">2022-03-18T02:11:00Z</dcterms:modified>
</cp:coreProperties>
</file>