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EB3" w:rsidRPr="00091A22" w:rsidRDefault="00171EB3" w:rsidP="00171EB3">
      <w:pPr>
        <w:pStyle w:val="Title"/>
        <w:jc w:val="center"/>
      </w:pPr>
      <w:r w:rsidRPr="00091A22">
        <w:t xml:space="preserve">Table </w:t>
      </w:r>
      <w:r>
        <w:t>S1</w:t>
      </w:r>
      <w:r w:rsidRPr="00091A22">
        <w:t>: Characteristics of Reviews Included for Quality Analysis</w:t>
      </w:r>
    </w:p>
    <w:tbl>
      <w:tblPr>
        <w:tblStyle w:val="TableGridLight"/>
        <w:tblW w:w="8169" w:type="dxa"/>
        <w:jc w:val="center"/>
        <w:tblLayout w:type="fixed"/>
        <w:tblLook w:val="04A0" w:firstRow="1" w:lastRow="0" w:firstColumn="1" w:lastColumn="0" w:noHBand="0" w:noVBand="1"/>
      </w:tblPr>
      <w:tblGrid>
        <w:gridCol w:w="1224"/>
        <w:gridCol w:w="137"/>
        <w:gridCol w:w="1362"/>
        <w:gridCol w:w="195"/>
        <w:gridCol w:w="1166"/>
        <w:gridCol w:w="114"/>
        <w:gridCol w:w="1248"/>
        <w:gridCol w:w="162"/>
        <w:gridCol w:w="1199"/>
        <w:gridCol w:w="34"/>
        <w:gridCol w:w="1328"/>
      </w:tblGrid>
      <w:tr w:rsidR="00171EB3" w:rsidRPr="002048FB" w:rsidTr="00D2305D">
        <w:trPr>
          <w:trHeight w:val="701"/>
          <w:jc w:val="center"/>
        </w:trPr>
        <w:tc>
          <w:tcPr>
            <w:tcW w:w="1224" w:type="dxa"/>
          </w:tcPr>
          <w:p w:rsidR="00171EB3" w:rsidRPr="002048FB" w:rsidRDefault="00171EB3" w:rsidP="00D2305D">
            <w:pPr>
              <w:jc w:val="left"/>
              <w:rPr>
                <w:rFonts w:cs="Times New Roman"/>
                <w:b/>
                <w:bCs/>
                <w:color w:val="000000" w:themeColor="text1"/>
                <w:sz w:val="22"/>
              </w:rPr>
            </w:pPr>
            <w:bookmarkStart w:id="0" w:name="_Hlk49975276"/>
            <w:r w:rsidRPr="002048FB">
              <w:rPr>
                <w:rFonts w:cs="Times New Roman"/>
                <w:b/>
                <w:bCs/>
                <w:color w:val="000000" w:themeColor="text1"/>
                <w:sz w:val="22"/>
              </w:rPr>
              <w:t>Reference</w:t>
            </w:r>
          </w:p>
        </w:tc>
        <w:tc>
          <w:tcPr>
            <w:tcW w:w="1694" w:type="dxa"/>
            <w:gridSpan w:val="3"/>
          </w:tcPr>
          <w:p w:rsidR="00171EB3" w:rsidRPr="002048FB" w:rsidRDefault="00171EB3" w:rsidP="00D2305D">
            <w:pPr>
              <w:jc w:val="left"/>
              <w:rPr>
                <w:rFonts w:cs="Times New Roman"/>
                <w:b/>
                <w:bCs/>
                <w:color w:val="000000" w:themeColor="text1"/>
                <w:sz w:val="22"/>
              </w:rPr>
            </w:pPr>
            <w:r w:rsidRPr="002048FB">
              <w:rPr>
                <w:rFonts w:cs="Times New Roman"/>
                <w:b/>
                <w:bCs/>
                <w:color w:val="000000" w:themeColor="text1"/>
                <w:sz w:val="22"/>
              </w:rPr>
              <w:t>Topic</w:t>
            </w:r>
          </w:p>
        </w:tc>
        <w:tc>
          <w:tcPr>
            <w:tcW w:w="1280" w:type="dxa"/>
            <w:gridSpan w:val="2"/>
          </w:tcPr>
          <w:p w:rsidR="00171EB3" w:rsidRPr="002048FB" w:rsidRDefault="00171EB3" w:rsidP="00D2305D">
            <w:pPr>
              <w:jc w:val="left"/>
              <w:rPr>
                <w:rFonts w:cs="Times New Roman"/>
                <w:b/>
                <w:bCs/>
                <w:color w:val="000000" w:themeColor="text1"/>
                <w:sz w:val="22"/>
              </w:rPr>
            </w:pPr>
            <w:r w:rsidRPr="002048FB">
              <w:rPr>
                <w:rFonts w:cs="Times New Roman"/>
                <w:b/>
                <w:bCs/>
                <w:color w:val="000000" w:themeColor="text1"/>
                <w:sz w:val="22"/>
              </w:rPr>
              <w:t>Date Range</w:t>
            </w:r>
          </w:p>
        </w:tc>
        <w:tc>
          <w:tcPr>
            <w:tcW w:w="1410" w:type="dxa"/>
            <w:gridSpan w:val="2"/>
          </w:tcPr>
          <w:p w:rsidR="00171EB3" w:rsidRPr="002048FB" w:rsidRDefault="00171EB3" w:rsidP="00D2305D">
            <w:pPr>
              <w:jc w:val="left"/>
              <w:rPr>
                <w:rFonts w:cs="Times New Roman"/>
                <w:b/>
                <w:bCs/>
                <w:color w:val="000000" w:themeColor="text1"/>
                <w:sz w:val="22"/>
              </w:rPr>
            </w:pPr>
            <w:r w:rsidRPr="002048FB">
              <w:rPr>
                <w:rFonts w:cs="Times New Roman"/>
                <w:b/>
                <w:bCs/>
                <w:color w:val="000000" w:themeColor="text1"/>
                <w:sz w:val="22"/>
              </w:rPr>
              <w:t>Review Category</w:t>
            </w:r>
          </w:p>
        </w:tc>
        <w:tc>
          <w:tcPr>
            <w:tcW w:w="1233" w:type="dxa"/>
            <w:gridSpan w:val="2"/>
          </w:tcPr>
          <w:p w:rsidR="00171EB3" w:rsidRPr="002048FB" w:rsidRDefault="00171EB3" w:rsidP="00D2305D">
            <w:pPr>
              <w:jc w:val="left"/>
              <w:rPr>
                <w:rFonts w:cs="Times New Roman"/>
                <w:b/>
                <w:bCs/>
                <w:color w:val="000000" w:themeColor="text1"/>
                <w:sz w:val="22"/>
              </w:rPr>
            </w:pPr>
            <w:r w:rsidRPr="002048FB">
              <w:rPr>
                <w:rFonts w:cs="Times New Roman"/>
                <w:b/>
                <w:bCs/>
                <w:color w:val="000000" w:themeColor="text1"/>
                <w:sz w:val="22"/>
              </w:rPr>
              <w:t>No. of included studies</w:t>
            </w:r>
          </w:p>
        </w:tc>
        <w:tc>
          <w:tcPr>
            <w:tcW w:w="1328" w:type="dxa"/>
          </w:tcPr>
          <w:p w:rsidR="00171EB3" w:rsidRPr="002048FB" w:rsidRDefault="00171EB3" w:rsidP="00D2305D">
            <w:pPr>
              <w:jc w:val="left"/>
              <w:rPr>
                <w:rFonts w:cs="Times New Roman"/>
                <w:b/>
                <w:bCs/>
                <w:color w:val="000000" w:themeColor="text1"/>
                <w:sz w:val="22"/>
              </w:rPr>
            </w:pPr>
            <w:r w:rsidRPr="002048FB">
              <w:rPr>
                <w:rFonts w:cs="Times New Roman"/>
                <w:b/>
                <w:bCs/>
                <w:color w:val="000000" w:themeColor="text1"/>
                <w:sz w:val="22"/>
              </w:rPr>
              <w:t>Sample Size</w:t>
            </w:r>
          </w:p>
        </w:tc>
      </w:tr>
      <w:tr w:rsidR="00171EB3" w:rsidRPr="002048FB" w:rsidTr="00D2305D">
        <w:trPr>
          <w:trHeight w:val="634"/>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{"citationItems":[{"id":"ITEM-1","itemData":{"DOI":"10.1016/j.jare.2020.03.005","ISSN":"20901232","abstract":"The coronavirus disease 19 (COVID-19) is a highly transmittable and pathogenic viral infection caused by severe acute respiratory syndrome coronavirus 2 (SARS-CoV-2), which emerged in Wuhan, China and spread around the world. Genomic analysis revealed that SARS-CoV-2 is phylogenetically related to severe acute respiratory syndrome-like (SARS-like) bat viruses, therefore bats could be the possible primary reservoir. The intermediate source of origin and transfer to humans is not known, however, the rapid human to human transfer has been confirmed widely. There is no clinically approved antiviral drug or vaccine available to be used against COVID-19. However, few broad-spectrum antiviral drugs have been evaluated against COVID-19 in clinical trials, resulted in clinical recovery. In the current review, we summarize and comparatively analyze the emergence and pathogenicity of COVID-19 infection and previous human coronaviruses severe acute respiratory syndrome coronavirus (SARS-CoV) and middle east respiratory syndrome coronavirus (MERS-CoV). We also discuss the approaches for developing effective vaccines and therapeutic combinations to cope with this viral outbreak.","author":[{"dropping-particle":"","family":"Shereen","given":"Muhammad Adnan","non-dropping-particle":"","parse-names":false,"suffix":""},{"dropping-particle":"","family":"Khan","given":"Suliman","non-dropping-particle":"","parse-names":false,"suffix":""},{"dropping-particle":"","family":"Kazmi","given":"Abeer","non-dropping-particle":"","parse-names":false,"suffix":""},{"dropping-particle":"","family":"Bashir","given":"Nadia","non-dropping-particle":"","parse-names":false,"suffix":""},{"dropping-particle":"","family":"Siddique","given":"Rabeea","non-dropping-particle":"","parse-names":false,"suffix":""}],"container-title":"Journal of Advanced Research","id":"ITEM-1","issued":{"date-parts":[["2020","7","1"]]},"page":"91-98","publisher":"Elsevier B.V.","title":"COVID-19 infection: Origin, transmission, and characteristics of human coronaviruses","type":"article","volume":"24"},"uris":["http://www.mendeley.com/documents/?uuid=5577b0cd-b14a-3b8d-b3a6-eba3a1c76c2d"]}],"mendeley":{"formattedCitation":"[7]","plainTextFormattedCitation":"[7]","previouslyFormattedCitation":"[7]"},"properties":{"noteIndex":0},"schema":"https://github.com/citation-style-language/schema/raw/master/csl-citation.json"}</w:instrText>
            </w:r>
            <w:r w:rsidRPr="002048FB">
              <w:rPr>
                <w:rFonts w:cs="Times New Roman"/>
                <w:color w:val="000000" w:themeColor="text1"/>
                <w:sz w:val="22"/>
              </w:rPr>
              <w:fldChar w:fldCharType="separate"/>
            </w:r>
            <w:r w:rsidRPr="005C44FD">
              <w:rPr>
                <w:rFonts w:cs="Times New Roman"/>
                <w:noProof/>
                <w:color w:val="000000" w:themeColor="text1"/>
                <w:sz w:val="22"/>
              </w:rPr>
              <w:t>[7]</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Origin, transmission, and characteristics of human coronaviruses</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July,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14</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r>
      <w:tr w:rsidR="00171EB3" w:rsidRPr="002048FB" w:rsidTr="00D2305D">
        <w:trPr>
          <w:trHeight w:val="634"/>
          <w:jc w:val="center"/>
        </w:trPr>
        <w:tc>
          <w:tcPr>
            <w:tcW w:w="8169" w:type="dxa"/>
            <w:gridSpan w:val="11"/>
          </w:tcPr>
          <w:p w:rsidR="00171EB3" w:rsidRPr="002048FB" w:rsidRDefault="00171EB3" w:rsidP="00D2305D">
            <w:pPr>
              <w:pStyle w:val="ListParagraph"/>
              <w:numPr>
                <w:ilvl w:val="0"/>
                <w:numId w:val="1"/>
              </w:numPr>
              <w:jc w:val="left"/>
              <w:rPr>
                <w:rFonts w:cs="Times New Roman"/>
                <w:color w:val="000000" w:themeColor="text1"/>
                <w:sz w:val="22"/>
              </w:rPr>
            </w:pPr>
            <w:r w:rsidRPr="002048FB">
              <w:rPr>
                <w:rFonts w:cs="Times New Roman"/>
                <w:color w:val="000000" w:themeColor="text1"/>
                <w:sz w:val="22"/>
              </w:rPr>
              <w:t>Primary Outcome: Comparison of analysis of the emergence and pathogenicity of COVID-19 infection and previous human coronaviruses</w:t>
            </w:r>
          </w:p>
          <w:p w:rsidR="00171EB3" w:rsidRPr="002048FB" w:rsidRDefault="00171EB3" w:rsidP="00D2305D">
            <w:pPr>
              <w:pStyle w:val="ListParagraph"/>
              <w:numPr>
                <w:ilvl w:val="0"/>
                <w:numId w:val="1"/>
              </w:numPr>
              <w:jc w:val="left"/>
              <w:rPr>
                <w:rFonts w:cs="Times New Roman"/>
                <w:color w:val="000000" w:themeColor="text1"/>
                <w:sz w:val="22"/>
              </w:rPr>
            </w:pPr>
            <w:r w:rsidRPr="002048FB">
              <w:rPr>
                <w:rFonts w:cs="Times New Roman"/>
                <w:color w:val="000000" w:themeColor="text1"/>
                <w:sz w:val="22"/>
              </w:rPr>
              <w:t>Main Conclusion: Hunan seafood market at Wuhan, China; zoonotic source not confirmed; sequence-based analysis suggested bats as the key reservoir.</w:t>
            </w:r>
          </w:p>
        </w:tc>
      </w:tr>
      <w:tr w:rsidR="00171EB3" w:rsidRPr="002048FB" w:rsidTr="00D2305D">
        <w:trPr>
          <w:trHeight w:val="487"/>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{"citationItems":[{"id":"ITEM-1","itemData":{"DOI":"10.1186/s40779-020-00240-0","ISSN":"20549369","PMID":"32169119","abstract":"An acute respiratory disease, caused by a novel coronavirus (SARS-CoV-2, previously known as 2019-nCoV), the coronavirus disease 2019 (COVID-19) has spread throughout China and received worldwide attention. On 30 January 2020, World Health Organization (WHO) officially declared the COVID-19 epidemic as a public health emergency of international concern. The emergence of SARS-CoV-2, since the severe acute respiratory syndrome coronavirus (SARS-CoV) in 2002 and Middle East respiratory syndrome coronavirus (MERS-CoV) in 2012, marked the third introduction of a highly pathogenic and large-scale epidemic coronavirus into the human population in the twenty-first century. As of 1 March 2020, a total of 87,137 confirmed cases globally, 79,968 confirmed in China and 7169 outside of China, with 2977 deaths (3.4%) had been reported by WHO. Meanwhile, several independent research groups have identified that SARS-CoV-2 belongs to β-coronavirus, with highly identical genome to bat coronavirus, pointing to bat as the natural host. The novel coronavirus uses the same receptor, angiotensin-converting enzyme 2 (ACE2) as that for SARS-CoV, and mainly spreads through the respiratory tract. Importantly, increasingly evidence showed sustained human-to-human transmission, along with many exported cases across the globe. The clinical symptoms of COVID-19 patients include fever, cough, fatigue and a small population of patients appeared gastrointestinal infection symptoms. The elderly and people with underlying diseases are susceptible to infection and prone to serious outcomes, which may be associated with acute respiratory distress syndrome (ARDS) and cytokine storm. Currently, there are few specific antiviral strategies, but several potent candidates of antivirals and repurposed drugs are under urgent investigation. In this review, we summarized the latest research progress of the epidemiology, pathogenesis, and clinical characteristics of COVID-19, and discussed the current treatment and scientific advancements to combat the epidemic novel coronavirus.","author":[{"dropping-particle":"","family":"Guo","given":"Yan Rong","non-dropping-particle":"","parse-names":false,"suffix":""},{"dropping-particle":"","family":"Cao","given":"Qing Dong","non-dropping-particle":"","parse-names":false,"suffix":""},{"dropping-particle":"","family":"Hong","given":"Zhong Si","non-dropping-particle":"","parse-names":false,"suffix":""},{"dropping-particle":"","family":"Tan","given":"Yuan Yang","non-dropping-particle":"","parse-names":false,"suffix":""},{"dropping-particle":"","family":"Chen","given":"Shou Deng","non-dropping-particle":"","parse-names":false,"suffix":""},{"dropping-particle":"","family":"Jin","given":"Hong Jun","non-dropping-particle":"","parse-names":false,"suffix":""},{"dropping-particle":"Sen","family":"Tan","given":"Kai","non-dropping-particle":"","parse-names":false,"suffix":""},{"dropping-particle":"","family":"Wang","given":"De Yun","non-dropping-particle":"","parse-names":false,"suffix":""},{"dropping-particle":"","family":"Yan","given":"Yan","non-dropping-particle":"","parse-names":false,"suffix":""}],"container-title":"Military Medical Research","id":"ITEM-1","issue":"1","issued":{"date-parts":[["2020","3","13"]]},"page":"1-10","publisher":"BioMed Central Ltd.","title":"The origin, transmission and clinical therapies on coronavirus disease 2019 (COVID-19) outbreak- A n update on the status","type":"article","volume":"7"},"uris":["http://www.mendeley.com/documents/?uuid=18233e4f-feea-3e75-8ad1-b52a61ad266d"]}],"mendeley":{"formattedCitation":"[11]","plainTextFormattedCitation":"[11]","previouslyFormattedCitation":"[11]"},"properties":{"noteIndex":0},"schema":"https://github.com/citation-style-language/schema/raw/master/csl-citation.json"}</w:instrText>
            </w:r>
            <w:r w:rsidRPr="002048FB">
              <w:rPr>
                <w:rFonts w:cs="Times New Roman"/>
                <w:color w:val="000000" w:themeColor="text1"/>
                <w:sz w:val="22"/>
              </w:rPr>
              <w:fldChar w:fldCharType="separate"/>
            </w:r>
            <w:r w:rsidRPr="005C44FD">
              <w:rPr>
                <w:rFonts w:cs="Times New Roman"/>
                <w:noProof/>
                <w:color w:val="000000" w:themeColor="text1"/>
                <w:sz w:val="22"/>
              </w:rPr>
              <w:t>[11]</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origin, transmission, and clinical therapies</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Inception -March 1,2020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r>
      <w:tr w:rsidR="00171EB3" w:rsidRPr="002048FB" w:rsidTr="00D2305D">
        <w:trPr>
          <w:trHeight w:val="487"/>
          <w:jc w:val="center"/>
        </w:trPr>
        <w:tc>
          <w:tcPr>
            <w:tcW w:w="8169" w:type="dxa"/>
            <w:gridSpan w:val="11"/>
          </w:tcPr>
          <w:p w:rsidR="00171EB3" w:rsidRPr="002048FB" w:rsidRDefault="00171EB3" w:rsidP="00D2305D">
            <w:pPr>
              <w:pStyle w:val="ListParagraph"/>
              <w:numPr>
                <w:ilvl w:val="0"/>
                <w:numId w:val="2"/>
              </w:numPr>
              <w:jc w:val="left"/>
              <w:rPr>
                <w:rFonts w:cs="Times New Roman"/>
                <w:color w:val="000000" w:themeColor="text1"/>
                <w:sz w:val="22"/>
              </w:rPr>
            </w:pPr>
            <w:r w:rsidRPr="002048FB">
              <w:rPr>
                <w:rFonts w:cs="Times New Roman"/>
                <w:color w:val="000000" w:themeColor="text1"/>
                <w:sz w:val="22"/>
              </w:rPr>
              <w:t>Primary outcome: origin, transmission, clinical characteristics, and clinical therapies</w:t>
            </w:r>
          </w:p>
          <w:p w:rsidR="00171EB3" w:rsidRPr="002048FB" w:rsidRDefault="00171EB3" w:rsidP="00D2305D">
            <w:pPr>
              <w:pStyle w:val="ListParagraph"/>
              <w:numPr>
                <w:ilvl w:val="0"/>
                <w:numId w:val="2"/>
              </w:numPr>
              <w:jc w:val="left"/>
              <w:rPr>
                <w:rFonts w:cs="Times New Roman"/>
                <w:color w:val="000000" w:themeColor="text1"/>
                <w:sz w:val="22"/>
              </w:rPr>
            </w:pPr>
            <w:r w:rsidRPr="002048FB">
              <w:rPr>
                <w:rFonts w:cs="Times New Roman"/>
                <w:color w:val="000000" w:themeColor="text1"/>
                <w:sz w:val="22"/>
              </w:rPr>
              <w:t>Main Conclusion: Originating from the reservoir of bats and unknown intermediate hosts, SARS-CoV-2 binds to ACE2 with high affinity as a virus receptor to infect humans</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{"citationItems":[{"id":"ITEM-1","itemData":{"DOI":"10.1038/s41591-020-0820-9","ISSN":"1546170X","PMID":"32284615","author":[{"dropping-particle":"","family":"Andersen","given":"Kristian G.","non-dropping-particle":"","parse-names":false,"suffix":""},{"dropping-particle":"","family":"Rambaut","given":"Andrew","non-dropping-particle":"","parse-names":false,"suffix":""},{"dropping-particle":"","family":"Lipkin","given":"W. Ian","non-dropping-particle":"","parse-names":false,"suffix":""},{"dropping-particle":"","family":"Holmes","given":"Edward C.","non-dropping-particle":"","parse-names":false,"suffix":""},{"dropping-particle":"","family":"Garry","given":"Robert F.","non-dropping-particle":"","parse-names":false,"suffix":""}],"container-title":"Nature Medicine","id":"ITEM-1","issue":"4","issued":{"date-parts":[["2020","4","1"]]},"page":"450-452","publisher":"Nature Research","title":"The proximal origin of SARS-CoV-2","type":"article","volume":"26"},"uris":["http://www.mendeley.com/documents/?uuid=7a18404a-dce1-3597-8fee-2341be3e3cb2"]}],"mendeley":{"formattedCitation":"[14]","plainTextFormattedCitation":"[14]","previouslyFormattedCitation":"[14]"},"properties":{"noteIndex":0},"schema":"https://github.com/citation-style-language/schema/raw/master/csl-citation.json"}</w:instrText>
            </w:r>
            <w:r w:rsidRPr="002048FB">
              <w:rPr>
                <w:rFonts w:cs="Times New Roman"/>
                <w:color w:val="000000" w:themeColor="text1"/>
                <w:sz w:val="22"/>
              </w:rPr>
              <w:fldChar w:fldCharType="separate"/>
            </w:r>
            <w:r w:rsidRPr="005C44FD">
              <w:rPr>
                <w:rFonts w:cs="Times New Roman"/>
                <w:noProof/>
                <w:color w:val="000000" w:themeColor="text1"/>
                <w:sz w:val="22"/>
              </w:rPr>
              <w:t>[14]</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Proximal origin</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 xml:space="preserve">Inception -11 March 2020 </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5</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3"/>
              </w:numPr>
              <w:jc w:val="left"/>
              <w:rPr>
                <w:rFonts w:cs="Times New Roman"/>
                <w:color w:val="000000" w:themeColor="text1"/>
                <w:sz w:val="22"/>
              </w:rPr>
            </w:pPr>
            <w:r w:rsidRPr="002048FB">
              <w:rPr>
                <w:rFonts w:cs="Times New Roman"/>
                <w:color w:val="000000" w:themeColor="text1"/>
                <w:sz w:val="22"/>
              </w:rPr>
              <w:t>Primary outcome:</w:t>
            </w:r>
            <w:r w:rsidRPr="002048FB">
              <w:rPr>
                <w:rFonts w:cs="Times New Roman"/>
                <w:sz w:val="22"/>
              </w:rPr>
              <w:t xml:space="preserve"> the </w:t>
            </w:r>
            <w:r w:rsidRPr="002048FB">
              <w:rPr>
                <w:rFonts w:cs="Times New Roman"/>
                <w:color w:val="000000" w:themeColor="text1"/>
                <w:sz w:val="22"/>
              </w:rPr>
              <w:t>origin of SARS-CoV-2 from a comparative analysis of genomic data</w:t>
            </w:r>
          </w:p>
          <w:p w:rsidR="00171EB3" w:rsidRPr="002048FB" w:rsidRDefault="00171EB3" w:rsidP="00D2305D">
            <w:pPr>
              <w:pStyle w:val="ListParagraph"/>
              <w:numPr>
                <w:ilvl w:val="0"/>
                <w:numId w:val="3"/>
              </w:numPr>
              <w:jc w:val="left"/>
              <w:rPr>
                <w:rFonts w:cs="Times New Roman"/>
                <w:color w:val="000000" w:themeColor="text1"/>
                <w:sz w:val="22"/>
              </w:rPr>
            </w:pPr>
            <w:r w:rsidRPr="002048FB">
              <w:rPr>
                <w:rFonts w:cs="Times New Roman"/>
                <w:color w:val="000000" w:themeColor="text1"/>
                <w:sz w:val="22"/>
              </w:rPr>
              <w:t>Main Conclusion: SARS-CoV-2 is not a laboratory construct or a purposefully manipulated virus</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{"citationItems":[{"id":"ITEM-1","itemData":{"DOI":"10.1093/jtm/taaa021","abstract":"Teaser: Our review found the average R 0 for COVID-19 to be 3.28, which exceeds WHO estimates from 1.4 to 2.5.","author":[{"dropping-particle":"","family":"Liu","given":"Ying","non-dropping-particle":"","parse-names":false,"suffix":""},{"dropping-particle":"","family":"Gayle","given":"Albert A","non-dropping-particle":"","parse-names":false,"suffix":""},{"dropping-particle":"","family":"Wilder-Smith","given":"Annelies","non-dropping-particle":"","parse-names":false,"suffix":""},{"dropping-particle":"","family":"Rocklöv","given":"Joacim","non-dropping-particle":"","parse-names":false,"suffix":""}],"container-title":"Journal of Travel Medicine","id":"ITEM-1","issued":{"date-parts":[["2020"]]},"page":"1-4","title":"The reproductive number of COVID-19 is higher compared to SARS coronavirus","type":"article-journal","volume":"2020"},"uris":["http://www.mendeley.com/documents/?uuid=0938fc21-8413-370f-9cd2-e180858c8e03"]}],"mendeley":{"formattedCitation":"[17]","plainTextFormattedCitation":"[17]","previouslyFormattedCitation":"[17]"},"properties":{"noteIndex":0},"schema":"https://github.com/citation-style-language/schema/raw/master/csl-citation.json"}</w:instrText>
            </w:r>
            <w:r w:rsidRPr="002048FB">
              <w:rPr>
                <w:rFonts w:cs="Times New Roman"/>
                <w:color w:val="000000" w:themeColor="text1"/>
                <w:sz w:val="22"/>
              </w:rPr>
              <w:fldChar w:fldCharType="separate"/>
            </w:r>
            <w:r w:rsidRPr="005C44FD">
              <w:rPr>
                <w:rFonts w:cs="Times New Roman"/>
                <w:noProof/>
                <w:color w:val="000000" w:themeColor="text1"/>
                <w:sz w:val="22"/>
              </w:rPr>
              <w:t>[17]</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reproductive number (R0)</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1 Jan 2020 – 7 Feb,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12</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4"/>
              </w:numPr>
              <w:jc w:val="left"/>
              <w:rPr>
                <w:rFonts w:cs="Times New Roman"/>
                <w:color w:val="000000" w:themeColor="text1"/>
                <w:sz w:val="22"/>
              </w:rPr>
            </w:pPr>
            <w:r w:rsidRPr="002048FB">
              <w:rPr>
                <w:rFonts w:cs="Times New Roman"/>
                <w:color w:val="000000" w:themeColor="text1"/>
                <w:sz w:val="22"/>
              </w:rPr>
              <w:lastRenderedPageBreak/>
              <w:t>Primary outcome: reproduction number (R0) of the COVID-19 virus</w:t>
            </w:r>
          </w:p>
          <w:p w:rsidR="00171EB3" w:rsidRPr="002048FB" w:rsidRDefault="00171EB3" w:rsidP="00D2305D">
            <w:pPr>
              <w:pStyle w:val="ListParagraph"/>
              <w:numPr>
                <w:ilvl w:val="0"/>
                <w:numId w:val="4"/>
              </w:numPr>
              <w:jc w:val="left"/>
              <w:rPr>
                <w:rFonts w:cs="Times New Roman"/>
                <w:color w:val="000000" w:themeColor="text1"/>
                <w:sz w:val="22"/>
              </w:rPr>
            </w:pPr>
            <w:r w:rsidRPr="002048FB">
              <w:rPr>
                <w:rFonts w:cs="Times New Roman"/>
                <w:color w:val="000000" w:themeColor="text1"/>
                <w:sz w:val="22"/>
              </w:rPr>
              <w:t>Main Conclusion: The reproductive number of COVID-19 is higher compared to SARS</w:t>
            </w:r>
          </w:p>
        </w:tc>
      </w:tr>
      <w:tr w:rsidR="00171EB3" w:rsidRPr="002048FB" w:rsidTr="00D2305D">
        <w:trPr>
          <w:trHeight w:val="478"/>
          <w:jc w:val="center"/>
        </w:trPr>
        <w:tc>
          <w:tcPr>
            <w:tcW w:w="8169" w:type="dxa"/>
            <w:gridSpan w:val="11"/>
          </w:tcPr>
          <w:p w:rsidR="00171EB3" w:rsidRPr="002048FB" w:rsidRDefault="00171EB3" w:rsidP="00D2305D">
            <w:pPr>
              <w:jc w:val="center"/>
              <w:rPr>
                <w:rFonts w:cs="Times New Roman"/>
                <w:b/>
                <w:bCs/>
                <w:color w:val="000000" w:themeColor="text1"/>
                <w:sz w:val="22"/>
              </w:rPr>
            </w:pPr>
            <w:r w:rsidRPr="002048FB">
              <w:rPr>
                <w:rFonts w:cs="Times New Roman"/>
                <w:b/>
                <w:bCs/>
                <w:color w:val="000000" w:themeColor="text1"/>
                <w:sz w:val="22"/>
              </w:rPr>
              <w:t>Symptoms of COVID-19</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{"citationItems":[{"id":"ITEM-1","itemData":{"DOI":"10.1016/j.tmaid.2020.101623","ISSN":"18730442","PMID":"32179124","abstract":"Introduction: An epidemic of Coronavirus Disease 2019 (COVID-19) began in December 2019 in China leading to a Public Health Emergency of International Concern (PHEIC). Clinical, laboratory, and imaging features have been partially characterized in some observational studies. No systematic reviews on COVID-19 have been published to date. Methods: We performed a systematic literature review with meta-analysis, using three databases to assess clinical, laboratory, imaging features, and outcomes of COVID-19 confirmed cases. Observational studies and also case reports, were included, and analyzed separately. We performed a random-effects model meta-analysis to calculate pooled prevalences and 95% confidence intervals (95%CI). Results: 660 articles were retrieved for the time frame (1/1/2020-2/23/2020). After screening, 27 articles were selected for full-text assessment, 19 being finally included for qualitative and quantitative analyses. Additionally, 39 case report articles were included and analyzed separately. For 656 patients, fever (88.7%, 95%CI 84.5–92.9%), cough (57.6%, 95%CI 40.8–74.4%) and dyspnea (45.6%, 95%CI 10.9–80.4%) were the most prevalent manifestations. Among the patients, 20.3% (95%CI 10.0–30.6%) required intensive care unit (ICU), 32.8% presented with acute respiratory distress syndrome (ARDS) (95%CI 13.7–51.8), 6.2% (95%CI 3.1–9.3) with shock. Some 13.9% (95%CI 6.2–21.5%) of hospitalized patients had fatal outcomes (case fatality rate, CFR). Conclusion: COVID-19 brings a huge burden to healthcare facilities, especially in patients with comorbidities. ICU was required for approximately 20% of polymorbid, COVID-19 infected patients and hospitalization was associated with a CFR of &gt;13%. As this virus spreads globally, countries need to urgently prepare human resources, infrastructure and facilities to treat severe COVID-19.","author":[{"dropping-particle":"","family":"Rodriguez-Morales","given":"Alfonso J.","non-dropping-particle":"","parse-names":false,"suffix":""},{"dropping-particle":"","family":"Cardona-Ospina","given":"Jaime A.","non-dropping-particle":"","parse-names":false,"suffix":""},{"dropping-particle":"","family":"Gutiérrez-Ocampo","given":"Estefanía","non-dropping-particle":"","parse-names":false,"suffix":""},{"dropping-particle":"","family":"Villamizar-Peña","given":"Rhuvi","non-dropping-particle":"","parse-names":false,"suffix":""},{"dropping-particle":"","family":"Holguin-Rivera","given":"Yeimer","non-dropping-particle":"","parse-names":false,"suffix":""},{"dropping-particle":"","family":"Escalera-Antezana","given":"Juan Pablo","non-dropping-particle":"","parse-names":false,"suffix":""},{"dropping-particle":"","family":"Alvarado-Arnez","given":"Lucia Elena","non-dropping-particle":"","parse-names":false,"suffix":""},{"dropping-particle":"","family":"Bonilla-Aldana","given":"D. Katterine","non-dropping-particle":"","parse-names":false,"suffix":""},{"dropping-particle":"","family":"Franco-Paredes","given":"Carlos","non-dropping-particle":"","parse-names":false,"suffix":""},{"dropping-particle":"","family":"Henao-Martinez","given":"Andrés F.","non-dropping-particle":"","parse-names":false,"suffix":""},{"dropping-particle":"","family":"Paniz-Mondolfi","given":"Alberto","non-dropping-particle":"","parse-names":false,"suffix":""},{"dropping-particle":"","family":"Lagos-Grisales","given":"Guillermo J.","non-dropping-particle":"","parse-names":false,"suffix":""},{"dropping-particle":"","family":"Ramírez-Vallejo","given":"Eduardo","non-dropping-particle":"","parse-names":false,"suffix":""},{"dropping-particle":"","family":"Suárez","given":"Jose A.","non-dropping-particle":"","parse-names":false,"suffix":""},{"dropping-particle":"","family":"Zambrano","given":"Lysien I.","non-dropping-particle":"","parse-names":false,"suffix":""},{"dropping-particle":"","family":"Villamil-Gómez","given":"Wilmer E.","non-dropping-particle":"","parse-names":false,"suffix":""},{"dropping-particle":"","family":"Balbin-Ramon","given":"Graciela J.","non-dropping-particle":"","parse-names":false,"suffix":""},{"dropping-particle":"","family":"Rabaan","given":"Ali A.","non-dropping-particle":"","parse-names":false,"suffix":""},{"dropping-particle":"","family":"Harapan","given":"Harapan","non-dropping-particle":"","parse-names":false,"suffix":""},{"dropping-particle":"","family":"Dhama","given":"Kuldeep","non-dropping-particle":"","parse-names":false,"suffix":""},{"dropping-particle":"","family":"Nishiura","given":"Hiroshi","non-dropping-particle":"","parse-names":false,"suffix":""},{"dropping-particle":"","family":"Kataoka","given":"Hiromitsu","non-dropping-particle":"","parse-names":false,"suffix":""},{"dropping-particle":"","family":"Ahmad","given":"Tauseef","non-dropping-particle":"","parse-names":false,"suffix":""},{"dropping-particle":"","family":"Sah","given":"Ranjit","non-dropping-particle":"","parse-names":false,"suffix":""}],"container-title":"Travel Medicine and Infectious Disease","id":"ITEM-1","issued":{"date-parts":[["2020","3","1"]]},"page":"101623","publisher":"Elsevier USA","title":"Clinical, laboratory and imaging features of COVID-19: A systematic review and meta-analysis","type":"article","volume":"34"},"uris":["http://www.mendeley.com/documents/?uuid=ef3030c6-0edd-472d-9ab5-c3030f9f288a"]}],"mendeley":{"formattedCitation":"[23]","plainTextFormattedCitation":"[23]","previouslyFormattedCitation":"[22]"},"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[23]</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Clinical, laboratory and imaging features</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January 1 2020 – February 23,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Systematic review</w:t>
            </w:r>
          </w:p>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&amp; meta-analysis</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19 studies, 39 case reports</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656</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5"/>
              </w:numPr>
              <w:jc w:val="left"/>
              <w:rPr>
                <w:rFonts w:cs="Times New Roman"/>
                <w:color w:val="000000" w:themeColor="text1"/>
                <w:sz w:val="22"/>
              </w:rPr>
            </w:pPr>
            <w:r w:rsidRPr="002048FB">
              <w:rPr>
                <w:rFonts w:cs="Times New Roman"/>
                <w:color w:val="000000" w:themeColor="text1"/>
                <w:sz w:val="22"/>
              </w:rPr>
              <w:t>Primary Outcome: Fever, cough, and dyspnea as the most critical manifestations</w:t>
            </w:r>
          </w:p>
          <w:p w:rsidR="00171EB3" w:rsidRPr="002048FB" w:rsidRDefault="00171EB3" w:rsidP="00D2305D">
            <w:pPr>
              <w:pStyle w:val="ListParagraph"/>
              <w:numPr>
                <w:ilvl w:val="0"/>
                <w:numId w:val="5"/>
              </w:numPr>
              <w:jc w:val="left"/>
              <w:rPr>
                <w:rFonts w:cs="Times New Roman"/>
                <w:color w:val="000000" w:themeColor="text1"/>
                <w:sz w:val="22"/>
              </w:rPr>
            </w:pPr>
            <w:r w:rsidRPr="002048FB">
              <w:rPr>
                <w:rFonts w:cs="Times New Roman"/>
                <w:color w:val="000000" w:themeColor="text1"/>
                <w:sz w:val="22"/>
              </w:rPr>
              <w:t>Main Conclusion: Patients with chronic medical conditions are a high-risk group with important symptoms, including rapid progression to ARDS.</w:t>
            </w:r>
          </w:p>
        </w:tc>
      </w:tr>
      <w:tr w:rsidR="00171EB3" w:rsidRPr="002048FB" w:rsidTr="00D2305D">
        <w:trPr>
          <w:trHeight w:val="487"/>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{"citationItems":[{"id":"ITEM-1","itemData":{"DOI":"10.2214/AJR.20.23034","PMID":"32174129","abstract":"OBJECTIVE. Available information on CT features of the 2019 novel coronavirus disease (COVID-19) is scattered in different publications, and a cohesive literature review has yet to be compiled. MATERIALS AND METHODS. This article includes a systematic literature search of PubMed, Embase (Elsevier), Google Scholar, and the World Health Organization database. RESULTS. Known features of COVID-19 on initial CT include bilateral multilobar ground-glass opacification (GGO) with a peripheral or posterior distribution, mainly in the lower lobes and less frequently within the right middle lobe. Atypical initial imaging presentation of consolidative opacities superimposed on GGO may be found in a smaller number of cases, mainly in the elderly population. Septal thickening, bronchiectasis, pleural thickening, and subpleural involvement are some of the less common findings, mainly in the later stages of the disease. Pleural effusion, pericardial effusion, lymphadenopathy, cavitation, CT halo sign, and pneumothorax are uncommon but may be seen with disease progression. Follow-up CT in the intermediate stage of disease shows an increase in the number and size of GGOs and progressive transformation of GGO into multifocal consolidative opacities, septal thickening, and development of a crazy paving pattern, with the greatest severity of CT findings visible around day 10 after the symptom onset. Acute respiratory distress syndrome is the most common indication for transferring patients with COVID-19 to the ICU and the major cause of death in this patient population. Imaging patterns corresponding to clinical improvement usually occur after week 2 of the disease and include gradual resolution of consolidative opacities and decrease in the number of lesions and involved lobes. CONCLUSION. This systematic review of current literature on COVID-19 provides insight into the initial and follow-up CT characteristics of the disease.","author":[{"dropping-particle":"","family":"Salehi","given":"Sana","non-dropping-particle":"","parse-names":false,"suffix":""},{"dropping-particle":"","family":"Abedi","given":"Aidin","non-dropping-particle":"","parse-names":false,"suffix":""},{"dropping-particle":"","family":"Balakrishnan","given":"Sudheer","non-dropping-particle":"","parse-names":false,"suffix":""},{"dropping-particle":"","family":"Gholamrezanezhad","given":"Ali","non-dropping-particle":"","parse-names":false,"suffix":""}],"id":"ITEM-1","issue":"1","issued":{"date-parts":[["2020","7","1"]]},"page":"87-93","publisher":"NLM (Medline)","title":"Coronavirus Disease 2019 (COVID-19): A Systematic Review of Imaging Findings in 919 Patients","type":"article-journal","volume":"215"},"uris":["http://www.mendeley.com/documents/?uuid=02172fed-1ea1-474e-be83-f0c0f19a21c4"]}],"mendeley":{"formattedCitation":"[91]","plainTextFormattedCitation":"[91]","previouslyFormattedCitation":"[90]"},"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[91]</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Imaging Findings</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Until March 14,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Systematic review</w:t>
            </w:r>
          </w:p>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&amp; meta-analysis</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30</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919</w:t>
            </w:r>
          </w:p>
        </w:tc>
      </w:tr>
      <w:tr w:rsidR="00171EB3" w:rsidRPr="002048FB" w:rsidTr="00D2305D">
        <w:trPr>
          <w:trHeight w:val="487"/>
          <w:jc w:val="center"/>
        </w:trPr>
        <w:tc>
          <w:tcPr>
            <w:tcW w:w="8169" w:type="dxa"/>
            <w:gridSpan w:val="11"/>
          </w:tcPr>
          <w:p w:rsidR="00171EB3" w:rsidRPr="002048FB" w:rsidRDefault="00171EB3" w:rsidP="00D2305D">
            <w:pPr>
              <w:pStyle w:val="ListParagraph"/>
              <w:numPr>
                <w:ilvl w:val="0"/>
                <w:numId w:val="7"/>
              </w:numPr>
              <w:jc w:val="left"/>
              <w:rPr>
                <w:rFonts w:cs="Times New Roman"/>
                <w:color w:val="000000" w:themeColor="text1"/>
                <w:sz w:val="22"/>
              </w:rPr>
            </w:pPr>
            <w:r w:rsidRPr="002048FB">
              <w:rPr>
                <w:rFonts w:cs="Times New Roman"/>
                <w:color w:val="000000" w:themeColor="text1"/>
                <w:sz w:val="22"/>
              </w:rPr>
              <w:t>Primary outcome: initial CT includes bilateral multilobar ground-glass opacification (GGO) with a peripheral or posterior distribution, mainly in the lower lobes and less frequently within the right middle lobe.</w:t>
            </w:r>
          </w:p>
          <w:p w:rsidR="00171EB3" w:rsidRPr="002048FB" w:rsidRDefault="00171EB3" w:rsidP="00D2305D">
            <w:pPr>
              <w:pStyle w:val="ListParagraph"/>
              <w:numPr>
                <w:ilvl w:val="0"/>
                <w:numId w:val="6"/>
              </w:numPr>
              <w:jc w:val="left"/>
              <w:rPr>
                <w:rFonts w:cs="Times New Roman"/>
                <w:color w:val="000000" w:themeColor="text1"/>
                <w:sz w:val="22"/>
              </w:rPr>
            </w:pPr>
            <w:r w:rsidRPr="002048FB">
              <w:rPr>
                <w:rFonts w:cs="Times New Roman"/>
                <w:color w:val="000000" w:themeColor="text1"/>
                <w:sz w:val="22"/>
              </w:rPr>
              <w:t>Main Conclusion: Provides initial and follow-up CT characteristics of the disease</w:t>
            </w:r>
          </w:p>
        </w:tc>
      </w:tr>
      <w:tr w:rsidR="00171EB3" w:rsidRPr="002048FB" w:rsidTr="00D2305D">
        <w:trPr>
          <w:trHeight w:val="487"/>
          <w:jc w:val="center"/>
        </w:trPr>
        <w:tc>
          <w:tcPr>
            <w:tcW w:w="8169" w:type="dxa"/>
            <w:gridSpan w:val="11"/>
          </w:tcPr>
          <w:p w:rsidR="00171EB3" w:rsidRPr="002048FB" w:rsidRDefault="00171EB3" w:rsidP="00D2305D">
            <w:pPr>
              <w:pStyle w:val="ListParagraph"/>
              <w:jc w:val="center"/>
              <w:rPr>
                <w:rFonts w:cs="Times New Roman"/>
                <w:b/>
                <w:bCs/>
                <w:color w:val="000000" w:themeColor="text1"/>
                <w:sz w:val="22"/>
              </w:rPr>
            </w:pPr>
            <w:r w:rsidRPr="002048FB">
              <w:rPr>
                <w:rFonts w:cs="Times New Roman"/>
                <w:b/>
                <w:bCs/>
                <w:color w:val="000000" w:themeColor="text1"/>
                <w:sz w:val="22"/>
              </w:rPr>
              <w:t>COVID-19 and Pediatric group</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{"citationItems":[{"id":"ITEM-1","itemData":{"DOI":"10.1111/apa.15270","ISSN":"16512227","PMID":"32202343","abstract":"Aim: The coronavirus disease 2019 (COVID-19) pandemic has affected hundreds of thousands of people. Data on symptoms and prognosis in children are rare. Methods: A systematic literature review was carried out to identify papers on COVID-19, which is caused by the severe acute respiratory syndrome coronavirus 2 (SARS-CoV-2), using the MEDLINE and Embase databases between January 1 and March 18, 2020. Results: The search identified 45 relevant scientific papers and letters. The review showed that children have so far accounted for 1%-5% of diagnosed COVID-19 cases, they often have milder disease than adults and deaths have been extremely rare. Diagnostic findings have been similar to adults, with fever and respiratory symptoms being prevalent, but fewer children seem to have developed severe pneumonia. Elevated inflammatory markers were less common in children, and lymphocytopenia seemed rare. Newborn infants have developed symptomatic COVID-19, but evidence of vertical intrauterine transmission was scarce. Suggested treatment included providing oxygen, inhalations, nutritional support and maintaining fluids and electrolyte balances. Conclusions: The coronavirus disease 2019 has occurred in children, but they seemed to have a milder disease course and better prognosis than adults. Deaths were extremely rare.","author":[{"dropping-particle":"","family":"Ludvigsson","given":"Jonas F.","non-dropping-particle":"","parse-names":false,"suffix":""}],"container-title":"Acta Paediatrica, International Journal of Paediatrics","id":"ITEM-1","issue":"6","issued":{"date-parts":[["2020","6","1"]]},"page":"1088-1095","publisher":"Blackwell Publishing Ltd","title":"Systematic review of COVID-19 in children shows milder cases and a better prognosis than adults","type":"article","volume":"109"},"uris":["http://www.mendeley.com/documents/?uuid=fd98f588-a0ac-30fe-9b04-6a58112426f5"]}],"mendeley":{"formattedCitation":"[55]","plainTextFormattedCitation":"[55]","previouslyFormattedCitation":"[54]"},"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[55]</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Effect of COVID-19 on children</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Jan 1-March 18,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systematic review &amp; meta-analysis</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45 case studies</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 xml:space="preserve">1%-5% of diagnosed </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6"/>
              </w:numPr>
              <w:jc w:val="left"/>
              <w:rPr>
                <w:rFonts w:cs="Times New Roman"/>
                <w:color w:val="000000" w:themeColor="text1"/>
                <w:sz w:val="22"/>
              </w:rPr>
            </w:pPr>
            <w:r w:rsidRPr="002048FB">
              <w:rPr>
                <w:rFonts w:cs="Times New Roman"/>
                <w:color w:val="000000" w:themeColor="text1"/>
                <w:sz w:val="22"/>
              </w:rPr>
              <w:t>Primary Outcome: Symptoms and prognosis in children</w:t>
            </w:r>
          </w:p>
          <w:p w:rsidR="00171EB3" w:rsidRPr="002048FB" w:rsidRDefault="00171EB3" w:rsidP="00D2305D">
            <w:pPr>
              <w:pStyle w:val="ListParagraph"/>
              <w:numPr>
                <w:ilvl w:val="0"/>
                <w:numId w:val="6"/>
              </w:numPr>
              <w:jc w:val="left"/>
              <w:rPr>
                <w:rFonts w:cs="Times New Roman"/>
                <w:color w:val="000000" w:themeColor="text1"/>
                <w:sz w:val="22"/>
              </w:rPr>
            </w:pPr>
            <w:r w:rsidRPr="002048FB">
              <w:rPr>
                <w:rFonts w:cs="Times New Roman"/>
                <w:color w:val="000000" w:themeColor="text1"/>
                <w:sz w:val="22"/>
              </w:rPr>
              <w:t>Main conclusion: children show milder cases and a better prognosis than adults, deaths are sporadic</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{"citationItems":[{"id":"ITEM-1","itemData":{"DOI":"10.1016/S2352-4642(20)30095-X","ISSN":"23524642","PMID":"32272089","abstract":"In response to the coronavirus disease 2019 (COVID-19) pandemic, 107 countries had implemented national school closures by March 18, 2020. It is unknown whether school measures are effective in coronavirus outbreaks (eg, due to severe acute respiratory syndrome [SARS], Middle East respiratory syndrome, or COVID-19). We undertook a systematic review by searching three electronic databases to identify what is known about the effectiveness of school closures and other school social distancing practices during coronavirus outbreaks. We included 16 of 616 identified articles. School closures were deployed rapidly across mainland China and Hong Kong for COVID-19. However, there are no data on the relative contribution of school closures to transmission control. Data from the SARS outbreak in mainland China, Hong Kong, and Singapore suggest that school closures did not contribute to the control of the epidemic. Modelling studies of SARS produced conflicting results. Recent modelling studies of COVID-19 predict that school closures alone would prevent only 2–4% of deaths, much less than other social distancing interventions. Policy makers need to be aware of the equivocal evidence when considering school closures for COVID-19, and that combinations of social distancing measures should be considered. Other less disruptive social distancing interventions in schools require further consideration if restrictive social distancing policies are implemented for long periods.","author":[{"dropping-particle":"","family":"Viner","given":"Russell M.","non-dropping-particle":"","parse-names":false,"suffix":""},{"dropping-particle":"","family":"Russell","given":"Simon J.","non-dropping-particle":"","parse-names":false,"suffix":""},{"dropping-particle":"","family":"Croker","given":"Helen","non-dropping-particle":"","parse-names":false,"suffix":""},{"dropping-particle":"","family":"Packer","given":"Jessica","non-dropping-particle":"","parse-names":false,"suffix":""},{"dropping-particle":"","family":"Ward","given":"Joseph","non-dropping-particle":"","parse-names":false,"suffix":""},{"dropping-particle":"","family":"Stansfield","given":"Claire","non-dropping-particle":"","parse-names":false,"suffix":""},{"dropping-particle":"","family":"Mytton","given":"Oliver","non-dropping-particle":"","parse-names":false,"suffix":""},{"dropping-particle":"","family":"Bonell","given":"Chris","non-dropping-particle":"","parse-names":false,"suffix":""},{"dropping-particle":"","family":"Booy","given":"Robert","non-dropping-particle":"","parse-names":false,"suffix":""}],"container-title":"The Lancet Child and Adolescent Health","id":"ITEM-1","issue":"5","issued":{"date-parts":[["2020","5","1"]]},"page":"397-404","publisher":"Elsevier B.V.","title":"School closure and management practices during coronavirus outbreaks including COVID-19: a rapid systematic review","type":"article","volume":"4"},"uris":["http://www.mendeley.com/documents/?uuid=3e957ecc-1e10-3354-9361-b26cb1353b1c"]}],"mendeley":{"formattedCitation":"[92]","plainTextFormattedCitation":"[92]","previouslyFormattedCitation":"[91]"},"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[92]</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School closure and management</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March 19,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Rapid systematic 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16 articles</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8"/>
              </w:numPr>
              <w:jc w:val="left"/>
              <w:rPr>
                <w:rFonts w:cs="Times New Roman"/>
                <w:color w:val="000000" w:themeColor="text1"/>
                <w:sz w:val="22"/>
              </w:rPr>
            </w:pPr>
            <w:r w:rsidRPr="002048FB">
              <w:rPr>
                <w:rFonts w:cs="Times New Roman"/>
                <w:color w:val="000000" w:themeColor="text1"/>
                <w:sz w:val="22"/>
              </w:rPr>
              <w:t>Primary Outcome: Effect of school closures</w:t>
            </w:r>
          </w:p>
          <w:p w:rsidR="00171EB3" w:rsidRPr="002048FB" w:rsidRDefault="00171EB3" w:rsidP="00D2305D">
            <w:pPr>
              <w:pStyle w:val="ListParagraph"/>
              <w:numPr>
                <w:ilvl w:val="0"/>
                <w:numId w:val="8"/>
              </w:numPr>
              <w:jc w:val="left"/>
              <w:rPr>
                <w:rFonts w:cs="Times New Roman"/>
                <w:color w:val="000000" w:themeColor="text1"/>
                <w:sz w:val="22"/>
              </w:rPr>
            </w:pPr>
            <w:r w:rsidRPr="002048FB">
              <w:rPr>
                <w:rFonts w:cs="Times New Roman"/>
                <w:color w:val="000000" w:themeColor="text1"/>
                <w:sz w:val="22"/>
              </w:rPr>
              <w:lastRenderedPageBreak/>
              <w:t>Main conclusion: school closures for COVID-19 and combinations of social distancing measures should be considered to mitigate death rate</w:t>
            </w:r>
          </w:p>
        </w:tc>
      </w:tr>
      <w:tr w:rsidR="00171EB3" w:rsidRPr="002048FB" w:rsidTr="00D2305D">
        <w:trPr>
          <w:trHeight w:val="487"/>
          <w:jc w:val="center"/>
        </w:trPr>
        <w:tc>
          <w:tcPr>
            <w:tcW w:w="8169" w:type="dxa"/>
            <w:gridSpan w:val="11"/>
          </w:tcPr>
          <w:p w:rsidR="00171EB3" w:rsidRPr="002048FB" w:rsidRDefault="00171EB3" w:rsidP="00D2305D">
            <w:pPr>
              <w:jc w:val="center"/>
              <w:rPr>
                <w:rFonts w:cs="Times New Roman"/>
                <w:b/>
                <w:bCs/>
                <w:color w:val="000000" w:themeColor="text1"/>
                <w:sz w:val="22"/>
              </w:rPr>
            </w:pPr>
            <w:r w:rsidRPr="002048FB">
              <w:rPr>
                <w:rFonts w:cs="Times New Roman"/>
                <w:b/>
                <w:bCs/>
                <w:color w:val="000000" w:themeColor="text1"/>
                <w:sz w:val="22"/>
              </w:rPr>
              <w:lastRenderedPageBreak/>
              <w:t>COVID-19 on Pregnancy</w:t>
            </w:r>
          </w:p>
        </w:tc>
      </w:tr>
      <w:tr w:rsidR="00171EB3" w:rsidRPr="002048FB" w:rsidTr="00D2305D">
        <w:trPr>
          <w:trHeight w:val="487"/>
          <w:jc w:val="center"/>
        </w:trPr>
        <w:tc>
          <w:tcPr>
            <w:tcW w:w="1361" w:type="dxa"/>
            <w:gridSpan w:val="2"/>
          </w:tcPr>
          <w:p w:rsidR="00171EB3" w:rsidRPr="002048FB" w:rsidRDefault="00171EB3" w:rsidP="00D2305D">
            <w:pPr>
              <w:jc w:val="left"/>
              <w:rPr>
                <w:rFonts w:cs="Times New Roman"/>
                <w:b/>
                <w:bCs/>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{"citationItems":[{"id":"ITEM-1","itemData":{"DOI":"10.1016/j.ajog.2020.04.013","ISSN":"10976868","PMID":"32311350","abstract":"Objective: This study aimed to conduct a systematic review of the clinical outcomes reported for pregnant patients with coronavirus disease 2019. Data Sources: The PubMed, CINAHL, and Scopus databases were searched using a combination of key words such as “Coronavirus and/or pregnancy,” “COVID and/or pregnancy,” “COVID disease and/or pregnancy,” and “COVID pneumonia and/or pregnancy.” There was no restriction of language to allow collection of as many cases as possible. Study Eligibility Criteria: All studies of pregnant women who received a coronavirus disease 2019 diagnosis using acid nucleic test, with reported data about pregnancy, and, in case of delivery, reported outcomes, were included. Study Appraisal and Synthesis Methods: All the studies included have been evaluated according to the tool for evaluating the methodological quality of case reports and case series described by Murad et al. Results: Six studies that involved 51 pregnant women were eligible for the systematic review. At the time of the report, 3 pregnancies were ongoing; of the remaining 48 pregnant women, 46 gave birth by cesarean delivery, and 2 gave birth vaginally; in this study, 1 stillbirth and 1 neonatal death were reported. Conclusion: Although vertical transmission of severe acute respiratory syndrome coronavirus 2 infection has been excluded thus far and the outcome for mothers and neonates has been generally good, the high rate of preterm delivery by cesarean delivery is a reason for concern. Cesarean delivery was typically an elective surgical intervention, and it is reasonable to question whether cesarean delivery for pregnant patients with coronavirus disease 2019 was warranted. Coronavirus disease 2019 associated with respiratory insufficiency in late pregnancies certainly creates a complex clinical scenario.","author":[{"dropping-particle":"","family":"Gatta","given":"Anna Nunzia","non-dropping-particle":"Della","parse-names":false,"suffix":""},{"dropping-particle":"","family":"Rizzo","given":"Roberta","non-dropping-particle":"","parse-names":false,"suffix":""},{"dropping-particle":"","family":"Pilu","given":"Gianluigi","non-dropping-particle":"","parse-names":false,"suffix":""},{"dropping-particle":"","family":"Simonazzi","given":"Giuliana","non-dropping-particle":"","parse-names":false,"suffix":""}],"container-title":"American Journal of Obstetrics and Gynecology","id":"ITEM-1","issue":"1","issued":{"date-parts":[["2020","7","1"]]},"page":"36","publisher":"Mosby Inc.","title":"Coronavirus disease 2019 during pregnancy: a systematic review of reported cases","type":"article","volume":"223"},"uris":["http://www.mendeley.com/documents/?uuid=3dfd34dd-be55-3869-9071-2fca84cde317"]}],"mendeley":{"formattedCitation":"[93]","plainTextFormattedCitation":"[93]","previouslyFormattedCitation":"[92]"},"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[93]</w:t>
            </w:r>
            <w:r w:rsidRPr="002048FB">
              <w:rPr>
                <w:rFonts w:cs="Times New Roman"/>
                <w:color w:val="000000" w:themeColor="text1"/>
                <w:sz w:val="22"/>
              </w:rPr>
              <w:fldChar w:fldCharType="end"/>
            </w:r>
          </w:p>
        </w:tc>
        <w:tc>
          <w:tcPr>
            <w:tcW w:w="1362" w:type="dxa"/>
          </w:tcPr>
          <w:p w:rsidR="00171EB3" w:rsidRPr="002048FB" w:rsidRDefault="00171EB3" w:rsidP="00D2305D">
            <w:pPr>
              <w:jc w:val="left"/>
              <w:rPr>
                <w:rFonts w:cs="Times New Roman"/>
                <w:b/>
                <w:bCs/>
                <w:color w:val="000000" w:themeColor="text1"/>
                <w:sz w:val="22"/>
              </w:rPr>
            </w:pPr>
            <w:r w:rsidRPr="002048FB">
              <w:rPr>
                <w:rFonts w:cs="Times New Roman"/>
                <w:color w:val="000000" w:themeColor="text1"/>
                <w:sz w:val="22"/>
              </w:rPr>
              <w:t>Pregnant patients with Covid-19</w:t>
            </w:r>
          </w:p>
        </w:tc>
        <w:tc>
          <w:tcPr>
            <w:tcW w:w="1361" w:type="dxa"/>
            <w:gridSpan w:val="2"/>
          </w:tcPr>
          <w:p w:rsidR="00171EB3" w:rsidRPr="002048FB" w:rsidRDefault="00171EB3" w:rsidP="00D2305D">
            <w:pPr>
              <w:jc w:val="left"/>
              <w:rPr>
                <w:rFonts w:cs="Times New Roman"/>
                <w:b/>
                <w:bCs/>
                <w:color w:val="000000" w:themeColor="text1"/>
                <w:sz w:val="22"/>
              </w:rPr>
            </w:pPr>
            <w:r w:rsidRPr="002048FB">
              <w:rPr>
                <w:rFonts w:cs="Times New Roman"/>
                <w:color w:val="000000" w:themeColor="text1"/>
                <w:sz w:val="22"/>
              </w:rPr>
              <w:t>March 14 – March 16, 2020</w:t>
            </w:r>
          </w:p>
        </w:tc>
        <w:tc>
          <w:tcPr>
            <w:tcW w:w="1362" w:type="dxa"/>
            <w:gridSpan w:val="2"/>
          </w:tcPr>
          <w:p w:rsidR="00171EB3" w:rsidRPr="002048FB" w:rsidRDefault="00171EB3" w:rsidP="00D2305D">
            <w:pPr>
              <w:jc w:val="left"/>
              <w:rPr>
                <w:rFonts w:cs="Times New Roman"/>
                <w:b/>
                <w:bCs/>
                <w:color w:val="000000" w:themeColor="text1"/>
                <w:sz w:val="22"/>
              </w:rPr>
            </w:pPr>
            <w:r w:rsidRPr="002048FB">
              <w:rPr>
                <w:rFonts w:cs="Times New Roman"/>
                <w:color w:val="000000" w:themeColor="text1"/>
                <w:sz w:val="22"/>
              </w:rPr>
              <w:t>Systematic review</w:t>
            </w:r>
          </w:p>
        </w:tc>
        <w:tc>
          <w:tcPr>
            <w:tcW w:w="1361" w:type="dxa"/>
            <w:gridSpan w:val="2"/>
          </w:tcPr>
          <w:p w:rsidR="00171EB3" w:rsidRPr="002048FB" w:rsidRDefault="00171EB3" w:rsidP="00D2305D">
            <w:pPr>
              <w:jc w:val="left"/>
              <w:rPr>
                <w:rFonts w:cs="Times New Roman"/>
                <w:b/>
                <w:bCs/>
                <w:color w:val="000000" w:themeColor="text1"/>
                <w:sz w:val="22"/>
              </w:rPr>
            </w:pPr>
            <w:r w:rsidRPr="002048FB">
              <w:rPr>
                <w:rFonts w:cs="Times New Roman"/>
                <w:color w:val="000000" w:themeColor="text1"/>
                <w:sz w:val="22"/>
              </w:rPr>
              <w:t>6 retrospective studies</w:t>
            </w:r>
          </w:p>
        </w:tc>
        <w:tc>
          <w:tcPr>
            <w:tcW w:w="1362" w:type="dxa"/>
            <w:gridSpan w:val="2"/>
          </w:tcPr>
          <w:p w:rsidR="00171EB3" w:rsidRPr="002048FB" w:rsidRDefault="00171EB3" w:rsidP="00D2305D">
            <w:pPr>
              <w:pStyle w:val="ListParagraph"/>
              <w:numPr>
                <w:ilvl w:val="0"/>
                <w:numId w:val="10"/>
              </w:numPr>
              <w:jc w:val="left"/>
              <w:rPr>
                <w:rFonts w:cs="Times New Roman"/>
                <w:b/>
                <w:bCs/>
                <w:color w:val="000000" w:themeColor="text1"/>
                <w:sz w:val="22"/>
              </w:rPr>
            </w:pPr>
          </w:p>
        </w:tc>
      </w:tr>
      <w:tr w:rsidR="00171EB3" w:rsidRPr="002048FB" w:rsidTr="00D2305D">
        <w:trPr>
          <w:trHeight w:val="487"/>
          <w:jc w:val="center"/>
        </w:trPr>
        <w:tc>
          <w:tcPr>
            <w:tcW w:w="8169" w:type="dxa"/>
            <w:gridSpan w:val="11"/>
          </w:tcPr>
          <w:p w:rsidR="00171EB3" w:rsidRPr="002048FB" w:rsidRDefault="00171EB3" w:rsidP="00D2305D">
            <w:pPr>
              <w:pStyle w:val="ListParagraph"/>
              <w:numPr>
                <w:ilvl w:val="0"/>
                <w:numId w:val="9"/>
              </w:numPr>
              <w:jc w:val="left"/>
              <w:rPr>
                <w:rFonts w:cs="Times New Roman"/>
                <w:color w:val="000000" w:themeColor="text1"/>
                <w:sz w:val="22"/>
              </w:rPr>
            </w:pPr>
            <w:r w:rsidRPr="002048FB">
              <w:rPr>
                <w:rFonts w:cs="Times New Roman"/>
                <w:color w:val="000000" w:themeColor="text1"/>
                <w:sz w:val="22"/>
              </w:rPr>
              <w:t>Primary Outcome: Pregnancy during Covid-19</w:t>
            </w:r>
          </w:p>
          <w:p w:rsidR="00171EB3" w:rsidRPr="002048FB" w:rsidRDefault="00171EB3" w:rsidP="00D2305D">
            <w:pPr>
              <w:pStyle w:val="ListParagraph"/>
              <w:numPr>
                <w:ilvl w:val="0"/>
                <w:numId w:val="9"/>
              </w:numPr>
              <w:jc w:val="left"/>
              <w:rPr>
                <w:rFonts w:cs="Times New Roman"/>
                <w:color w:val="000000" w:themeColor="text1"/>
                <w:sz w:val="22"/>
              </w:rPr>
            </w:pPr>
            <w:r w:rsidRPr="002048FB">
              <w:rPr>
                <w:rFonts w:cs="Times New Roman"/>
                <w:color w:val="000000" w:themeColor="text1"/>
                <w:sz w:val="22"/>
              </w:rPr>
              <w:t>Main Conclusion: Cesarean delivery as standard in most of the cases, respiratory insufficiencies of Covid-19 in late pregnancies create a complex scenario.</w:t>
            </w:r>
          </w:p>
        </w:tc>
      </w:tr>
      <w:tr w:rsidR="00171EB3" w:rsidRPr="002048FB" w:rsidTr="00D2305D">
        <w:trPr>
          <w:trHeight w:val="487"/>
          <w:jc w:val="center"/>
        </w:trPr>
        <w:tc>
          <w:tcPr>
            <w:tcW w:w="1361" w:type="dxa"/>
            <w:gridSpan w:val="2"/>
          </w:tcPr>
          <w:p w:rsidR="00171EB3" w:rsidRPr="002048FB" w:rsidRDefault="00171EB3" w:rsidP="00D2305D">
            <w:pPr>
              <w:jc w:val="left"/>
              <w:rPr>
                <w:rFonts w:cs="Times New Roman"/>
                <w:b/>
                <w:bCs/>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{"citationItems":[{"id":"ITEM-1","itemData":{"DOI":"10.1371/journal.pone.0234187","ISSN":"19326203","PMID":"32497090","abstract":"Background COVID-19 has created an extraordinary global health crisis. However, with limited understanding of the effects of COVID-19 during pregnancy, clinicians and patients are forced to make uninformed decisions. Objectives To systematically evaluate the literature and report the maternal and neonatal outcomes associated with COVID-19. Search strategy PubMed, MEDLINE, and EMBASE were searched from November 1st, 2019 and March 28th, 2020. Selection criteria Primary studies, reported in English, investigating COVID-19-positive pregnant women and reporting their pregnancy and neonatal outcomes. Data collection and analysis Data in relation to clinical presentation, investigation were maternal and neonatal outcomes were extracted and analysed using summary statistics. Hypothesis testing was performed to examine differences in time-to-delivery. Study quality was assessed using the ICROMS tool. Main results Of 73 identified articles, nine were eligible for inclusion (n = 92). 67.4% (62/92) of women were symptomatic at presentation. RT-PCR was inferior to CT-based diagnosis in 31.7% (26/79) of cases. Maternal mortality rate was 0% and only one patient required intensive care and ventilation. 63.8% (30/47) had preterm births, 61.1% (11/18) fetal distress and 80% (40/50) a Caesarean section. 76.92% (11/13) of neonates required NICU admission and 42.8% (40/50) had a low birth weight. There was one indeterminate case of potential vertical transmission. Mean time-to-delivery was 4.3±3.08 days (n = 12) with no difference in outcomes (p&gt;0.05). Conclusions COVID-19-positive pregnant women present with fewer symptoms than the general population and may be RT-PCR negative despite having signs of viral pneumonia. The incidence of preterm births, low birth weight, C-section, NICU admission appear higher than the general population.","author":[{"dropping-particle":"","family":"Smith","given":"Vinayak","non-dropping-particle":"","parse-names":false,"suffix":""},{"dropping-particle":"","family":"Seo","given":"Densearn","non-dropping-particle":"","parse-names":false,"suffix":""},{"dropping-particle":"","family":"Warty","given":"Ritesh","non-dropping-particle":"","parse-names":false,"suffix":""},{"dropping-particle":"","family":"Payne","given":"Olivia","non-dropping-particle":"","parse-names":false,"suffix":""},{"dropping-particle":"","family":"Salih","given":"Mohamed","non-dropping-particle":"","parse-names":false,"suffix":""},{"dropping-particle":"","family":"Chin","given":"Ken Lee","non-dropping-particle":"","parse-names":false,"suffix":""},{"dropping-particle":"","family":"Ofori-Asenso","given":"Richard","non-dropping-particle":"","parse-names":false,"suffix":""},{"dropping-particle":"","family":"Krishnan","given":"Sathya","non-dropping-particle":"","parse-names":false,"suffix":""},{"dropping-particle":"","family":"Silva Costa","given":"Fabricio","non-dropping-particle":"Da","parse-names":false,"suffix":""},{"dropping-particle":"","family":"Vollenhoven","given":"Beverley","non-dropping-particle":"","parse-names":false,"suffix":""},{"dropping-particle":"","family":"Wallace","given":"Euan","non-dropping-particle":"","parse-names":false,"suffix":""}],"container-title":"PLoS ONE","id":"ITEM-1","issue":"6","issued":{"date-parts":[["2020","6","1"]]},"publisher":"Public Library of Science","title":"Maternal and neonatal outcomes associated with COVID-19 infection: A systematic review","type":"article-journal","volume":"15"},"uris":["http://www.mendeley.com/documents/?uuid=01b5ee71-b37e-32e5-a1fd-763e1c2dce1c"]}],"mendeley":{"formattedCitation":"[94]","plainTextFormattedCitation":"[94]","previouslyFormattedCitation":"[93]"},"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[94]</w:t>
            </w:r>
            <w:r w:rsidRPr="002048FB">
              <w:rPr>
                <w:rFonts w:cs="Times New Roman"/>
                <w:color w:val="000000" w:themeColor="text1"/>
                <w:sz w:val="22"/>
              </w:rPr>
              <w:fldChar w:fldCharType="end"/>
            </w:r>
          </w:p>
        </w:tc>
        <w:tc>
          <w:tcPr>
            <w:tcW w:w="1362" w:type="dxa"/>
          </w:tcPr>
          <w:p w:rsidR="00171EB3" w:rsidRPr="002048FB" w:rsidRDefault="00171EB3" w:rsidP="00D2305D">
            <w:pPr>
              <w:jc w:val="left"/>
              <w:rPr>
                <w:rFonts w:cs="Times New Roman"/>
                <w:b/>
                <w:bCs/>
                <w:color w:val="000000" w:themeColor="text1"/>
                <w:sz w:val="22"/>
              </w:rPr>
            </w:pPr>
            <w:r w:rsidRPr="002048FB">
              <w:rPr>
                <w:rFonts w:cs="Times New Roman"/>
                <w:color w:val="000000" w:themeColor="text1"/>
                <w:sz w:val="22"/>
              </w:rPr>
              <w:t>Association of Maternal and neonatal outcomes</w:t>
            </w:r>
          </w:p>
        </w:tc>
        <w:tc>
          <w:tcPr>
            <w:tcW w:w="1361" w:type="dxa"/>
            <w:gridSpan w:val="2"/>
          </w:tcPr>
          <w:p w:rsidR="00171EB3" w:rsidRPr="002048FB" w:rsidRDefault="00171EB3" w:rsidP="00D2305D">
            <w:pPr>
              <w:jc w:val="left"/>
              <w:rPr>
                <w:rFonts w:cs="Times New Roman"/>
                <w:b/>
                <w:bCs/>
                <w:color w:val="000000" w:themeColor="text1"/>
                <w:sz w:val="22"/>
              </w:rPr>
            </w:pPr>
            <w:r w:rsidRPr="002048FB">
              <w:rPr>
                <w:rFonts w:cs="Times New Roman"/>
                <w:color w:val="000000" w:themeColor="text1"/>
                <w:sz w:val="22"/>
              </w:rPr>
              <w:t>Nov 1, 2019 – March 28, 2020</w:t>
            </w:r>
          </w:p>
        </w:tc>
        <w:tc>
          <w:tcPr>
            <w:tcW w:w="1362" w:type="dxa"/>
            <w:gridSpan w:val="2"/>
          </w:tcPr>
          <w:p w:rsidR="00171EB3" w:rsidRPr="002048FB" w:rsidRDefault="00171EB3" w:rsidP="00D2305D">
            <w:pPr>
              <w:jc w:val="left"/>
              <w:rPr>
                <w:rFonts w:cs="Times New Roman"/>
                <w:b/>
                <w:bCs/>
                <w:color w:val="000000" w:themeColor="text1"/>
                <w:sz w:val="22"/>
              </w:rPr>
            </w:pPr>
            <w:r w:rsidRPr="002048FB">
              <w:rPr>
                <w:rFonts w:cs="Times New Roman"/>
                <w:color w:val="000000" w:themeColor="text1"/>
                <w:sz w:val="22"/>
              </w:rPr>
              <w:t>systematic review</w:t>
            </w:r>
          </w:p>
        </w:tc>
        <w:tc>
          <w:tcPr>
            <w:tcW w:w="1361" w:type="dxa"/>
            <w:gridSpan w:val="2"/>
          </w:tcPr>
          <w:p w:rsidR="00171EB3" w:rsidRPr="002048FB" w:rsidRDefault="00171EB3" w:rsidP="00D2305D">
            <w:pPr>
              <w:jc w:val="left"/>
              <w:rPr>
                <w:rFonts w:cs="Times New Roman"/>
                <w:b/>
                <w:bCs/>
                <w:color w:val="000000" w:themeColor="text1"/>
                <w:sz w:val="22"/>
              </w:rPr>
            </w:pPr>
            <w:r w:rsidRPr="002048FB">
              <w:rPr>
                <w:rFonts w:cs="Times New Roman"/>
                <w:color w:val="000000" w:themeColor="text1"/>
                <w:sz w:val="22"/>
              </w:rPr>
              <w:t>9 case reports</w:t>
            </w:r>
          </w:p>
        </w:tc>
        <w:tc>
          <w:tcPr>
            <w:tcW w:w="1362" w:type="dxa"/>
            <w:gridSpan w:val="2"/>
          </w:tcPr>
          <w:p w:rsidR="00171EB3" w:rsidRPr="002048FB" w:rsidRDefault="00171EB3" w:rsidP="00D2305D">
            <w:pPr>
              <w:jc w:val="left"/>
              <w:rPr>
                <w:rFonts w:cs="Times New Roman"/>
                <w:b/>
                <w:bCs/>
                <w:color w:val="000000" w:themeColor="text1"/>
                <w:sz w:val="22"/>
              </w:rPr>
            </w:pPr>
            <w:r w:rsidRPr="002048FB">
              <w:rPr>
                <w:rFonts w:cs="Times New Roman"/>
                <w:color w:val="000000" w:themeColor="text1"/>
                <w:sz w:val="22"/>
              </w:rPr>
              <w:t>92</w:t>
            </w:r>
          </w:p>
        </w:tc>
      </w:tr>
      <w:tr w:rsidR="00171EB3" w:rsidRPr="002048FB" w:rsidTr="00D2305D">
        <w:trPr>
          <w:trHeight w:val="487"/>
          <w:jc w:val="center"/>
        </w:trPr>
        <w:tc>
          <w:tcPr>
            <w:tcW w:w="8169" w:type="dxa"/>
            <w:gridSpan w:val="11"/>
          </w:tcPr>
          <w:p w:rsidR="00171EB3" w:rsidRPr="002048FB" w:rsidRDefault="00171EB3" w:rsidP="00D2305D">
            <w:pPr>
              <w:pStyle w:val="ListParagraph"/>
              <w:numPr>
                <w:ilvl w:val="0"/>
                <w:numId w:val="11"/>
              </w:numPr>
              <w:jc w:val="left"/>
              <w:rPr>
                <w:rFonts w:cs="Times New Roman"/>
                <w:color w:val="000000" w:themeColor="text1"/>
                <w:sz w:val="22"/>
              </w:rPr>
            </w:pPr>
            <w:r w:rsidRPr="002048FB">
              <w:rPr>
                <w:rFonts w:cs="Times New Roman"/>
                <w:color w:val="000000" w:themeColor="text1"/>
                <w:sz w:val="22"/>
              </w:rPr>
              <w:t>Primary Outcome: Maternal and neonatal outcomes</w:t>
            </w:r>
          </w:p>
          <w:p w:rsidR="00171EB3" w:rsidRPr="002048FB" w:rsidRDefault="00171EB3" w:rsidP="00D2305D">
            <w:pPr>
              <w:pStyle w:val="ListParagraph"/>
              <w:numPr>
                <w:ilvl w:val="0"/>
                <w:numId w:val="11"/>
              </w:numPr>
              <w:jc w:val="left"/>
              <w:rPr>
                <w:rFonts w:cs="Times New Roman"/>
                <w:color w:val="000000" w:themeColor="text1"/>
                <w:sz w:val="22"/>
              </w:rPr>
            </w:pPr>
            <w:r w:rsidRPr="002048FB">
              <w:rPr>
                <w:rFonts w:cs="Times New Roman"/>
                <w:color w:val="000000" w:themeColor="text1"/>
                <w:sz w:val="22"/>
              </w:rPr>
              <w:t>Main Conclusion: Currently, there are low rates of maternal and neonatal mortality as well as ICU admissions associated with COVID-19.</w:t>
            </w:r>
          </w:p>
        </w:tc>
      </w:tr>
      <w:tr w:rsidR="00171EB3" w:rsidRPr="002048FB" w:rsidTr="00D2305D">
        <w:trPr>
          <w:trHeight w:val="487"/>
          <w:jc w:val="center"/>
        </w:trPr>
        <w:tc>
          <w:tcPr>
            <w:tcW w:w="8169" w:type="dxa"/>
            <w:gridSpan w:val="11"/>
          </w:tcPr>
          <w:p w:rsidR="00171EB3" w:rsidRPr="002048FB" w:rsidRDefault="00171EB3" w:rsidP="00D2305D">
            <w:pPr>
              <w:jc w:val="center"/>
              <w:rPr>
                <w:rFonts w:cs="Times New Roman"/>
                <w:b/>
                <w:bCs/>
                <w:color w:val="000000" w:themeColor="text1"/>
                <w:sz w:val="22"/>
              </w:rPr>
            </w:pPr>
            <w:r w:rsidRPr="002048FB">
              <w:rPr>
                <w:rFonts w:cs="Times New Roman"/>
                <w:b/>
                <w:bCs/>
                <w:color w:val="000000" w:themeColor="text1"/>
                <w:sz w:val="22"/>
              </w:rPr>
              <w:t>COVID-19 and ARDS</w:t>
            </w:r>
          </w:p>
        </w:tc>
      </w:tr>
      <w:tr w:rsidR="00171EB3" w:rsidRPr="002048FB" w:rsidTr="00D2305D">
        <w:trPr>
          <w:trHeight w:val="487"/>
          <w:jc w:val="center"/>
        </w:trPr>
        <w:tc>
          <w:tcPr>
            <w:tcW w:w="1361"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{"citationItems":[{"id":"ITEM-1","itemData":{"DOI":"10.7759/cureus.8188","ISSN":"2168-8184","abstract":"The outbreak of coronavirus disease 2019 (COVID-19) was declared a global pandemic after it spread to 213 countries and has the highest total number of cases worldwide. About 80% of COVID-19 infections are mild or asymptomatic and never require hospitalization but about 5% of patients become critically ill and develop acute respiratory distress syndrome (ARDS). The widely used management for ARDS in COVID-19 has been in line with the standard approach, but the need to adjust the treatment protocols has been questioned based on the reports of higher mortality risk among those requiring mechanical ventilation. Treatment options for this widespread disease are limited and there are no definitive therapies or vaccines until now. Although some antimalarial and antiviral drugs may prove effective against severe acute respiratory syndrome coronavirus 2 (SARS-CoV-2), their safety and efficacy are still under clinical trials. We conducted a systematic review of case reports on ARDS in SARS-CoV-2 infection to summarize the clinical presentation, laboratory and chest imaging findings, management protocols, and outcome of ARDS in COVID-19-positive patients. We need more data and established studies for the effective management of the novel SARS-CoV-2 and to reduce mortality in high-risk patients.","author":[{"dropping-particle":"","family":"Baksh","given":"Mizba","non-dropping-particle":"","parse-names":false,"suffix":""},{"dropping-particle":"","family":"Ravat","given":"Virendrasinh","non-dropping-particle":"","parse-names":false,"suffix":""},{"dropping-particle":"","family":"Zaidi","given":"Annam","non-dropping-particle":"","parse-names":false,"suffix":""},{"dropping-particle":"","family":"Patel","given":"Rikinkumar S","non-dropping-particle":"","parse-names":false,"suffix":""}],"container-title":"Cureus","id":"ITEM-1","issue":"5","issued":{"date-parts":[["2020","5","18"]]},"publisher":"Cureus, Inc.","title":"A Systematic Review of Cases of Acute Respiratory Distress Syndrome in the Coronavirus Disease 2019 Pandemic","type":"article-journal","volume":"12"},"uris":["http://www.mendeley.com/documents/?uuid=502b090e-5403-320b-83d9-02e778055de4"]}],"mendeley":{"formattedCitation":"[95]","plainTextFormattedCitation":"[95]","previouslyFormattedCitation":"[94]"},"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[95]</w:t>
            </w:r>
            <w:r w:rsidRPr="002048FB">
              <w:rPr>
                <w:rFonts w:cs="Times New Roman"/>
                <w:color w:val="000000" w:themeColor="text1"/>
                <w:sz w:val="22"/>
              </w:rPr>
              <w:fldChar w:fldCharType="end"/>
            </w:r>
          </w:p>
        </w:tc>
        <w:tc>
          <w:tcPr>
            <w:tcW w:w="1362"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 xml:space="preserve">Acute Respiratory Distress Syndrome </w:t>
            </w:r>
          </w:p>
        </w:tc>
        <w:tc>
          <w:tcPr>
            <w:tcW w:w="1361"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December 1, 2019, to April 12, 2020</w:t>
            </w:r>
          </w:p>
        </w:tc>
        <w:tc>
          <w:tcPr>
            <w:tcW w:w="1362"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Systematic Review</w:t>
            </w:r>
          </w:p>
        </w:tc>
        <w:tc>
          <w:tcPr>
            <w:tcW w:w="1361"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4 case reports</w:t>
            </w:r>
          </w:p>
        </w:tc>
        <w:tc>
          <w:tcPr>
            <w:tcW w:w="1362"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6</w:t>
            </w:r>
          </w:p>
        </w:tc>
      </w:tr>
      <w:tr w:rsidR="00171EB3" w:rsidRPr="002048FB" w:rsidTr="00D2305D">
        <w:trPr>
          <w:trHeight w:val="487"/>
          <w:jc w:val="center"/>
        </w:trPr>
        <w:tc>
          <w:tcPr>
            <w:tcW w:w="8169" w:type="dxa"/>
            <w:gridSpan w:val="11"/>
          </w:tcPr>
          <w:p w:rsidR="00171EB3" w:rsidRPr="002048FB" w:rsidRDefault="00171EB3" w:rsidP="00D2305D">
            <w:pPr>
              <w:pStyle w:val="ListParagraph"/>
              <w:numPr>
                <w:ilvl w:val="0"/>
                <w:numId w:val="12"/>
              </w:numPr>
              <w:jc w:val="left"/>
              <w:rPr>
                <w:rFonts w:cs="Times New Roman"/>
                <w:color w:val="000000" w:themeColor="text1"/>
                <w:sz w:val="22"/>
              </w:rPr>
            </w:pPr>
            <w:r w:rsidRPr="002048FB">
              <w:rPr>
                <w:rFonts w:cs="Times New Roman"/>
                <w:color w:val="000000" w:themeColor="text1"/>
                <w:sz w:val="22"/>
              </w:rPr>
              <w:t>Primary Outcome: ARDS in COVID-19-positive patients</w:t>
            </w:r>
          </w:p>
          <w:p w:rsidR="00171EB3" w:rsidRPr="002048FB" w:rsidRDefault="00171EB3" w:rsidP="00D2305D">
            <w:pPr>
              <w:pStyle w:val="ListParagraph"/>
              <w:numPr>
                <w:ilvl w:val="0"/>
                <w:numId w:val="12"/>
              </w:numPr>
              <w:jc w:val="left"/>
              <w:rPr>
                <w:rFonts w:cs="Times New Roman"/>
                <w:color w:val="000000" w:themeColor="text1"/>
                <w:sz w:val="22"/>
              </w:rPr>
            </w:pPr>
            <w:r w:rsidRPr="002048FB">
              <w:rPr>
                <w:rFonts w:cs="Times New Roman"/>
                <w:color w:val="000000" w:themeColor="text1"/>
                <w:sz w:val="22"/>
              </w:rPr>
              <w:t>Main conclusion: summarized the clinical presentation, laboratory and chest imaging findings, management protocols, and outcome of ARDS in COVID-19-positive patients</w:t>
            </w:r>
          </w:p>
        </w:tc>
      </w:tr>
      <w:tr w:rsidR="00171EB3" w:rsidRPr="002048FB" w:rsidTr="00D2305D">
        <w:trPr>
          <w:trHeight w:val="487"/>
          <w:jc w:val="center"/>
        </w:trPr>
        <w:tc>
          <w:tcPr>
            <w:tcW w:w="8169" w:type="dxa"/>
            <w:gridSpan w:val="11"/>
          </w:tcPr>
          <w:p w:rsidR="00171EB3" w:rsidRPr="002048FB" w:rsidRDefault="00171EB3" w:rsidP="00D2305D">
            <w:pPr>
              <w:jc w:val="center"/>
              <w:rPr>
                <w:rFonts w:cs="Times New Roman"/>
                <w:b/>
                <w:bCs/>
                <w:color w:val="000000" w:themeColor="text1"/>
                <w:sz w:val="22"/>
              </w:rPr>
            </w:pPr>
            <w:r w:rsidRPr="002048FB">
              <w:rPr>
                <w:rFonts w:cs="Times New Roman"/>
                <w:b/>
                <w:bCs/>
                <w:color w:val="000000" w:themeColor="text1"/>
                <w:sz w:val="22"/>
              </w:rPr>
              <w:t>COVID-19 and COPD</w:t>
            </w:r>
          </w:p>
        </w:tc>
      </w:tr>
      <w:tr w:rsidR="00171EB3" w:rsidRPr="002048FB" w:rsidTr="00D2305D">
        <w:trPr>
          <w:trHeight w:val="487"/>
          <w:jc w:val="center"/>
        </w:trPr>
        <w:tc>
          <w:tcPr>
            <w:tcW w:w="1224" w:type="dxa"/>
          </w:tcPr>
          <w:p w:rsidR="00171EB3" w:rsidRDefault="00171EB3" w:rsidP="00D2305D">
            <w:pPr>
              <w:jc w:val="left"/>
              <w:rPr>
                <w:rFonts w:cs="Times New Roman"/>
                <w:noProof/>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{"citationItems":[{"id":"ITEM-1","itemData":{"DOI":"10.1371/journal.pone.0233147","ISSN":"19326203","PMID":"32392262","abstract":"Background Coronavirus disease 2019 (COVID-19) is an evolving infectious disease that dramatically spread all over the world in the early part of 2020. No studies have yet summarized the potential severity and mortality risks caused by COVID-19 in patients with chronic obstructive pulmonary disease (COPD), and we update information in smokers. Methods We systematically searched electronic databases from inception to March 24, 2020. Data were extracted by two independent authors in accordance with the Preferred Reporting Items for Systematic Reviews and Meta-Analyses guidelines. Study quality was assessed using a modified version of the Newcastle-Ottawa Scale. We synthesized a narrative from eligible studies and conducted a meta-analysis using a random-effects model to calculate pooled prevalence rates and 95% confidence intervals (95%CI). Results In total, 123 abstracts were screened and 61 full-text manuscripts were reviewed. A total of 15 studies met the inclusion criteria, which included a total of 2473 confirmed COVID-19 patients. All studies were included in the meta-analysis. The crude case fatality rate of COVID-19 was 7.4%. The pooled prevalence rates of COPD patients and smokers in COVID-19 cases were 2% (95% CI, 1%-3%) and 9% (95% CI, 4%-14%) respectively. COPD patients were at a higher risk of more severe disease (risk of severity = 63%, (22/35) compared to patients without COPD 33.4% (409/1224) [calculated RR, 1.88 (95% CI, 1.4- 2.4)]. This was associated with higher mortality (60%). Our results showed that 22% (31/139) of current smokers and 46% (13/28) of ex-smokers had severe complications. The calculated RR showed that current smokers were 1.45 times more likely [95% CI: 1.03-2.04] to have severe complications compared to former and never smokers. Current smokers also had a higher mortality rate of 38.5%. Conclusion Although COPD prevalence in COVID-19 cases was low in current reports, COVID-19 infection was associated with substantial severity and mortality rates in COPD. Compared to former and never smokers, current smokers were at greater risk of severe complications and higher mortality rate. Effective preventive measures are required to reduce COVID-19 risk in COPD patients and current smokers.","author":[{"dropping-particle":"","family":"Alqahtani","given":"Jaber S.","non-dropping-particle":"","parse-names":false,"suffix":""},{"dropping-particle":"","family":"Oyelade","given":"Tope","non-dropping-particle":"","parse-names":false,"suffix":""},{"dropping-particle":"","family":"Aldhahir","given":"Abdulelah M.","non-dropping-particle":"","parse-names":false,"suffix":""},{"dropping-particle":"","family":"Alghamdi","given":"Saeed M.","non-dropping-particle":"","parse-names":false,"suffix":""},{"dropping-particle":"","family":"Almehmadi","given":"Mater","non-dropping-particle":"","parse-names":false,"suffix":""},{"dropping-particle":"","family":"Alqahtani","given":"Abdullah S.","non-dropping-particle":"","parse-names":false,"suffix":""},{"dropping-particle":"","family":"Quaderi","given":"Shumonta","non-dropping-particle":"","parse-names":false,"suffix":""},{"dropping-particle":"","family":"Mandal","given":"Swapna","non-dropping-particle":"","parse-names":false,"suffix":""},{"dropping-particle":"","family":"Hurst","given":"John R.","non-dropping-particle":"","parse-names":false,"suffix":""}],"container-title":"PLoS ONE","id":"ITEM-1","issue":"5","issued":{"date-parts":[["2020","5","1"]]},"publisher":"Public Library of Science","title":"Prevalence, severity and mortality associated with COPD and smoking in patients with COVID-19: A rapid systematic review and meta-analysis","type":"article","volume":"15"},"uris":["http://www.mendeley.com/documents/?uuid=a4fb4076-8ca2-30cf-ab71-e61ffb226fcf"]}],"mendeley":{"formattedCitation":"[48]","plainTextFormattedCitation":"[48]","previouslyFormattedCitation":"[47]"},"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[48]</w:t>
            </w:r>
            <w:r w:rsidRPr="002048FB">
              <w:rPr>
                <w:rFonts w:cs="Times New Roman"/>
                <w:color w:val="000000" w:themeColor="text1"/>
                <w:sz w:val="22"/>
              </w:rPr>
              <w:fldChar w:fldCharType="end"/>
            </w:r>
          </w:p>
          <w:p w:rsidR="00171EB3" w:rsidRPr="004C7F7C" w:rsidRDefault="00171EB3" w:rsidP="00D2305D">
            <w:pPr>
              <w:rPr>
                <w:rFonts w:cs="Times New Roman"/>
                <w:sz w:val="22"/>
              </w:rPr>
            </w:pP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 xml:space="preserve">Prevalence, Severity, and Mortality associated with COPD and Smoking in </w:t>
            </w:r>
            <w:r w:rsidRPr="002048FB">
              <w:rPr>
                <w:rFonts w:cs="Times New Roman"/>
                <w:color w:val="000000" w:themeColor="text1"/>
                <w:sz w:val="22"/>
              </w:rPr>
              <w:lastRenderedPageBreak/>
              <w:t>patients with COVID-19</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lastRenderedPageBreak/>
              <w:t>inception to March 24,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Systematic Review</w:t>
            </w:r>
          </w:p>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&amp; meta-analysis</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15 case studies</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2473</w:t>
            </w:r>
          </w:p>
        </w:tc>
      </w:tr>
      <w:tr w:rsidR="00171EB3" w:rsidRPr="002048FB" w:rsidTr="00D2305D">
        <w:trPr>
          <w:trHeight w:val="487"/>
          <w:jc w:val="center"/>
        </w:trPr>
        <w:tc>
          <w:tcPr>
            <w:tcW w:w="8169" w:type="dxa"/>
            <w:gridSpan w:val="11"/>
          </w:tcPr>
          <w:p w:rsidR="00171EB3" w:rsidRPr="002048FB" w:rsidRDefault="00171EB3" w:rsidP="00D2305D">
            <w:pPr>
              <w:pStyle w:val="ListParagraph"/>
              <w:numPr>
                <w:ilvl w:val="0"/>
                <w:numId w:val="13"/>
              </w:numPr>
              <w:jc w:val="left"/>
              <w:rPr>
                <w:rFonts w:cs="Times New Roman"/>
                <w:color w:val="000000" w:themeColor="text1"/>
                <w:sz w:val="22"/>
              </w:rPr>
            </w:pPr>
            <w:r w:rsidRPr="002048FB">
              <w:rPr>
                <w:rFonts w:cs="Times New Roman"/>
                <w:color w:val="000000" w:themeColor="text1"/>
                <w:sz w:val="22"/>
              </w:rPr>
              <w:t>Primary Outcome: Prevalence of COPD low, but COPD in COVID-19 patients are vulnerable, high risk of severe complications and death</w:t>
            </w:r>
          </w:p>
          <w:p w:rsidR="00171EB3" w:rsidRPr="002048FB" w:rsidRDefault="00171EB3" w:rsidP="00D2305D">
            <w:pPr>
              <w:pStyle w:val="ListParagraph"/>
              <w:numPr>
                <w:ilvl w:val="0"/>
                <w:numId w:val="13"/>
              </w:numPr>
              <w:jc w:val="left"/>
              <w:rPr>
                <w:rFonts w:cs="Times New Roman"/>
                <w:color w:val="000000" w:themeColor="text1"/>
                <w:sz w:val="22"/>
              </w:rPr>
            </w:pPr>
            <w:r w:rsidRPr="002048FB">
              <w:rPr>
                <w:rFonts w:cs="Times New Roman"/>
                <w:color w:val="000000" w:themeColor="text1"/>
                <w:sz w:val="22"/>
              </w:rPr>
              <w:t>Main Conclusion: COVID-19 infection was associated with substantial severity and mortality rates in COPD</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{"citationItems":[{"id":"ITEM-1","itemData":{"DOI":"10.1002/jmv.25889","ISSN":"0146-6615","abstract":"Aims: Comorbidities are associated with the severity of Coronavirus Disease 2019 (Covid-19). This meta-analysis aimed to explore the risk of severe Covid-19 in patients with pre-existing chronic obstructive pulmonary disease (COPD) and ongoing smoking history. Methods: A comprehensive systematic literature search was carried out to find studies published from December 2019 to 22nd March 2020 from 5 Database. The language of literature included English and Chinese. The point prevalence of severe Covid-19 in patients with pre-existing COPD and those with ongoing smoking was evaluated with this meta-analysis. Results: Overall 11 case-series, published either in Chinese or English language with a total of 2002 cases were included in the study. The pooled OR of COPD and the development of severe Covid-19 was 4.38 (Fixed effect model, 95% CI: 2.34-8.20), while the OR of ongoing smoking was 1.98 (Fixed effect model, 95% CI: 1.29-3.05). There was no publication bias as examined by the funnel plot and Egger's test (p=NS). The heterogeneity of included studies was moderate for both COPD and ongoing smoking history on the severity of Covid-19. Conclusions: COPD and ongoing smoking history attribute to the worse progression and outcome of Covid-19. This article is protected by copyright. All rights reserved.","author":[{"dropping-particle":"","family":"Zhao","given":"Qianwen","non-dropping-particle":"","parse-names":false,"suffix":""},{"dropping-particle":"","family":"Meng","given":"Meng","non-dropping-particle":"","parse-names":false,"suffix":""},{"dropping-particle":"","family":"Kumar","given":"Rahul","non-dropping-particle":"","parse-names":false,"suffix":""},{"dropping-particle":"","family":"Wu","given":"Yinlian","non-dropping-particle":"","parse-names":false,"suffix":""},{"dropping-particle":"","family":"Huang","given":"Jiaofeng","non-dropping-particle":"","parse-names":false,"suffix":""},{"dropping-particle":"","family":"Lian","given":"Ningfang","non-dropping-particle":"","parse-names":false,"suffix":""},{"dropping-particle":"","family":"Deng","given":"Yunlei","non-dropping-particle":"","parse-names":false,"suffix":""},{"dropping-particle":"","family":"Lin","given":"Su","non-dropping-particle":"","parse-names":false,"suffix":""}],"container-title":"Journal of Medical Virology","id":"ITEM-1","issued":{"date-parts":[["2020","5","17"]]},"page":"jmv.25889","publisher":"John Wiley and Sons Inc.","title":"The impact of COPD and smoking history on the severity of COVID‐19: A systemic review and meta‐analysis","type":"article-journal"},"uris":["http://www.mendeley.com/documents/?uuid=42b88c1e-79a7-3fff-ae93-b366736f81c0"]}],"mendeley":{"formattedCitation":"[47]","plainTextFormattedCitation":"[47]","previouslyFormattedCitation":"[46]"},"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[47]</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Impact of COPD &amp; Smoking history</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Dec 2019 – 22, March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Systematic Review</w:t>
            </w:r>
          </w:p>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&amp; meta-analysis</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11 case series</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2002</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14"/>
              </w:numPr>
              <w:jc w:val="left"/>
              <w:rPr>
                <w:rFonts w:cs="Times New Roman"/>
                <w:color w:val="000000" w:themeColor="text1"/>
                <w:sz w:val="22"/>
              </w:rPr>
            </w:pPr>
            <w:r w:rsidRPr="002048FB">
              <w:rPr>
                <w:rFonts w:cs="Times New Roman"/>
                <w:color w:val="000000" w:themeColor="text1"/>
                <w:sz w:val="22"/>
              </w:rPr>
              <w:t>Primary Outcome: Association of active smoking and COPD to COVID-19</w:t>
            </w:r>
          </w:p>
          <w:p w:rsidR="00171EB3" w:rsidRPr="002048FB" w:rsidRDefault="00171EB3" w:rsidP="00D2305D">
            <w:pPr>
              <w:pStyle w:val="ListParagraph"/>
              <w:numPr>
                <w:ilvl w:val="0"/>
                <w:numId w:val="14"/>
              </w:numPr>
              <w:jc w:val="left"/>
              <w:rPr>
                <w:rFonts w:cs="Times New Roman"/>
                <w:color w:val="000000" w:themeColor="text1"/>
                <w:sz w:val="22"/>
              </w:rPr>
            </w:pPr>
            <w:r w:rsidRPr="002048FB">
              <w:rPr>
                <w:rFonts w:cs="Times New Roman"/>
                <w:color w:val="000000" w:themeColor="text1"/>
                <w:sz w:val="22"/>
              </w:rPr>
              <w:t xml:space="preserve">Main Conclusion: COPD and ongoing smoking history </w:t>
            </w:r>
            <w:r>
              <w:rPr>
                <w:rFonts w:cs="Times New Roman"/>
                <w:color w:val="000000" w:themeColor="text1"/>
                <w:sz w:val="22"/>
              </w:rPr>
              <w:t xml:space="preserve">is </w:t>
            </w:r>
            <w:r w:rsidRPr="002048FB">
              <w:rPr>
                <w:rFonts w:cs="Times New Roman"/>
                <w:color w:val="000000" w:themeColor="text1"/>
                <w:sz w:val="22"/>
              </w:rPr>
              <w:t>attribut</w:t>
            </w:r>
            <w:r>
              <w:rPr>
                <w:rFonts w:cs="Times New Roman"/>
                <w:color w:val="000000" w:themeColor="text1"/>
                <w:sz w:val="22"/>
              </w:rPr>
              <w:t>able</w:t>
            </w:r>
            <w:r w:rsidRPr="002048FB">
              <w:rPr>
                <w:rFonts w:cs="Times New Roman"/>
                <w:color w:val="000000" w:themeColor="text1"/>
                <w:sz w:val="22"/>
              </w:rPr>
              <w:t xml:space="preserve"> to the worse progression and outcome of COVID‐19</w:t>
            </w:r>
          </w:p>
        </w:tc>
      </w:tr>
      <w:tr w:rsidR="00171EB3" w:rsidRPr="002048FB" w:rsidTr="00D2305D">
        <w:trPr>
          <w:trHeight w:val="487"/>
          <w:jc w:val="center"/>
        </w:trPr>
        <w:tc>
          <w:tcPr>
            <w:tcW w:w="8169" w:type="dxa"/>
            <w:gridSpan w:val="11"/>
          </w:tcPr>
          <w:p w:rsidR="00171EB3" w:rsidRPr="002048FB" w:rsidRDefault="00171EB3" w:rsidP="00D2305D">
            <w:pPr>
              <w:jc w:val="center"/>
              <w:rPr>
                <w:rFonts w:cs="Times New Roman"/>
                <w:b/>
                <w:bCs/>
                <w:color w:val="000000" w:themeColor="text1"/>
                <w:sz w:val="22"/>
              </w:rPr>
            </w:pPr>
            <w:r w:rsidRPr="002048FB">
              <w:rPr>
                <w:rFonts w:cs="Times New Roman"/>
                <w:b/>
                <w:bCs/>
                <w:color w:val="000000" w:themeColor="text1"/>
                <w:sz w:val="22"/>
              </w:rPr>
              <w:t>COVID-19 and Smoking</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{"citationItems":[{"id":"ITEM-1","itemData":{"DOI":"10.18332/TID/119324","PMID":"32206052","author":[{"dropping-particle":"","family":"Vardavas","given":"Constantine I.","non-dropping-particle":"","parse-names":false,"suffix":""},{"dropping-particle":"","family":"Nikitara","given":"Katerina","non-dropping-particle":"","parse-names":false,"suffix":""}],"container-title":"Tobacco Induced Diseases","id":"ITEM-1","issued":{"date-parts":[["2020"]]},"publisher":"The International Society for the Prevention of Tobacco Induced Diseases","title":"COVID-19 and smoking: A systematic review of the evidence","type":"article-journal","volume":"18"},"uris":["http://www.mendeley.com/documents/?uuid=890b965f-d221-4fdd-9a43-4eba50a71a1d"]}],"mendeley":{"formattedCitation":"[46]","plainTextFormattedCitation":"[46]","previouslyFormattedCitation":"[45]"},"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[46]</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smoking</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Until March 17,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Systematic Review</w:t>
            </w:r>
          </w:p>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&amp; meta-analysis</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5 case studies</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Ranging from 41 to 1099</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15"/>
              </w:numPr>
              <w:jc w:val="left"/>
              <w:rPr>
                <w:rFonts w:cs="Times New Roman"/>
                <w:color w:val="000000" w:themeColor="text1"/>
                <w:sz w:val="22"/>
              </w:rPr>
            </w:pPr>
            <w:r w:rsidRPr="002048FB">
              <w:rPr>
                <w:rFonts w:cs="Times New Roman"/>
                <w:color w:val="000000" w:themeColor="text1"/>
                <w:sz w:val="22"/>
              </w:rPr>
              <w:t>Primary Outcome: Association of smoking and disease outcomes</w:t>
            </w:r>
          </w:p>
          <w:p w:rsidR="00171EB3" w:rsidRPr="002048FB" w:rsidRDefault="00171EB3" w:rsidP="00D2305D">
            <w:pPr>
              <w:pStyle w:val="ListParagraph"/>
              <w:numPr>
                <w:ilvl w:val="0"/>
                <w:numId w:val="15"/>
              </w:numPr>
              <w:jc w:val="left"/>
              <w:rPr>
                <w:rFonts w:cs="Times New Roman"/>
                <w:color w:val="000000" w:themeColor="text1"/>
                <w:sz w:val="22"/>
              </w:rPr>
            </w:pPr>
            <w:r w:rsidRPr="002048FB">
              <w:rPr>
                <w:rFonts w:cs="Times New Roman"/>
                <w:color w:val="000000" w:themeColor="text1"/>
                <w:sz w:val="22"/>
              </w:rPr>
              <w:t>Main conclusion: smoking is most likely associated with the negative progression and adverse outcomes of the disease</w:t>
            </w:r>
          </w:p>
        </w:tc>
      </w:tr>
      <w:tr w:rsidR="00171EB3" w:rsidRPr="002048FB" w:rsidTr="00D2305D">
        <w:trPr>
          <w:trHeight w:val="487"/>
          <w:jc w:val="center"/>
        </w:trPr>
        <w:tc>
          <w:tcPr>
            <w:tcW w:w="8169" w:type="dxa"/>
            <w:gridSpan w:val="11"/>
          </w:tcPr>
          <w:p w:rsidR="00171EB3" w:rsidRPr="002048FB" w:rsidRDefault="00171EB3" w:rsidP="00D2305D">
            <w:pPr>
              <w:jc w:val="center"/>
              <w:rPr>
                <w:rFonts w:cs="Times New Roman"/>
                <w:b/>
                <w:bCs/>
                <w:color w:val="000000" w:themeColor="text1"/>
                <w:sz w:val="22"/>
              </w:rPr>
            </w:pPr>
            <w:bookmarkStart w:id="1" w:name="_Hlk49294617"/>
            <w:r w:rsidRPr="002048FB">
              <w:rPr>
                <w:rFonts w:cs="Times New Roman"/>
                <w:b/>
                <w:bCs/>
                <w:color w:val="000000" w:themeColor="text1"/>
                <w:sz w:val="22"/>
              </w:rPr>
              <w:t>COVID-19 and Mental Health</w:t>
            </w:r>
          </w:p>
        </w:tc>
      </w:tr>
      <w:bookmarkEnd w:id="1"/>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{"citationItems":[{"id":"ITEM-1","itemData":{"DOI":"10.1016/j.ajp.2020.102066","ISSN":"18762026","PMID":"32302935","abstract":"The COVID-19 pandemic is a major health crisis affecting several nations, with over 720,000 cases and 33,000 confirmed deaths reported to date. Such widespread outbreaks are associated with adverse mental health consequences. Keeping this in mind, existing literature on the COVID-19 outbreak pertinent to mental health was retrieved via a literature search of the PubMed database. Published articles were classified according to their overall themes and summarized. Preliminary evidence suggests that symptoms of anxiety and depression (16–28%) and self-reported stress (8%) are common psychological reactions to the COVID-19 pandemic, and may be associated with disturbed sleep. A number of individual and structural variables moderate this risk. In planning services for such populations, both the needs of the concerned people and the necessary preventive guidelines must be taken into account. The available literature has emerged from only a few of the affected countries, and may not reflect the experience of persons living in other parts of the world. In conclusion, subsyndromal mental health problems are a common response to the COVID-19 pandemic. There is a need for more representative research from other affected countries, particularly in vulnerable populations.","author":[{"dropping-particle":"","family":"Rajkumar","given":"Ravi Philip","non-dropping-particle":"","parse-names":false,"suffix":""}],"container-title":"Asian Journal of Psychiatry","id":"ITEM-1","issued":{"date-parts":[["2020","8","1"]]},"page":"102066","publisher":"Elsevier B.V.","title":"COVID-19 and mental health: A review of the existing literature","type":"article-journal","volume":"52"},"uris":["http://www.mendeley.com/documents/?uuid=1d5bdc9b-d485-4460-8f60-a835e3c858d9"]}],"mendeley":{"formattedCitation":"[53]","plainTextFormattedCitation":"[53]","previouslyFormattedCitation":"[52]"},"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[53]</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COVID-19 and mental health</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Until March 30,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4 Cross-sectional &amp; Observational studies</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16"/>
              </w:numPr>
              <w:jc w:val="left"/>
              <w:rPr>
                <w:rFonts w:cs="Times New Roman"/>
                <w:color w:val="000000" w:themeColor="text1"/>
                <w:sz w:val="22"/>
              </w:rPr>
            </w:pPr>
            <w:r w:rsidRPr="002048FB">
              <w:rPr>
                <w:rFonts w:cs="Times New Roman"/>
                <w:color w:val="000000" w:themeColor="text1"/>
                <w:sz w:val="22"/>
              </w:rPr>
              <w:t>Primary Outcome: Mental health crisis during COVID-19</w:t>
            </w:r>
          </w:p>
          <w:p w:rsidR="00171EB3" w:rsidRPr="002048FB" w:rsidRDefault="00171EB3" w:rsidP="00D2305D">
            <w:pPr>
              <w:pStyle w:val="ListParagraph"/>
              <w:numPr>
                <w:ilvl w:val="0"/>
                <w:numId w:val="16"/>
              </w:numPr>
              <w:jc w:val="left"/>
              <w:rPr>
                <w:rFonts w:cs="Times New Roman"/>
                <w:color w:val="000000" w:themeColor="text1"/>
                <w:sz w:val="22"/>
              </w:rPr>
            </w:pPr>
            <w:r w:rsidRPr="002048FB">
              <w:rPr>
                <w:rFonts w:cs="Times New Roman"/>
                <w:color w:val="000000" w:themeColor="text1"/>
                <w:sz w:val="22"/>
              </w:rPr>
              <w:t>Main conclusion: subsyndromal mental health problems are a typical response to the COVID-19 pandemic, need for further research</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{"citationItems":[{"id":"ITEM-1","itemData":{"DOI":"10.1016/S2215-0366(20)30203-0","ISSN":"22150374","PMID":"32437679","abstract":"Background: Before the COVID-19 pandemic, coronaviruses caused two noteworthy outbreaks: severe acute respiratory syndrome (SARS), starting in 2002, and Middle East respiratory syndrome (MERS), starting in 2012. We aimed to assess the psychiatric and neuropsychiatric presentations of SARS, MERS, and COVID-19. Methods: In this systematic review and meta-analysis, MEDLINE, Embase, PsycINFO, and the Cumulative Index to Nursing and Allied Health Literature databases (from their inception until March 18, 2020), and medRxiv, bioRxiv, and PsyArXiv (between Jan 1, 2020, and April 10, 2020) were searched by two independent researchers for all English-language studies or preprints reporting data on the psychiatric and neuropsychiatric presentations of individuals with suspected or laboratory-confirmed coronavirus infection (SARS coronavirus, MERS coronavirus, or SARS coronavirus 2). We excluded studies limited to neurological complications without specified neuropsychiatric presentations and those investigating the indirect effects of coronavirus infections on the mental health of people who are not infected, such as those mediated through physical distancing measures such as self-isolation or quarantine. Outcomes were psychiatric signs or symptoms; symptom severity; diagnoses based on ICD-10, DSM-IV, or the Chinese Classification of Mental Disorders (third edition) or psychometric scales; quality of life; and employment. Both the systematic review and the meta-analysis stratified outcomes across illness stages (acute vs post-illness) for SARS and MERS. We used a random-effects model for the meta-analysis, and the meta-analytical effect size was prevalence for relevant outcomes, I2 statistics, and assessment of study quality. Findings: 1963 studies and 87 preprints were identified by the systematic search, of which 65 peer-reviewed studies and seven preprints met inclusion criteria. The number of coronavirus cases of the included studies was 3559, ranging from 1 to 997, and the mean age of participants in studies ranged from 12·2 years (SD 4·1) to 68·0 years (single case report). Studies were from China, Hong Kong, South Korea, Canada, Saudi Arabia, France, Japan, Singapore, the UK, and the USA. Follow-up time for the post-illness studies varied between 60 days and 12 years. The systematic review revealed that during the acute illness, common symptoms among patients admitted to hospital for SARS or MERS included confusion (36 [27·9%; 95% CI 20·5–36·0] of 129 pati…","author":[{"dropping-particle":"","family":"Rogers","given":"Jonathan P.","non-dropping-particle":"","parse-names":false,"suffix":""},{"dropping-particle":"","family":"Chesney","given":"Edward","non-dropping-particle":"","parse-names":false,"suffix":""},{"dropping-particle":"","family":"Oliver","given":"Dominic","non-dropping-particle":"","parse-names":false,"suffix":""},{"dropping-particle":"","family":"Pollak","given":"Thomas A.","non-dropping-particle":"","parse-names":false,"suffix":""},{"dropping-particle":"","family":"McGuire","given":"Philip","non-dropping-particle":"","parse-names":false,"suffix":""},{"dropping-particle":"","family":"Fusar-Poli","given":"Paolo","non-dropping-particle":"","parse-names":false,"suffix":""},{"dropping-particle":"","family":"Zandi","given":"Michael S.","non-dropping-particle":"","parse-names":false,"suffix":""},{"dropping-particle":"","family":"Lewis","given":"Glyn","non-dropping-particle":"","parse-names":false,"suffix":""},{"dropping-particle":"","family":"David","given":"Anthony S.","non-dropping-particle":"","parse-names":false,"suffix":""}],"container-title":"The Lancet Psychiatry","id":"ITEM-1","issue":"7","issued":{"date-parts":[["2020","7","1"]]},"publisher":"Elsevier Ltd","title":"Psychiatric and neuropsychiatric presentations associated with severe coronavirus infections: a systematic review and meta-analysis with comparison to the COVID-19 pandemic","type":"article-journal","volume":"7"},"uris":["http://www.mendeley.com/documents/?uuid=aaa277ce-bc08-355e-9a78-3e603d4f215d"]}],"mendeley":{"formattedCitation":"[96]","plainTextFormattedCitation":"[96]","previouslyFormattedCitation":"[95]"},"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[96]</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 xml:space="preserve">Psychiatric and neuropsychiatric effects on </w:t>
            </w:r>
            <w:r w:rsidRPr="002048FB">
              <w:rPr>
                <w:rFonts w:cs="Times New Roman"/>
                <w:color w:val="000000" w:themeColor="text1"/>
                <w:sz w:val="22"/>
              </w:rPr>
              <w:lastRenderedPageBreak/>
              <w:t>COVID-19 patients</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lastRenderedPageBreak/>
              <w:t>January 1- April 10,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Systematic Review</w:t>
            </w:r>
          </w:p>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lastRenderedPageBreak/>
              <w:t>&amp; meta-analysis</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lastRenderedPageBreak/>
              <w:t>79</w:t>
            </w:r>
            <w:r w:rsidRPr="002048FB">
              <w:rPr>
                <w:rFonts w:cs="Times New Roman"/>
                <w:sz w:val="22"/>
              </w:rPr>
              <w:t xml:space="preserve"> </w:t>
            </w:r>
            <w:r w:rsidRPr="002048FB">
              <w:rPr>
                <w:rFonts w:cs="Times New Roman"/>
                <w:color w:val="000000" w:themeColor="text1"/>
                <w:sz w:val="22"/>
              </w:rPr>
              <w:t xml:space="preserve">Case report, </w:t>
            </w:r>
            <w:r w:rsidRPr="002048FB">
              <w:rPr>
                <w:rFonts w:cs="Times New Roman"/>
                <w:color w:val="000000" w:themeColor="text1"/>
                <w:sz w:val="22"/>
              </w:rPr>
              <w:lastRenderedPageBreak/>
              <w:t>cohort studies</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lastRenderedPageBreak/>
              <w:t>3559</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17"/>
              </w:numPr>
              <w:jc w:val="left"/>
              <w:rPr>
                <w:rFonts w:cs="Times New Roman"/>
                <w:color w:val="000000" w:themeColor="text1"/>
                <w:sz w:val="22"/>
              </w:rPr>
            </w:pPr>
            <w:r w:rsidRPr="002048FB">
              <w:rPr>
                <w:rFonts w:cs="Times New Roman"/>
                <w:color w:val="000000" w:themeColor="text1"/>
                <w:sz w:val="22"/>
              </w:rPr>
              <w:t>Primary outcome: psychiatric signs or symptoms; symptom severity</w:t>
            </w:r>
          </w:p>
          <w:p w:rsidR="00171EB3" w:rsidRPr="002048FB" w:rsidRDefault="00171EB3" w:rsidP="00D2305D">
            <w:pPr>
              <w:pStyle w:val="ListParagraph"/>
              <w:numPr>
                <w:ilvl w:val="0"/>
                <w:numId w:val="17"/>
              </w:numPr>
              <w:jc w:val="left"/>
              <w:rPr>
                <w:rFonts w:cs="Times New Roman"/>
                <w:color w:val="000000" w:themeColor="text1"/>
                <w:sz w:val="22"/>
              </w:rPr>
            </w:pPr>
            <w:r w:rsidRPr="002048FB">
              <w:rPr>
                <w:rFonts w:cs="Times New Roman"/>
                <w:color w:val="000000" w:themeColor="text1"/>
                <w:sz w:val="22"/>
              </w:rPr>
              <w:t>Main conclusion: possibility of depression, anxiety, fatigue, post-traumatic stress disorder, and rarer neuropsychiatric syndromes in the longer term</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{"citationItems":[{"id":"ITEM-1","itemData":{"DOI":"10.1136/bmj.m1642","ISSN":"17561833","PMID":"32371466","abstract":"OBJECTIVE: To examine the psychological effects on clinicians of working to manage novel viral outbreaks, and successful measures to manage stress and psychological distress. DESIGN: Rapid review and meta-analysis. DATA SOURCES: Cochrane Central Register of Controlled Trials, PubMed/Medline, PsycInfo, Scopus, Web of Science, Embase, and Google Scholar, searched up to late March 2020. ELIGIBILITY CRITERIA FOR STUDY SELECTION: Any study that described the psychological reactions of healthcare staff working with patients in an outbreak of any emerging virus in any clinical setting, irrespective of any comparison with other clinicians or the general population. RESULTS: 59 papers met the inclusion criteria: 37 were of severe acute respiratory syndrome (SARS), eight of coronavirus disease 2019 (covid-19), seven of Middle East respiratory syndrome (MERS), three each of Ebola virus disease and influenza A virus subtype H1N1, and one of influenza A virus subtype H7N9. Of the 38 studies that compared psychological outcomes of healthcare workers in direct contact with affected patients, 25 contained data that could be combined in a pairwise meta-analysis comparing healthcare workers at high and low risk of exposure. Compared with lower risk controls, staff in contact with affected patients had greater levels of both acute or post-traumatic stress (odds ratio 1.71, 95% confidence interval 1.28 to 2.29) and psychological distress (1.74, 1.50 to 2.03), with similar results for continuous outcomes. These findings were the same as in the other studies not included in the meta-analysis. Risk factors for psychological distress included being younger, being more junior, being the parents of dependent children, or having an infected family member. Longer quarantine, lack of practical support, and stigma also contributed. Clear communication, access to adequate personal protection, adequate rest, and both practical and psychological support were associated with reduced morbidity. CONCLUSIONS: Effective interventions are available to help mitigate the psychological distress experienced by staff caring for patients in an emerging disease outbreak. These interventions were similar despite the wide range of settings and types of outbreaks covered in this review, and thus could be applicable to the current covid-19 outbreak.","author":[{"dropping-particle":"","family":"Kisely","given":"Steve","non-dropping-particle":"","parse-names":false,"suffix":""},{"dropping-particle":"","family":"Warren","given":"Nicola","non-dropping-particle":"","parse-names":false,"suffix":""},{"dropping-particle":"","family":"McMahon","given":"Laura","non-dropping-particle":"","parse-names":false,"suffix":""},{"dropping-particle":"","family":"Dalais","given":"Christine","non-dropping-particle":"","parse-names":false,"suffix":""},{"dropping-particle":"","family":"Henry","given":"Irene","non-dropping-particle":"","parse-names":false,"suffix":""},{"dropping-particle":"","family":"Siskind","given":"Dan","non-dropping-particle":"","parse-names":false,"suffix":""}],"container-title":"BMJ (Clinical research ed.)","id":"ITEM-1","issued":{"date-parts":[["2020","5","5"]]},"page":"m1642","publisher":"NLM (Medline)","title":"Occurrence, prevention, and management of the psychological effects of emerging virus outbreaks on healthcare workers: rapid review and meta-analysis","type":"article-journal","volume":"369"},"uris":["http://www.mendeley.com/documents/?uuid=f635a54b-cc96-3156-9973-c3b1ddbadb85"]}],"mendeley":{"formattedCitation":"[97]","plainTextFormattedCitation":"[97]","previouslyFormattedCitation":"[96]"},"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[97]</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Psychological effects of Covid-19 on healthcare workers</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up to late March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Rapid review &amp; meta-analysis</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59</w:t>
            </w:r>
            <w:r w:rsidRPr="002048FB">
              <w:rPr>
                <w:rFonts w:cs="Times New Roman"/>
                <w:sz w:val="22"/>
              </w:rPr>
              <w:t xml:space="preserve"> </w:t>
            </w:r>
            <w:r w:rsidRPr="002048FB">
              <w:rPr>
                <w:rFonts w:cs="Times New Roman"/>
                <w:color w:val="000000" w:themeColor="text1"/>
                <w:sz w:val="22"/>
              </w:rPr>
              <w:t>Cross-sectional, longitudinal studies</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18"/>
              </w:numPr>
              <w:jc w:val="left"/>
              <w:rPr>
                <w:rFonts w:cs="Times New Roman"/>
                <w:color w:val="000000" w:themeColor="text1"/>
                <w:sz w:val="22"/>
              </w:rPr>
            </w:pPr>
            <w:r w:rsidRPr="002048FB">
              <w:rPr>
                <w:rFonts w:cs="Times New Roman"/>
                <w:color w:val="000000" w:themeColor="text1"/>
                <w:sz w:val="22"/>
              </w:rPr>
              <w:t>Primary outcome: successful measures to manage stress and psychological distress</w:t>
            </w:r>
          </w:p>
          <w:p w:rsidR="00171EB3" w:rsidRPr="002048FB" w:rsidRDefault="00171EB3" w:rsidP="00D2305D">
            <w:pPr>
              <w:pStyle w:val="ListParagraph"/>
              <w:numPr>
                <w:ilvl w:val="0"/>
                <w:numId w:val="18"/>
              </w:numPr>
              <w:jc w:val="left"/>
              <w:rPr>
                <w:rFonts w:cs="Times New Roman"/>
                <w:color w:val="000000" w:themeColor="text1"/>
                <w:sz w:val="22"/>
              </w:rPr>
            </w:pPr>
            <w:r w:rsidRPr="002048FB">
              <w:rPr>
                <w:rFonts w:cs="Times New Roman"/>
                <w:color w:val="000000" w:themeColor="text1"/>
                <w:sz w:val="22"/>
              </w:rPr>
              <w:t>Main Conclusion: Effective interventions of previous outbreaks can help mitigate the psychological distress experienced by healthcare workers by staff caring for patients</w:t>
            </w:r>
          </w:p>
        </w:tc>
      </w:tr>
      <w:tr w:rsidR="00171EB3" w:rsidRPr="002048FB" w:rsidTr="00D2305D">
        <w:trPr>
          <w:trHeight w:val="478"/>
          <w:jc w:val="center"/>
        </w:trPr>
        <w:tc>
          <w:tcPr>
            <w:tcW w:w="8169" w:type="dxa"/>
            <w:gridSpan w:val="11"/>
          </w:tcPr>
          <w:p w:rsidR="00171EB3" w:rsidRPr="002048FB" w:rsidRDefault="00171EB3" w:rsidP="00D2305D">
            <w:pPr>
              <w:jc w:val="center"/>
              <w:rPr>
                <w:rFonts w:cs="Times New Roman"/>
                <w:color w:val="000000" w:themeColor="text1"/>
                <w:sz w:val="22"/>
              </w:rPr>
            </w:pPr>
            <w:r w:rsidRPr="002048FB">
              <w:rPr>
                <w:rFonts w:cs="Times New Roman"/>
                <w:b/>
                <w:bCs/>
                <w:color w:val="000000" w:themeColor="text1"/>
                <w:sz w:val="22"/>
              </w:rPr>
              <w:t>COVID-19 and Diabetes</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{"citationItems":[{"id":"ITEM-1","itemData":{"DOI":"10.1016/j.dsx.2020.04.004","ISSN":"18780334","PMID":"32298981","abstract":"Background and aims: High prevalence of diabetes makes it an important comorbidity in patients with COVID-19. We sought to review and analyze the data regarding the association between diabetes and COVID-19, pathophysiology of the disease in diabetes and management of patients with diabetes who develop COVID-19 infection. Methods: PubMed database and Google Scholar were searched using the key terms ‘COVID-19’, ‘SARS-CoV-2’, ‘diabetes’, ‘antidiabetic therapy’ up to April 2, 2020. Full texts of the retrieved articles were accessed. Results: There is evidence of increased incidence and severity of COVID-19 in patients with diabetes. COVID-19 could have effect on the pathophysiology of diabetes. Blood glucose control is important not only for patients who are infected with COVID-19, but also for those without the disease. Innovations like telemedicine are useful to treat patients with diabetes in today's times.","author":[{"dropping-particle":"","family":"Singh","given":"Awadhesh Kumar","non-dropping-particle":"","parse-names":false,"suffix":""},{"dropping-particle":"","family":"Gupta","given":"Ritesh","non-dropping-particle":"","parse-names":false,"suffix":""},{"dropping-particle":"","family":"Ghosh","given":"Amerta","non-dropping-particle":"","parse-names":false,"suffix":""},{"dropping-particle":"","family":"Misra","given":"Anoop","non-dropping-particle":"","parse-names":false,"suffix":""}],"container-title":"Diabetes and Metabolic Syndrome: Clinical Research and Reviews","id":"ITEM-1","issue":"4","issued":{"date-parts":[["2020","7","1"]]},"page":"303-310","publisher":"Elsevier Ltd","title":"Diabetes in COVID-19: Prevalence, pathophysiology, prognosis and practical considerations","type":"article-journal","volume":"14"},"uris":["http://www.mendeley.com/documents/?uuid=01d97555-5606-41d9-a474-bc058ceace75"]}],"mendeley":{"formattedCitation":"[25]","plainTextFormattedCitation":"[25]","previouslyFormattedCitation":"[24]"},"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[25]</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Association with diabetes</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up to April 2,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11 case studies</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Varied range</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19"/>
              </w:numPr>
              <w:jc w:val="left"/>
              <w:rPr>
                <w:rFonts w:cs="Times New Roman"/>
                <w:color w:val="000000" w:themeColor="text1"/>
                <w:sz w:val="22"/>
              </w:rPr>
            </w:pPr>
            <w:r w:rsidRPr="002048FB">
              <w:rPr>
                <w:rFonts w:cs="Times New Roman"/>
                <w:color w:val="000000" w:themeColor="text1"/>
                <w:sz w:val="22"/>
              </w:rPr>
              <w:t>Primary Outcome: Prevalence, pathophysiology, prognosis, and practical considerations</w:t>
            </w:r>
          </w:p>
          <w:p w:rsidR="00171EB3" w:rsidRPr="002048FB" w:rsidRDefault="00171EB3" w:rsidP="00D2305D">
            <w:pPr>
              <w:pStyle w:val="ListParagraph"/>
              <w:numPr>
                <w:ilvl w:val="0"/>
                <w:numId w:val="19"/>
              </w:numPr>
              <w:jc w:val="left"/>
              <w:rPr>
                <w:rFonts w:cs="Times New Roman"/>
                <w:color w:val="000000" w:themeColor="text1"/>
                <w:sz w:val="22"/>
              </w:rPr>
            </w:pPr>
            <w:r w:rsidRPr="002048FB">
              <w:rPr>
                <w:rFonts w:cs="Times New Roman"/>
                <w:color w:val="000000" w:themeColor="text1"/>
                <w:sz w:val="22"/>
              </w:rPr>
              <w:t>Main conclusion: increased incidence and severity of COVID-19 in patients with diabetes</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{"citationItems":[{"id":"ITEM-1","itemData":{"DOI":"10.1016/j.dsx.2020.04.018","ISSN":"18780334","PMID":"32334395","abstract":"Background and aims: Diabetes Mellitus (DM) is chronic conditions with devastating multi-systemic complication and may be associated with severe form of Coronavirus Disease 2019 (COVID-19). We conducted a systematic review and meta-analysis in order to investigate the association between DM and poor outcome in patients with COVID-19 pneumonia. Methods: Systematic literature search was performed from several electronic databases on subjects that assess DM and outcome in COVID-19 pneumonia. The outcome of interest was composite poor outcome, including mortality, severe COVID-19, acute respiratory distress syndrome (ARDS), need for intensive care unit (ICU) care, and disease progression. Results: There were a total of 6452 patients from 30 studies. Meta-analysis showed that DM was associated with composite poor outcome (RR 2.38 [1.88, 3.03], p &lt; 0.001; I2: 62%) and its subgroup which comprised of mortality (RR 2.12 [1.44, 3.11], p &lt; 0.001; I2: 72%), severe COVID-19 (RR 2.45 [1.79, 3.35], p &lt; 0.001; I2: 45%), ARDS (RR 4.64 [1.86, 11.58], p = 0.001; I2: 9%), and disease progression (RR 3.31 [1.08, 10.14], p = 0.04; I2: 0%). Meta-regression showed that the association with composite poor outcome was influenced by age (p = 0.003) and hypertension (p &lt; 0.001). Subgroup analysis showed that the association was weaker in studies with median age ≥55 years-old (RR 1.92) compared to &lt;55 years-old (RR 3.48), and in prevalence of hypertension ≥25% (RR 1.93) compared to &lt;25% (RR 3.06). Subgroup analysis on median age &lt;55 years-old and prevalence of hypertension &lt;25% showed strong association (RR 3.33) Conclusion: DM was associated with mortality, severe COVID-19, ARDS, and disease progression in patients with COVID-19.","author":[{"dropping-particle":"","family":"Huang","given":"Ian","non-dropping-particle":"","parse-names":false,"suffix":""},{"dropping-particle":"","family":"Lim","given":"Michael Anthonius","non-dropping-particle":"","parse-names":false,"suffix":""},{"dropping-particle":"","family":"Pranata","given":"Raymond","non-dropping-particle":"","parse-names":false,"suffix":""}],"container-title":"Diabetes and Metabolic Syndrome: Clinical Research and Reviews","id":"ITEM-1","issue":"4","issued":{"date-parts":[["2020","7","1"]]},"page":"395-403","publisher":"Elsevier Ltd","title":"Diabetes mellitus is associated with increased mortality and severity of disease in COVID-19 pneumonia – A systematic review, meta-analysis, and meta-regression: Diabetes and COVID-19","type":"article-journal","volume":"14"},"uris":["http://www.mendeley.com/documents/?uuid=7df04255-27cc-4cb1-a250-a45ad1c4ed10"]}],"mendeley":{"formattedCitation":"[27]","plainTextFormattedCitation":"[27]","previouslyFormattedCitation":"[26]"},"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[27]</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 xml:space="preserve">Association of diabetes with severity and mortality of COVID-19 </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April 17,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Systematic Review &amp; meta-analysis</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30 case studies</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6452</w:t>
            </w:r>
          </w:p>
        </w:tc>
      </w:tr>
      <w:tr w:rsidR="00171EB3" w:rsidRPr="002048FB" w:rsidTr="00D2305D">
        <w:trPr>
          <w:trHeight w:val="478"/>
          <w:jc w:val="center"/>
        </w:trPr>
        <w:tc>
          <w:tcPr>
            <w:tcW w:w="8169" w:type="dxa"/>
            <w:gridSpan w:val="11"/>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w:t>
            </w:r>
            <w:r w:rsidRPr="002048FB">
              <w:rPr>
                <w:rFonts w:cs="Times New Roman"/>
                <w:color w:val="000000" w:themeColor="text1"/>
                <w:sz w:val="22"/>
              </w:rPr>
              <w:tab/>
              <w:t>Primary Outcome: poor composite outcome, including mortality, severe COVID-19, acute respiratory distress syndrome (ARDS), need for intensive care unit (ICU) care, and disease progression.</w:t>
            </w:r>
          </w:p>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w:t>
            </w:r>
            <w:r w:rsidRPr="002048FB">
              <w:rPr>
                <w:rFonts w:cs="Times New Roman"/>
                <w:color w:val="000000" w:themeColor="text1"/>
                <w:sz w:val="22"/>
              </w:rPr>
              <w:tab/>
              <w:t>Main Conclusion: DM was associated with mortality, severe COVID-19, ARDS, and disease progression in patients with COVID-19.</w:t>
            </w:r>
          </w:p>
        </w:tc>
      </w:tr>
      <w:tr w:rsidR="00171EB3" w:rsidRPr="002048FB" w:rsidTr="00D2305D">
        <w:trPr>
          <w:trHeight w:val="478"/>
          <w:jc w:val="center"/>
        </w:trPr>
        <w:tc>
          <w:tcPr>
            <w:tcW w:w="8169" w:type="dxa"/>
            <w:gridSpan w:val="11"/>
          </w:tcPr>
          <w:p w:rsidR="00171EB3" w:rsidRPr="002048FB" w:rsidRDefault="00171EB3" w:rsidP="00D2305D">
            <w:pPr>
              <w:jc w:val="center"/>
              <w:rPr>
                <w:rFonts w:cs="Times New Roman"/>
                <w:b/>
                <w:bCs/>
                <w:color w:val="000000" w:themeColor="text1"/>
                <w:sz w:val="22"/>
              </w:rPr>
            </w:pPr>
            <w:r w:rsidRPr="002048FB">
              <w:rPr>
                <w:rFonts w:cs="Times New Roman"/>
                <w:b/>
                <w:bCs/>
                <w:color w:val="000000" w:themeColor="text1"/>
                <w:sz w:val="22"/>
              </w:rPr>
              <w:t>COVID-19 and Thyroid</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lastRenderedPageBreak/>
              <w:fldChar w:fldCharType="begin" w:fldLock="1"/>
            </w:r>
            <w:r>
              <w:rPr>
                <w:rFonts w:cs="Times New Roman"/>
                <w:color w:val="000000" w:themeColor="text1"/>
                <w:sz w:val="22"/>
              </w:rPr>
              <w:instrText>ADDIN CSL_CITATION {"citationItems":[{"id":"ITEM-1","itemData":{"DOI":"10.1007/s12020-020-02364-8","abstract":"The novel coronavirus disease COVID-19 is produced by SARS-CoV-2. WHO has declared COVID-19 as a public health emergency, with the most susceptible populations (requiring ventilation) being the elderly, pregnant women and people with associated co-morbidities including heart failure, uncontrolled diabetes, chronic obstructive pulmonary disease, asthma and cancer. However, such general guidance does not provide information regarding COVID-19 risks in patients with suffering from pre-existing thyroid problems, and furthermore, we do not know whether patients with COVID-19 (symptomatic or without symptoms), who have not previously had thyroid issues develop endocrine thyroid dysfunction after infection. The European Society for Endocrinology recently published a statement on COVID-19 and endocrine diseases (Endocrine, 2020); however, thyroid diseases were not mentioned specifically. We have therefore reviewed the current literature on thyroid diseases (excluding cancer) and COVID-19, including data from the previous coronavirus pandemic caused by the SARS-associated coronavirus (SARS-CoV), a member of the same family Coronaviridae leading to severe acute respiratory syndrome (SARS). At the moment there are no data suggesting that thyroid patients are at higher risk of COVID-19, but this requites further research and data analysis.","author":[{"dropping-particle":"","family":"Dworakowska","given":"Dorota","non-dropping-particle":"","parse-names":false,"suffix":""},{"dropping-particle":"","family":"Grossman","given":"Ashley B","non-dropping-particle":"","parse-names":false,"suffix":""}],"container-title":"Endocrine","id":"ITEM-1","issued":{"date-parts":[["2020"]]},"page":"471-474","title":"Thyroid disease in the time of COVID-19","type":"article-journal","volume":"68"},"uris":["http://www.mendeley.com/documents/?uuid=36203e40-9b68-3e16-804e-e3546b40622a"]}],"mendeley":{"formattedCitation":"[42]","plainTextFormattedCitation":"[42]","previouslyFormattedCitation":"[41]"},"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[42]</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Association with thyroid disease</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June 7,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r>
      <w:tr w:rsidR="00171EB3" w:rsidRPr="002048FB" w:rsidTr="00D2305D">
        <w:trPr>
          <w:trHeight w:val="478"/>
          <w:jc w:val="center"/>
        </w:trPr>
        <w:tc>
          <w:tcPr>
            <w:tcW w:w="8169" w:type="dxa"/>
            <w:gridSpan w:val="11"/>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w:t>
            </w:r>
            <w:r w:rsidRPr="002048FB">
              <w:rPr>
                <w:rFonts w:cs="Times New Roman"/>
                <w:color w:val="000000" w:themeColor="text1"/>
                <w:sz w:val="22"/>
              </w:rPr>
              <w:tab/>
              <w:t>Primary Outcome: AITD and Covid-19</w:t>
            </w:r>
          </w:p>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w:t>
            </w:r>
            <w:r w:rsidRPr="002048FB">
              <w:rPr>
                <w:rFonts w:cs="Times New Roman"/>
                <w:color w:val="000000" w:themeColor="text1"/>
                <w:sz w:val="22"/>
              </w:rPr>
              <w:tab/>
              <w:t xml:space="preserve">Main Conclusion: no available data suggesting that Association with thyroid disease </w:t>
            </w:r>
            <w:r>
              <w:rPr>
                <w:rFonts w:cs="Times New Roman"/>
                <w:color w:val="000000" w:themeColor="text1"/>
                <w:sz w:val="22"/>
              </w:rPr>
              <w:t>(</w:t>
            </w:r>
            <w:r w:rsidRPr="002048FB">
              <w:rPr>
                <w:rFonts w:cs="Times New Roman"/>
                <w:color w:val="000000" w:themeColor="text1"/>
                <w:sz w:val="22"/>
              </w:rPr>
              <w:t>AITD</w:t>
            </w:r>
            <w:r>
              <w:rPr>
                <w:rFonts w:cs="Times New Roman"/>
                <w:color w:val="000000" w:themeColor="text1"/>
                <w:sz w:val="22"/>
              </w:rPr>
              <w:t>)</w:t>
            </w:r>
            <w:r w:rsidRPr="002048FB">
              <w:rPr>
                <w:rFonts w:cs="Times New Roman"/>
                <w:color w:val="000000" w:themeColor="text1"/>
                <w:sz w:val="22"/>
              </w:rPr>
              <w:t xml:space="preserve"> patients are at higher risk of COVID-19, but this requires further research and data analysis</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{"citationItems":[{"id":"ITEM-1","itemData":{"DOI":"10.1530/eje-20-0445","ISSN":"0804-4643","PMID":"32438340","abstract":"This manuscript provides guidance on the management of thyroid dysfunction during the COVID-19 pandemic. Auto-immune thyroid diseases are not linked to increased risks of COVID-19. Uncontrolled thyrotoxicosis may result in more severe complications from SARS-CoV-2 infection, including thyroid storm.The management of patients with a new diagnosis of hyperthyroidism is best undertaken with a block and replace regimen due to limited biochemical testing availability. Antithyroid drug (ATD)-induced neutropenia may favour the progression of COVID-19 and symptoms of infection may be confused with SARS-CoV-2 infection. The withdrawal of ATDs and urgent measurement of neutrophils should be considered in case of flu-like manifestations occurring in the initial months of treatment. Urgent surgery or 131-I may be undertaken in selected cases of uncontrolled thyrotoxicosis. Patients with COVID-19 infection may present with conjunctivitis, which could cause diagnostic difficulties in patients with new or existing Graves’ ophthalmopathy.Patients who are on replacement treatment with thyroid hormones should ensure they have sufficient supply of medication. The usual advice to increase dosage of levothyroxine during pregnancy should be adhered to.Many newly presenting and previously diagnosed patients with thyroid dysfunction can be managed through virtual telephone or video clinics supported by a dedicated nurse-led service, depending on available facilities.","author":[{"dropping-particle":"","family":"Boelaert","given":"Kristien","non-dropping-particle":"","parse-names":false,"suffix":""},{"dropping-particle":"","family":"Visser","given":"W. Edward","non-dropping-particle":"","parse-names":false,"suffix":""},{"dropping-particle":"","family":"Taylor","given":"Peter Nicholas","non-dropping-particle":"","parse-names":false,"suffix":""},{"dropping-particle":"","family":"Moran","given":"Carla","non-dropping-particle":"","parse-names":false,"suffix":""},{"dropping-particle":"","family":"Leger","given":"Juliane","non-dropping-particle":"","parse-names":false,"suffix":""},{"dropping-particle":"","family":"Persani","given":"Luca","non-dropping-particle":"","parse-names":false,"suffix":""}],"container-title":"European Journal of Endocrinology","id":"ITEM-1","issue":"1","issued":{"date-parts":[["2020","5","19"]]},"page":"G33-G39","publisher":"Bioscientifica","title":"Endocrinology in the time of COVID-19: Management of hyper- and hypo- thyroidism.","type":"article-journal","volume":"183"},"uris":["http://www.mendeley.com/documents/?uuid=f28b7739-492a-3c4d-8d74-180eb3bae038"]}],"mendeley":{"formattedCitation":"[45]","plainTextFormattedCitation":"[45]","previouslyFormattedCitation":"[44]"},"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[45]</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 xml:space="preserve">hyperthyroidism and hypothyroidism during COVID -19 </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July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r>
      <w:tr w:rsidR="00171EB3" w:rsidRPr="002048FB" w:rsidTr="00D2305D">
        <w:trPr>
          <w:trHeight w:val="478"/>
          <w:jc w:val="center"/>
        </w:trPr>
        <w:tc>
          <w:tcPr>
            <w:tcW w:w="8169" w:type="dxa"/>
            <w:gridSpan w:val="11"/>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w:t>
            </w:r>
            <w:r w:rsidRPr="002048FB">
              <w:rPr>
                <w:rFonts w:cs="Times New Roman"/>
                <w:color w:val="000000" w:themeColor="text1"/>
                <w:sz w:val="22"/>
              </w:rPr>
              <w:tab/>
              <w:t>Primary Outcome: Managements of thyroid patients</w:t>
            </w:r>
          </w:p>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w:t>
            </w:r>
            <w:r w:rsidRPr="002048FB">
              <w:rPr>
                <w:rFonts w:cs="Times New Roman"/>
                <w:color w:val="000000" w:themeColor="text1"/>
                <w:sz w:val="22"/>
              </w:rPr>
              <w:tab/>
              <w:t>Main Conclusion: Detailed guidelines and resources</w:t>
            </w:r>
          </w:p>
        </w:tc>
      </w:tr>
      <w:tr w:rsidR="00171EB3" w:rsidRPr="002048FB" w:rsidTr="00D2305D">
        <w:trPr>
          <w:trHeight w:val="478"/>
          <w:jc w:val="center"/>
        </w:trPr>
        <w:tc>
          <w:tcPr>
            <w:tcW w:w="8169" w:type="dxa"/>
            <w:gridSpan w:val="11"/>
          </w:tcPr>
          <w:p w:rsidR="00171EB3" w:rsidRPr="002048FB" w:rsidRDefault="00171EB3" w:rsidP="00D2305D">
            <w:pPr>
              <w:jc w:val="center"/>
              <w:rPr>
                <w:rFonts w:cs="Times New Roman"/>
                <w:b/>
                <w:bCs/>
                <w:color w:val="000000" w:themeColor="text1"/>
                <w:sz w:val="22"/>
              </w:rPr>
            </w:pPr>
            <w:r w:rsidRPr="002048FB">
              <w:rPr>
                <w:rFonts w:cs="Times New Roman"/>
                <w:b/>
                <w:bCs/>
                <w:color w:val="000000" w:themeColor="text1"/>
                <w:sz w:val="22"/>
              </w:rPr>
              <w:t>COVID-19 and Obesity</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{"citationItems":[{"id":"ITEM-1","itemData":{"DOI":"10.1016/j.dsx.2020.05.020","ISSN":"18780334","PMID":"32438328","abstract":"Background and aims: COVID-19 is an emerging pandemic due to droplet infection of 2019-novel coronavirus (2019-nCoV). Due to its rapid transmission and high case-fatality rate, recognition of its risk and prognostic factor is important. Obesity has been associated with impaired immune system, increasing the susceptibility for 2019-nCoV infection. We aimed to study the impact of obesity to the prognosis and disease severity of COVID-19. Methods: A systematic search and handsearching was conducted in four databases: Cochrane, MEDLINE, EMBASE, and PubMed. The identified articles were screened using the chosen eligibility criteria. We obtained three retrospective cohort studies (Wu J et al., Lighter J et al., and Simonnet A et al.) to be critically appraised using Newcastle Ottawa Scale. Results: The findings of all included studies were consistent in stating the contribution of obesity as a risk factor to increase the requirement for advanced medical care. Study with the highest quality, Simonnet A et al., reported an increase need of invasive mechanical ventilation in COVID-19 patients with body mass index higher than 35 kg/m2, OR: 7.36 (1.63–33.14; p = 0.021). This is associated with a higher mortality rate in obese population infected with COVID-19. Conclusion: Obesity is an independent risk and prognostic factor for the disease severity and the requirement of advanced medical care in COVID-19. This systematic review highlights a particularly vulnerable group – obese, and emphasises on the importance of treatment aggression and disease prevention in this population group.","author":[{"dropping-particle":"","family":"Tamara","given":"Alice","non-dropping-particle":"","parse-names":false,"suffix":""},{"dropping-particle":"","family":"Tahapary","given":"Dicky L.","non-dropping-particle":"","parse-names":false,"suffix":""}],"container-title":"Diabetes and Metabolic Syndrome: Clinical Research and Reviews","id":"ITEM-1","issue":"4","issued":{"date-parts":[["2020","7","1"]]},"page":"655-659","publisher":"Elsevier Ltd","title":"Obesity as a predictor for a poor prognosis of COVID-19: A systematic review","type":"article-journal","volume":"14"},"uris":["http://www.mendeley.com/documents/?uuid=1069a885-0a6e-3bdf-8a5c-14668d6e748e"]}],"mendeley":{"formattedCitation":"[98]","plainTextFormattedCitation":"[98]","previouslyFormattedCitation":"[97]"},"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[98]</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Obesity with the negative progression of COVID -19</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July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systematic 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3 Retrospective Cohort design</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806</w:t>
            </w:r>
          </w:p>
        </w:tc>
      </w:tr>
      <w:tr w:rsidR="00171EB3" w:rsidRPr="002048FB" w:rsidTr="00D2305D">
        <w:trPr>
          <w:trHeight w:val="478"/>
          <w:jc w:val="center"/>
        </w:trPr>
        <w:tc>
          <w:tcPr>
            <w:tcW w:w="8169" w:type="dxa"/>
            <w:gridSpan w:val="11"/>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w:t>
            </w:r>
            <w:r w:rsidRPr="002048FB">
              <w:rPr>
                <w:rFonts w:cs="Times New Roman"/>
                <w:color w:val="000000" w:themeColor="text1"/>
                <w:sz w:val="22"/>
              </w:rPr>
              <w:tab/>
              <w:t>Primary Outcome: impact of obesity to the prognosis and disease severity</w:t>
            </w:r>
          </w:p>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w:t>
            </w:r>
            <w:r w:rsidRPr="002048FB">
              <w:rPr>
                <w:rFonts w:cs="Times New Roman"/>
                <w:color w:val="000000" w:themeColor="text1"/>
                <w:sz w:val="22"/>
              </w:rPr>
              <w:tab/>
              <w:t>Main Conclusion: Obesity is an independent risk leading to the prognosis of disease severity, making obese people vulnerable</w:t>
            </w:r>
          </w:p>
        </w:tc>
      </w:tr>
      <w:tr w:rsidR="00171EB3" w:rsidRPr="002048FB" w:rsidTr="00D2305D">
        <w:trPr>
          <w:trHeight w:val="478"/>
          <w:jc w:val="center"/>
        </w:trPr>
        <w:tc>
          <w:tcPr>
            <w:tcW w:w="8169" w:type="dxa"/>
            <w:gridSpan w:val="11"/>
          </w:tcPr>
          <w:p w:rsidR="00171EB3" w:rsidRPr="002048FB" w:rsidRDefault="00171EB3" w:rsidP="00D2305D">
            <w:pPr>
              <w:jc w:val="center"/>
              <w:rPr>
                <w:rFonts w:cs="Times New Roman"/>
                <w:color w:val="000000" w:themeColor="text1"/>
                <w:sz w:val="22"/>
              </w:rPr>
            </w:pPr>
            <w:r w:rsidRPr="002048FB">
              <w:rPr>
                <w:rFonts w:cs="Times New Roman"/>
                <w:b/>
                <w:bCs/>
                <w:color w:val="000000" w:themeColor="text1"/>
                <w:sz w:val="22"/>
              </w:rPr>
              <w:t>COVID-19 and Cancer</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{"citationItems":[{"id":"ITEM-1","itemData":{"DOI":"10.1016/j.critrevonc.2020.102991","ISSN":"18790461","PMID":"32544802","abstract":"Background: It is reasonable to think that cancer patients undergoing chemotherapy, targeted therapy or immunotherapy could have a more aggressive course if positive for Coronavirus disease CoV-2 (COVID- 19). Methods: We conducted a literature review on https://www.ncbi.nlm.nih.gov/pubmed/, https://scholar.google.com, www.arxiv.org, www.biorxiv.org, of all articles published using the keywords COVID-19 therapy or treatment and cancer until May 2, 2020. A total of 205 articles were identified and 53 were included in this review. Results: We describe the ongoing COVID-19 therapies that should be known by oncologists and highlight the potential interactions with antineoplastic drugs, commonly used in clinical practice. The main drug interactions were found with tocilizumab, ruxolitinib and colchicine. Conclusions. The literature provides an inconclusive picture on potential preferred treatments for COVID-19 and their interactions with antineoplastic agents. Future clinical trials are needed to better understand the interactions between different drugs in the context of COVID-19 pandemic.","author":[{"dropping-particle":"","family":"Lorenzo","given":"Giuseppe","non-dropping-particle":"Di","parse-names":false,"suffix":""},{"dropping-particle":"","family":"Trolio","given":"Rossella","non-dropping-particle":"Di","parse-names":false,"suffix":""},{"dropping-particle":"","family":"Kozlakidis","given":"Zisis","non-dropping-particle":"","parse-names":false,"suffix":""},{"dropping-particle":"","family":"Busto","given":"Giuseppina","non-dropping-particle":"","parse-names":false,"suffix":""},{"dropping-particle":"","family":"Ingenito","given":"Concetta","non-dropping-particle":"","parse-names":false,"suffix":""},{"dropping-particle":"","family":"Buonerba","given":"Luciana","non-dropping-particle":"","parse-names":false,"suffix":""},{"dropping-particle":"","family":"Ferrara","given":"Claudia","non-dropping-particle":"","parse-names":false,"suffix":""},{"dropping-particle":"","family":"Libroia","given":"Annamaria","non-dropping-particle":"","parse-names":false,"suffix":""},{"dropping-particle":"","family":"Ragone","given":"Gianluca","non-dropping-particle":"","parse-names":false,"suffix":""},{"dropping-particle":"dello","family":"Ioio","given":"Concetta","non-dropping-particle":"","parse-names":false,"suffix":""},{"dropping-particle":"","family":"Savastano","given":"Beatrice","non-dropping-particle":"","parse-names":false,"suffix":""},{"dropping-particle":"","family":"Polverino","given":"Mario","non-dropping-particle":"","parse-names":false,"suffix":""},{"dropping-particle":"","family":"Falco","given":"Ferdinando","non-dropping-particle":"De","parse-names":false,"suffix":""},{"dropping-particle":"","family":"Iaccarino","given":"Simona","non-dropping-particle":"","parse-names":false,"suffix":""},{"dropping-particle":"","family":"Leo","given":"Emilio","non-dropping-particle":"","parse-names":false,"suffix":""}],"container-title":"Critical Reviews in Oncology/Hematology","id":"ITEM-1","issued":{"date-parts":[["2020","8","1"]]},"page":"102991","publisher":"Elsevier Ireland Ltd","title":"COVID 19 therapies and anti-cancer drugs: A systematic review of recent literature","type":"article","volume":"152"},"uris":["http://www.mendeley.com/documents/?uuid=aaf68964-c7ac-3609-b95a-735b6b8f0f64"]}],"mendeley":{"formattedCitation":"[99]","plainTextFormattedCitation":"[99]","previouslyFormattedCitation":"[98]"},"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[99]</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 xml:space="preserve">Anti-cancer drugs </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Until May 2,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systematic 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53</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19"/>
              </w:numPr>
              <w:spacing w:after="160" w:line="259" w:lineRule="auto"/>
              <w:jc w:val="left"/>
              <w:rPr>
                <w:rFonts w:cs="Times New Roman"/>
                <w:color w:val="000000" w:themeColor="text1"/>
                <w:sz w:val="22"/>
              </w:rPr>
            </w:pPr>
            <w:r w:rsidRPr="002048FB">
              <w:rPr>
                <w:rFonts w:cs="Times New Roman"/>
                <w:color w:val="000000" w:themeColor="text1"/>
                <w:sz w:val="22"/>
              </w:rPr>
              <w:t>Primary Outcome: To understand which anti-COVID-19 drugs could be administered and which not in cancer patients</w:t>
            </w:r>
          </w:p>
          <w:p w:rsidR="00171EB3" w:rsidRPr="002048FB" w:rsidRDefault="00171EB3" w:rsidP="00D2305D">
            <w:pPr>
              <w:pStyle w:val="ListParagraph"/>
              <w:numPr>
                <w:ilvl w:val="0"/>
                <w:numId w:val="19"/>
              </w:numPr>
              <w:jc w:val="left"/>
              <w:rPr>
                <w:rFonts w:cs="Times New Roman"/>
                <w:color w:val="000000" w:themeColor="text1"/>
                <w:sz w:val="22"/>
              </w:rPr>
            </w:pPr>
            <w:r w:rsidRPr="002048FB">
              <w:rPr>
                <w:rFonts w:cs="Times New Roman"/>
                <w:color w:val="000000" w:themeColor="text1"/>
                <w:sz w:val="22"/>
              </w:rPr>
              <w:t>Main Conclusion: Inconclusive picture on potential preferred treatments for COVID-19 and their interactions with antineoplastic agents, recommendations for the new protocol.</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{"citationItems":[{"id":"ITEM-1","itemData":{"DOI":"10.1016/j.dsx.2020.07.037","ISSN":"18714021","abstract":"Background and aimsbackground Currently there is limited knowledge on cancer and COVID-19; we conducted a systematic review and meta-analysis to evaluate the impact of cancer on serious events including ICU admission rate and mortality in COVID 19. Methods PubMed, Cochrane Central Register of Clinical Trials were searched on April 16, 2020, to extract published articles that reported the outcomes of cancer in COVID-19 patients. The search terms were “coronavirus” and “clinical characteristics” with no language or time restrictions. We identified 512 published results and 13 studies were included in the analysis. Results There were 3775 patients, of whom 63 (1·66%) had a cancer. The pooled estimates of ICU admission in COVID 19 patients with and without cancer were 40% versus 8·42%.The odds ratio of ICU admission rates between the cancer and non-cancer groups was 2.88 with a 95% CI of 1·18 to 7·01 (p = 0·026). The pooled estimates of death rate in COVID -19 patients with and without cancer were 20·83% versus 7·82%. The odds ratio of death rates between the cancer and non-cancer groups was 2.25 with a 95% CI ranging from 0·71 to 7·10 with p value of 0·166. The pooled prevalence of cancer patients was 2% (95 CI 1–4). Conclusions Presence of cancer in COVID-19 leads to higher risk of developing serious events i.e. ICU admission, mechanical ventilation and mortality. The presence of cancer has a significant impact on mortality rate in COVID-19 patients.","author":[{"dropping-particle":"","family":"Salunke","given":"Abhijeet Ashok","non-dropping-particle":"","parse-names":false,"suffix":""},{"dropping-particle":"","family":"Nandy","given":"Kunal","non-dropping-particle":"","parse-names":false,"suffix":""},{"dropping-particle":"","family":"Pathak","given":"Subodh Kumar","non-dropping-particle":"","parse-names":false,"suffix":""},{"dropping-particle":"","family":"Shah","given":"Jaymin","non-dropping-particle":"","parse-names":false,"suffix":""},{"dropping-particle":"","family":"Kamani","given":"Mayur","non-dropping-particle":"","parse-names":false,"suffix":""},{"dropping-particle":"","family":"Kotakotta","given":"Vishwanth","non-dropping-particle":"","parse-names":false,"suffix":""},{"dropping-particle":"","family":"Thivari","given":"Praveen","non-dropping-particle":"","parse-names":false,"suffix":""},{"dropping-particle":"","family":"Pandey","given":"Apurva","non-dropping-particle":"","parse-names":false,"suffix":""},{"dropping-particle":"","family":"Patel","given":"Keval","non-dropping-particle":"","parse-names":false,"suffix":""},{"dropping-particle":"","family":"Rathod","given":"Priyank","non-dropping-particle":"","parse-names":false,"suffix":""},{"dropping-particle":"","family":"Bhatt","given":"Supreet","non-dropping-particle":"","parse-names":false,"suffix":""},{"dropping-particle":"","family":"Dave","given":"Pariseema","non-dropping-particle":"","parse-names":false,"suffix":""},{"dropping-particle":"","family":"Pandya","given":"Shashank","non-dropping-particle":"","parse-names":false,"suffix":""}],"container-title":"Diabetes &amp; Metabolic Syndrome: Clinical Research &amp; Reviews","id":"ITEM-1","issue":"5","issued":{"date-parts":[["2020","9","1"]]},"page":"1431-1437","publisher":"Elsevier","title":"Impact of COVID -19 in cancer patients on severity of disease and fatal outcomes: A systematic review and meta-analysis","type":"article-journal","volume":"14"},"uris":["http://www.mendeley.com/documents/?uuid=572334d2-779d-31f4-a708-888b4decf3d5"]}],"mendeley":{"formattedCitation":"[100]","plainTextFormattedCitation":"[100]","previouslyFormattedCitation":"[99]"},"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[100]</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COVID-19 on cancer patients</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April 16,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 xml:space="preserve">systematic review &amp; </w:t>
            </w:r>
            <w:r w:rsidRPr="002048FB">
              <w:rPr>
                <w:rFonts w:cs="Times New Roman"/>
                <w:color w:val="000000" w:themeColor="text1"/>
                <w:sz w:val="22"/>
              </w:rPr>
              <w:lastRenderedPageBreak/>
              <w:t>meta-analysis</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lastRenderedPageBreak/>
              <w:t>13</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3775</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19"/>
              </w:numPr>
              <w:spacing w:after="160" w:line="259" w:lineRule="auto"/>
              <w:jc w:val="left"/>
              <w:rPr>
                <w:rFonts w:cs="Times New Roman"/>
                <w:color w:val="000000" w:themeColor="text1"/>
                <w:sz w:val="22"/>
              </w:rPr>
            </w:pPr>
            <w:r w:rsidRPr="002048FB">
              <w:rPr>
                <w:rFonts w:cs="Times New Roman"/>
                <w:color w:val="000000" w:themeColor="text1"/>
                <w:sz w:val="22"/>
              </w:rPr>
              <w:t>Primary Outcome: ICU admission and deaths rate in cancer and non-cancer patient groups</w:t>
            </w:r>
          </w:p>
          <w:p w:rsidR="00171EB3" w:rsidRPr="002048FB" w:rsidRDefault="00171EB3" w:rsidP="00D2305D">
            <w:pPr>
              <w:pStyle w:val="ListParagraph"/>
              <w:numPr>
                <w:ilvl w:val="0"/>
                <w:numId w:val="19"/>
              </w:numPr>
              <w:jc w:val="left"/>
              <w:rPr>
                <w:rFonts w:cs="Times New Roman"/>
                <w:color w:val="000000" w:themeColor="text1"/>
                <w:sz w:val="22"/>
              </w:rPr>
            </w:pPr>
            <w:r w:rsidRPr="002048FB">
              <w:rPr>
                <w:rFonts w:cs="Times New Roman"/>
                <w:color w:val="000000" w:themeColor="text1"/>
                <w:sz w:val="22"/>
              </w:rPr>
              <w:t>Main Conclusion: Presence of cancer in COVID-19 significant impact on developing serious events, i.e., ICU admission, ventilation &amp; mortality</w:t>
            </w:r>
          </w:p>
        </w:tc>
      </w:tr>
      <w:tr w:rsidR="00171EB3" w:rsidRPr="002048FB" w:rsidTr="00D2305D">
        <w:trPr>
          <w:trHeight w:val="478"/>
          <w:jc w:val="center"/>
        </w:trPr>
        <w:tc>
          <w:tcPr>
            <w:tcW w:w="8169" w:type="dxa"/>
            <w:gridSpan w:val="11"/>
          </w:tcPr>
          <w:p w:rsidR="00171EB3" w:rsidRPr="002048FB" w:rsidRDefault="00171EB3" w:rsidP="00D2305D">
            <w:pPr>
              <w:jc w:val="center"/>
              <w:rPr>
                <w:rFonts w:cs="Times New Roman"/>
                <w:color w:val="000000" w:themeColor="text1"/>
                <w:sz w:val="22"/>
              </w:rPr>
            </w:pPr>
            <w:r w:rsidRPr="002048FB">
              <w:rPr>
                <w:rFonts w:cs="Times New Roman"/>
                <w:b/>
                <w:bCs/>
                <w:color w:val="000000" w:themeColor="text1"/>
                <w:sz w:val="22"/>
              </w:rPr>
              <w:t>COVID-19 Vaccines &amp; Treatment</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{"citationItems":[{"id":"ITEM-1","itemData":{"DOI":"10.1001/jama.2020.6019","ISSN":"15383598","PMID":"32282022","abstract":"Importance: The pandemic of coronavirus disease 2019 (COVID-19) caused by the novel severe acute respiratory syndrome coronavirus 2 (SARS-CoV-2) presents an unprecedented challenge to identify effective drugs for prevention and treatment. Given the rapid pace of scientific discovery and clinical data generated by the large number of people rapidly infected by SARS-CoV-2, clinicians need accurate evidence regarding effective medical treatments for this infection. Observations: No proven effective therapies for this virus currently exist. The rapidly expanding knowledge regarding SARS-CoV-2 virology provides a significant number of potential drug targets. The most promising therapy is remdesivir. Remdesivir has potent in vitro activity against SARS-CoV-2, but it is not US Food and Drug Administration approved and currently is being tested in ongoing randomized trials. Oseltamivir has not been shown to have efficacy, and corticosteroids are currently not recommended. Current clinical evidence does not support stopping angiotensin-converting enzyme inhibitors or angiotensin receptor blockers in patients with COVID-19. Conclusions and Relevance: The COVID-19 pandemic represents the greatest global public health crisis of this generation and, potentially, since the pandemic influenza outbreak of 1918. The speed and volume of clinical trials launched to investigate potential therapies for COVID-19 highlight both the need and capability to produce high-quality evidence even in the middle of a pandemic. No therapies have been shown effective to date.","author":[{"dropping-particle":"","family":"Sanders","given":"James M.","non-dropping-particle":"","parse-names":false,"suffix":""},{"dropping-particle":"","family":"Monogue","given":"Marguerite L.","non-dropping-particle":"","parse-names":false,"suffix":""},{"dropping-particle":"","family":"Jodlowski","given":"Tomasz Z.","non-dropping-particle":"","parse-names":false,"suffix":""},{"dropping-particle":"","family":"Cutrell","given":"James B.","non-dropping-particle":"","parse-names":false,"suffix":""}],"container-title":"JAMA - Journal of the American Medical Association","id":"ITEM-1","issue":"18","issued":{"date-parts":[["2020","5","12"]]},"page":"1824-1836","publisher":"American Medical Association","title":"Pharmacologic Treatments for Coronavirus Disease 2019 (COVID-19): A Review","type":"article","volume":"323"},"uris":["http://www.mendeley.com/documents/?uuid=65077aa2-3d30-395c-961e-2e9ac43bc8dd"]}],"mendeley":{"formattedCitation":"[83]","plainTextFormattedCitation":"[83]","previouslyFormattedCitation":"[82]"},"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[83]</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Pharmacologic Treatments</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as of April 2,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291 clinical trials</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NA</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19"/>
              </w:numPr>
              <w:spacing w:after="160" w:line="259" w:lineRule="auto"/>
              <w:jc w:val="left"/>
              <w:rPr>
                <w:rFonts w:cs="Times New Roman"/>
                <w:color w:val="000000" w:themeColor="text1"/>
                <w:sz w:val="22"/>
              </w:rPr>
            </w:pPr>
            <w:r w:rsidRPr="002048FB">
              <w:rPr>
                <w:rFonts w:cs="Times New Roman"/>
                <w:color w:val="000000" w:themeColor="text1"/>
                <w:sz w:val="22"/>
              </w:rPr>
              <w:t>Primary outcome: a potential treatment for Covid-19</w:t>
            </w:r>
          </w:p>
          <w:p w:rsidR="00171EB3" w:rsidRPr="002048FB" w:rsidRDefault="00171EB3" w:rsidP="00D2305D">
            <w:pPr>
              <w:pStyle w:val="ListParagraph"/>
              <w:numPr>
                <w:ilvl w:val="0"/>
                <w:numId w:val="19"/>
              </w:numPr>
              <w:jc w:val="left"/>
              <w:rPr>
                <w:rFonts w:cs="Times New Roman"/>
                <w:color w:val="000000" w:themeColor="text1"/>
                <w:sz w:val="22"/>
              </w:rPr>
            </w:pPr>
            <w:r w:rsidRPr="002048FB">
              <w:rPr>
                <w:rFonts w:cs="Times New Roman"/>
                <w:color w:val="000000" w:themeColor="text1"/>
                <w:sz w:val="22"/>
              </w:rPr>
              <w:t>Main conclusion: there is no evidence from RCTs that any potential therapy improves outcomes in patients with either suspected or confirmed COVID-19</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{"citationItems":[{"id":"ITEM-1","itemData":{"DOI":"10.1016/j.tips.2020.03.006","ISSN":"18733735","PMID":"32291112","abstract":"COVID-19 has rapidly developed into a worldwide pandemic with a significant health and economic burden. There are currently no approved treatments or preventative therapeutic strategies. Hundreds of clinical studies have been registered with the intention of discovering effective treatments. Here, we review currently registered interventional clinical trials for the treatment and prevention of COVID-19 to provide an overall summary and insight into the global response.","author":[{"dropping-particle":"","family":"Lythgoe","given":"Mark P.","non-dropping-particle":"","parse-names":false,"suffix":""},{"dropping-particle":"","family":"Middleton","given":"Paul","non-dropping-particle":"","parse-names":false,"suffix":""}],"container-title":"Trends in Pharmacological Sciences","id":"ITEM-1","issue":"6","issued":{"date-parts":[["2020","6","1"]]},"page":"363-382","publisher":"Elsevier Ltd","title":"Ongoing Clinical Trials for the Management of the COVID-19 Pandemic","type":"article","volume":"41"},"uris":["http://www.mendeley.com/documents/?uuid=668550ae-e960-3e24-89f3-82db4ecf37fc"]}],"mendeley":{"formattedCitation":"[82]","plainTextFormattedCitation":"[82]","previouslyFormattedCitation":"[81]"},"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[82]</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Ongoing clinical trials</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June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244</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Varied range</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19"/>
              </w:numPr>
              <w:spacing w:after="160" w:line="259" w:lineRule="auto"/>
              <w:jc w:val="left"/>
              <w:rPr>
                <w:rFonts w:cs="Times New Roman"/>
                <w:color w:val="000000" w:themeColor="text1"/>
                <w:sz w:val="22"/>
              </w:rPr>
            </w:pPr>
            <w:r w:rsidRPr="002048FB">
              <w:rPr>
                <w:rFonts w:cs="Times New Roman"/>
                <w:color w:val="000000" w:themeColor="text1"/>
                <w:sz w:val="22"/>
              </w:rPr>
              <w:t>Primary Outcome: Summary of the current trials</w:t>
            </w:r>
          </w:p>
          <w:p w:rsidR="00171EB3" w:rsidRPr="002048FB" w:rsidRDefault="00171EB3" w:rsidP="00D2305D">
            <w:pPr>
              <w:pStyle w:val="ListParagraph"/>
              <w:numPr>
                <w:ilvl w:val="0"/>
                <w:numId w:val="19"/>
              </w:numPr>
              <w:jc w:val="left"/>
              <w:rPr>
                <w:rFonts w:cs="Times New Roman"/>
                <w:color w:val="000000" w:themeColor="text1"/>
                <w:sz w:val="22"/>
              </w:rPr>
            </w:pPr>
            <w:r w:rsidRPr="002048FB">
              <w:rPr>
                <w:rFonts w:cs="Times New Roman"/>
                <w:color w:val="000000" w:themeColor="text1"/>
                <w:sz w:val="22"/>
              </w:rPr>
              <w:t>Main Conclusion: Summary about the global response in treatment and vaccines</w:t>
            </w:r>
          </w:p>
        </w:tc>
      </w:tr>
      <w:tr w:rsidR="00171EB3" w:rsidRPr="002048FB" w:rsidTr="00D2305D">
        <w:trPr>
          <w:trHeight w:val="478"/>
          <w:jc w:val="center"/>
        </w:trPr>
        <w:tc>
          <w:tcPr>
            <w:tcW w:w="8169" w:type="dxa"/>
            <w:gridSpan w:val="11"/>
          </w:tcPr>
          <w:p w:rsidR="00171EB3" w:rsidRPr="002048FB" w:rsidRDefault="00171EB3" w:rsidP="00D2305D">
            <w:pPr>
              <w:jc w:val="center"/>
              <w:rPr>
                <w:rFonts w:cs="Times New Roman"/>
                <w:color w:val="000000" w:themeColor="text1"/>
                <w:sz w:val="22"/>
              </w:rPr>
            </w:pPr>
            <w:r w:rsidRPr="002048FB">
              <w:rPr>
                <w:rFonts w:cs="Times New Roman"/>
                <w:b/>
                <w:bCs/>
                <w:color w:val="000000" w:themeColor="text1"/>
                <w:sz w:val="22"/>
              </w:rPr>
              <w:t>Covid-19 and Prediction Models</w:t>
            </w:r>
          </w:p>
        </w:tc>
      </w:tr>
      <w:tr w:rsidR="00171EB3" w:rsidRPr="002048FB" w:rsidTr="00D2305D">
        <w:trPr>
          <w:trHeight w:val="478"/>
          <w:jc w:val="center"/>
        </w:trPr>
        <w:tc>
          <w:tcPr>
            <w:tcW w:w="1224"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fldChar w:fldCharType="begin" w:fldLock="1"/>
            </w:r>
            <w:r>
              <w:rPr>
                <w:rFonts w:cs="Times New Roman"/>
                <w:color w:val="000000" w:themeColor="text1"/>
                <w:sz w:val="22"/>
              </w:rPr>
              <w:instrText>ADDIN CSL_CITATION {"citationItems":[{"id":"ITEM-1","itemData":{"DOI":"10.1136/bmj.m1328","ISSN":"17561833","PMID":"32265220","abstract":"AbstractObjective To review and critically appraise published and preprint reports of prediction models for diagnosing coronavirus disease 2019 (covid-19) in patients with suspected infection, for prognosis of patients with covid-19, and for detecting people in the general population at risk of being admitted to hospital for covid-19 pneumonia. Design Rapid systematic review and critical appraisal. Data sources PubMed and Embase through Ovid, Arxiv, medRxiv, and bioRxiv up to 24 March 2020. Study selection Studies that developed or validated a multivariable covid-19 related prediction model. Data extraction At least two authors independently extracted data using the CHARMS (critical appraisal and data extraction for systematic reviews of prediction modelling studies) checklist; risk of bias was assessed using PROBAST (prediction model risk of bias assessment tool). Results 2696 titles were screened, and 27 studies describing 31 prediction models were included. Three models were identified for predicting hospital admission from pneumonia and other events (as proxy outcomes for covid-19 pneumonia) in the general population; 18 diagnostic models for detecting covid-19 infection (13 were machine learning based on computed tomography scans); and 10 prognostic models for predicting mortality risk, progression to severe disease, or length of hospital stay. Only one study used patient data from outside of China. The most reported predictors of presence of covid-19 in patients with suspected disease included age, body temperature, and signs and symptoms. The most reported predictors of severe prognosis in patients with covid-19 included age, sex, features derived from computed tomography scans, C reactive protein, lactic dehydrogenase, and lymphocyte count. C index estimates ranged from 0.73 to 0.81 in prediction models for the general population (reported for all three models), from 0.81 to more than 0.99 in diagnostic models (reported for 13 of the 18 models), and from 0.85 to 0.98 in prognostic models (reported for six of the 10 models). All studies were rated at high risk of bias, mostly because of non-representative selection of control patients, exclusion of patients who had not experienced the event of interest by the end of the study, and high risk of model overfitting. Reporting quality varied substantially between studies. Most reports did not include a description of the study population or intended use of the models, and calibration of predictions wa…","author":[{"dropping-particle":"","family":"Wynants","given":"Laure","non-dropping-particle":"","parse-names":false,"suffix":""},{"dropping-particle":"","family":"Calster","given":"Ben","non-dropping-particle":"Van","parse-names":false,"suffix":""},{"dropping-particle":"","family":"Bonten","given":"Marc M.J.","non-dropping-particle":"","parse-names":false,"suffix":""},{"dropping-particle":"","family":"Collins","given":"Gary S.","non-dropping-particle":"","parse-names":false,"suffix":""},{"dropping-particle":"","family":"Debray","given":"Thomas P.A.","non-dropping-particle":"","parse-names":false,"suffix":""},{"dropping-particle":"","family":"Vos","given":"Maarten","non-dropping-particle":"De","parse-names":false,"suffix":""},{"dropping-particle":"","family":"Haller","given":"Maria C.","non-dropping-particle":"","parse-names":false,"suffix":""},{"dropping-particle":"","family":"Heinze","given":"Georg","non-dropping-particle":"","parse-names":false,"suffix":""},{"dropping-particle":"","family":"Moons","given":"Karel G.M.","non-dropping-particle":"","parse-names":false,"suffix":""},{"dropping-particle":"","family":"Riley","given":"Richard D.","non-dropping-particle":"","parse-names":false,"suffix":""},{"dropping-particle":"","family":"Schuit","given":"Ewoud","non-dropping-particle":"","parse-names":false,"suffix":""},{"dropping-particle":"","family":"Smits","given":"Luc J.M.","non-dropping-particle":"","parse-names":false,"suffix":""},{"dropping-particle":"","family":"Snell","given":"Kym I.E.","non-dropping-particle":"","parse-names":false,"suffix":""},{"dropping-particle":"","family":"Steyerberg","given":"Ewout W.","non-dropping-particle":"","parse-names":false,"suffix":""},{"dropping-particle":"","family":"Wallisch","given":"Christine","non-dropping-particle":"","parse-names":false,"suffix":""},{"dropping-particle":"","family":"Smeden","given":"Maarten","non-dropping-particle":"Van","parse-names":false,"suffix":""}],"container-title":"The BMJ","id":"ITEM-1","issued":{"date-parts":[["2020","4","7"]]},"publisher":"BMJ Publishing Group","title":"Prediction models for diagnosis and prognosis of covid-19 infection: Systematic review and critical appraisal","type":"article-journal","volume":"369"},"uris":["http://www.mendeley.com/documents/?uuid=2efdf18c-435d-41e3-8490-ba492761d1b3"]}],"mendeley":{"formattedCitation":"[90]","plainTextFormattedCitation":"[90]","previouslyFormattedCitation":"[89]"},"properties":{"noteIndex":0},"schema":"https://github.com/citation-style-language/schema/raw/master/csl-citation.json"}</w:instrText>
            </w:r>
            <w:r w:rsidRPr="002048FB">
              <w:rPr>
                <w:rFonts w:cs="Times New Roman"/>
                <w:color w:val="000000" w:themeColor="text1"/>
                <w:sz w:val="22"/>
              </w:rPr>
              <w:fldChar w:fldCharType="separate"/>
            </w:r>
            <w:r w:rsidRPr="0007503F">
              <w:rPr>
                <w:rFonts w:cs="Times New Roman"/>
                <w:noProof/>
                <w:color w:val="000000" w:themeColor="text1"/>
                <w:sz w:val="22"/>
              </w:rPr>
              <w:t>[90]</w:t>
            </w:r>
            <w:r w:rsidRPr="002048FB">
              <w:rPr>
                <w:rFonts w:cs="Times New Roman"/>
                <w:color w:val="000000" w:themeColor="text1"/>
                <w:sz w:val="22"/>
              </w:rPr>
              <w:fldChar w:fldCharType="end"/>
            </w:r>
          </w:p>
        </w:tc>
        <w:tc>
          <w:tcPr>
            <w:tcW w:w="1694" w:type="dxa"/>
            <w:gridSpan w:val="3"/>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Prediction models</w:t>
            </w:r>
          </w:p>
        </w:tc>
        <w:tc>
          <w:tcPr>
            <w:tcW w:w="128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Living up to May 5, 2020</w:t>
            </w:r>
          </w:p>
        </w:tc>
        <w:tc>
          <w:tcPr>
            <w:tcW w:w="1410"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 xml:space="preserve">Living </w:t>
            </w:r>
          </w:p>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Systematic review</w:t>
            </w:r>
          </w:p>
        </w:tc>
        <w:tc>
          <w:tcPr>
            <w:tcW w:w="1233" w:type="dxa"/>
            <w:gridSpan w:val="2"/>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107</w:t>
            </w:r>
          </w:p>
        </w:tc>
        <w:tc>
          <w:tcPr>
            <w:tcW w:w="1328" w:type="dxa"/>
          </w:tcPr>
          <w:p w:rsidR="00171EB3" w:rsidRPr="002048FB" w:rsidRDefault="00171EB3" w:rsidP="00D2305D">
            <w:pPr>
              <w:jc w:val="left"/>
              <w:rPr>
                <w:rFonts w:cs="Times New Roman"/>
                <w:color w:val="000000" w:themeColor="text1"/>
                <w:sz w:val="22"/>
              </w:rPr>
            </w:pPr>
            <w:r w:rsidRPr="002048FB">
              <w:rPr>
                <w:rFonts w:cs="Times New Roman"/>
                <w:color w:val="000000" w:themeColor="text1"/>
                <w:sz w:val="22"/>
              </w:rPr>
              <w:t>Varied range</w:t>
            </w:r>
          </w:p>
        </w:tc>
      </w:tr>
      <w:tr w:rsidR="00171EB3" w:rsidRPr="002048FB" w:rsidTr="00D2305D">
        <w:trPr>
          <w:trHeight w:val="478"/>
          <w:jc w:val="center"/>
        </w:trPr>
        <w:tc>
          <w:tcPr>
            <w:tcW w:w="8169" w:type="dxa"/>
            <w:gridSpan w:val="11"/>
          </w:tcPr>
          <w:p w:rsidR="00171EB3" w:rsidRPr="002048FB" w:rsidRDefault="00171EB3" w:rsidP="00D2305D">
            <w:pPr>
              <w:pStyle w:val="ListParagraph"/>
              <w:numPr>
                <w:ilvl w:val="0"/>
                <w:numId w:val="20"/>
              </w:numPr>
              <w:jc w:val="left"/>
              <w:rPr>
                <w:rFonts w:cs="Times New Roman"/>
                <w:color w:val="000000" w:themeColor="text1"/>
                <w:sz w:val="22"/>
              </w:rPr>
            </w:pPr>
            <w:r w:rsidRPr="002048FB">
              <w:rPr>
                <w:rFonts w:cs="Times New Roman"/>
                <w:color w:val="000000" w:themeColor="text1"/>
                <w:sz w:val="22"/>
              </w:rPr>
              <w:t>Primary Outcome: Prediction models for forecasting future deaths and cases</w:t>
            </w:r>
          </w:p>
          <w:p w:rsidR="00171EB3" w:rsidRPr="002048FB" w:rsidRDefault="00171EB3" w:rsidP="00D2305D">
            <w:pPr>
              <w:pStyle w:val="ListParagraph"/>
              <w:numPr>
                <w:ilvl w:val="0"/>
                <w:numId w:val="20"/>
              </w:numPr>
              <w:jc w:val="left"/>
              <w:rPr>
                <w:rFonts w:cs="Times New Roman"/>
                <w:color w:val="000000" w:themeColor="text1"/>
                <w:sz w:val="22"/>
              </w:rPr>
            </w:pPr>
            <w:r w:rsidRPr="002048FB">
              <w:rPr>
                <w:rFonts w:cs="Times New Roman"/>
                <w:color w:val="000000" w:themeColor="text1"/>
                <w:sz w:val="22"/>
              </w:rPr>
              <w:t>Main Conclusion: Models have a high risk of bias and should be used cautiously</w:t>
            </w:r>
          </w:p>
        </w:tc>
      </w:tr>
      <w:bookmarkEnd w:id="0"/>
    </w:tbl>
    <w:p w:rsidR="00171EB3" w:rsidRDefault="00171EB3" w:rsidP="00171EB3">
      <w:pPr>
        <w:spacing w:line="480" w:lineRule="auto"/>
        <w:rPr>
          <w:rFonts w:cs="Times New Roman"/>
          <w:color w:val="000000" w:themeColor="text1"/>
          <w:szCs w:val="24"/>
        </w:rPr>
      </w:pPr>
    </w:p>
    <w:p w:rsidR="0029187A" w:rsidRDefault="0029187A">
      <w:bookmarkStart w:id="2" w:name="_GoBack"/>
      <w:bookmarkEnd w:id="2"/>
    </w:p>
    <w:sectPr w:rsidR="00291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1E21"/>
    <w:multiLevelType w:val="hybridMultilevel"/>
    <w:tmpl w:val="01B6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12922"/>
    <w:multiLevelType w:val="hybridMultilevel"/>
    <w:tmpl w:val="757C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A6D86"/>
    <w:multiLevelType w:val="hybridMultilevel"/>
    <w:tmpl w:val="0142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B1C02"/>
    <w:multiLevelType w:val="hybridMultilevel"/>
    <w:tmpl w:val="4334B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649F0"/>
    <w:multiLevelType w:val="hybridMultilevel"/>
    <w:tmpl w:val="3216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9560A"/>
    <w:multiLevelType w:val="hybridMultilevel"/>
    <w:tmpl w:val="0CB0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41935"/>
    <w:multiLevelType w:val="hybridMultilevel"/>
    <w:tmpl w:val="92CA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277C1"/>
    <w:multiLevelType w:val="hybridMultilevel"/>
    <w:tmpl w:val="C39CDA0E"/>
    <w:lvl w:ilvl="0" w:tplc="B32665AA">
      <w:start w:val="5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F128E"/>
    <w:multiLevelType w:val="hybridMultilevel"/>
    <w:tmpl w:val="1556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D67B6"/>
    <w:multiLevelType w:val="hybridMultilevel"/>
    <w:tmpl w:val="1CD2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60D0A"/>
    <w:multiLevelType w:val="hybridMultilevel"/>
    <w:tmpl w:val="D8B2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86371"/>
    <w:multiLevelType w:val="hybridMultilevel"/>
    <w:tmpl w:val="56CC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B5C96"/>
    <w:multiLevelType w:val="hybridMultilevel"/>
    <w:tmpl w:val="7F70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57484"/>
    <w:multiLevelType w:val="hybridMultilevel"/>
    <w:tmpl w:val="819C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97F4A"/>
    <w:multiLevelType w:val="hybridMultilevel"/>
    <w:tmpl w:val="2F8A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DB25B1"/>
    <w:multiLevelType w:val="hybridMultilevel"/>
    <w:tmpl w:val="6B9C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D3C33"/>
    <w:multiLevelType w:val="hybridMultilevel"/>
    <w:tmpl w:val="794C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B24197"/>
    <w:multiLevelType w:val="hybridMultilevel"/>
    <w:tmpl w:val="4A2A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537759"/>
    <w:multiLevelType w:val="hybridMultilevel"/>
    <w:tmpl w:val="E78E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8406F"/>
    <w:multiLevelType w:val="hybridMultilevel"/>
    <w:tmpl w:val="2A84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3"/>
  </w:num>
  <w:num w:numId="4">
    <w:abstractNumId w:val="0"/>
  </w:num>
  <w:num w:numId="5">
    <w:abstractNumId w:val="3"/>
  </w:num>
  <w:num w:numId="6">
    <w:abstractNumId w:val="17"/>
  </w:num>
  <w:num w:numId="7">
    <w:abstractNumId w:val="14"/>
  </w:num>
  <w:num w:numId="8">
    <w:abstractNumId w:val="8"/>
  </w:num>
  <w:num w:numId="9">
    <w:abstractNumId w:val="12"/>
  </w:num>
  <w:num w:numId="10">
    <w:abstractNumId w:val="7"/>
  </w:num>
  <w:num w:numId="11">
    <w:abstractNumId w:val="11"/>
  </w:num>
  <w:num w:numId="12">
    <w:abstractNumId w:val="15"/>
  </w:num>
  <w:num w:numId="13">
    <w:abstractNumId w:val="5"/>
  </w:num>
  <w:num w:numId="14">
    <w:abstractNumId w:val="18"/>
  </w:num>
  <w:num w:numId="15">
    <w:abstractNumId w:val="10"/>
  </w:num>
  <w:num w:numId="16">
    <w:abstractNumId w:val="2"/>
  </w:num>
  <w:num w:numId="17">
    <w:abstractNumId w:val="1"/>
  </w:num>
  <w:num w:numId="18">
    <w:abstractNumId w:val="6"/>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3MLIwMLawMLYwsTBX0lEKTi0uzszPAykwrAUAsqtlrCwAAAA="/>
  </w:docVars>
  <w:rsids>
    <w:rsidRoot w:val="00171EB3"/>
    <w:rsid w:val="00171EB3"/>
    <w:rsid w:val="0029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96433-63B0-400E-BB4B-95EA6407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Arin"/>
    <w:qFormat/>
    <w:rsid w:val="00171EB3"/>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EB3"/>
    <w:rPr>
      <w:rFonts w:ascii="Segoe UI" w:hAnsi="Segoe UI" w:cs="Segoe UI"/>
      <w:sz w:val="18"/>
      <w:szCs w:val="18"/>
    </w:rPr>
  </w:style>
  <w:style w:type="paragraph" w:styleId="ListParagraph">
    <w:name w:val="List Paragraph"/>
    <w:basedOn w:val="Normal"/>
    <w:uiPriority w:val="34"/>
    <w:qFormat/>
    <w:rsid w:val="00171EB3"/>
    <w:pPr>
      <w:ind w:left="720"/>
      <w:contextualSpacing/>
    </w:pPr>
  </w:style>
  <w:style w:type="paragraph" w:styleId="Title">
    <w:name w:val="Title"/>
    <w:aliases w:val="table"/>
    <w:basedOn w:val="Normal"/>
    <w:next w:val="Normal"/>
    <w:link w:val="TitleChar"/>
    <w:uiPriority w:val="10"/>
    <w:qFormat/>
    <w:rsid w:val="00171EB3"/>
    <w:rPr>
      <w:b/>
    </w:rPr>
  </w:style>
  <w:style w:type="character" w:customStyle="1" w:styleId="TitleChar">
    <w:name w:val="Title Char"/>
    <w:aliases w:val="table Char"/>
    <w:basedOn w:val="DefaultParagraphFont"/>
    <w:link w:val="Title"/>
    <w:uiPriority w:val="10"/>
    <w:rsid w:val="00171EB3"/>
    <w:rPr>
      <w:rFonts w:ascii="Times New Roman" w:hAnsi="Times New Roman"/>
      <w:b/>
      <w:sz w:val="24"/>
    </w:rPr>
  </w:style>
  <w:style w:type="table" w:styleId="TableGridLight">
    <w:name w:val="Grid Table Light"/>
    <w:basedOn w:val="TableNormal"/>
    <w:uiPriority w:val="40"/>
    <w:rsid w:val="00171E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13551</Words>
  <Characters>77243</Characters>
  <Application>Microsoft Office Word</Application>
  <DocSecurity>0</DocSecurity>
  <Lines>643</Lines>
  <Paragraphs>181</Paragraphs>
  <ScaleCrop>false</ScaleCrop>
  <Company/>
  <LinksUpToDate>false</LinksUpToDate>
  <CharactersWithSpaces>90613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ARINJITA BHATTACHARYYA</dc:creator>
  <cp:keywords/>
  <dc:description/>
  <cp:lastModifiedBy>ARINJITA BHATTACHARYYA</cp:lastModifiedBy>
  <cp:revision>1</cp:revision>
  <dcterms:created xsi:type="dcterms:W3CDTF">2021-01-09T21:53:00Z</dcterms:created>
  <dcterms:modified xsi:type="dcterms:W3CDTF">2021-01-09T21:55:00Z</dcterms:modified>
</cp:coreProperties>
</file>