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4CEA77" w14:textId="77777777" w:rsidR="000512E6" w:rsidRPr="00863A0D" w:rsidRDefault="005E1EC2">
      <w:pPr>
        <w:rPr>
          <w:rFonts w:ascii="Times New Roman" w:hAnsi="Times New Roman" w:cs="Times New Roman"/>
          <w:b/>
          <w:sz w:val="32"/>
        </w:rPr>
      </w:pPr>
      <w:bookmarkStart w:id="0" w:name="OLE_LINK16"/>
      <w:bookmarkStart w:id="1" w:name="OLE_LINK17"/>
      <w:r w:rsidRPr="00863A0D">
        <w:rPr>
          <w:rFonts w:ascii="Times New Roman" w:hAnsi="Times New Roman" w:cs="Times New Roman"/>
          <w:b/>
          <w:sz w:val="32"/>
        </w:rPr>
        <w:t xml:space="preserve">Supplemental </w:t>
      </w:r>
      <w:r w:rsidR="001B5F77" w:rsidRPr="00863A0D">
        <w:rPr>
          <w:rFonts w:ascii="Times New Roman" w:hAnsi="Times New Roman" w:cs="Times New Roman"/>
          <w:b/>
          <w:sz w:val="32"/>
        </w:rPr>
        <w:t>Material</w:t>
      </w:r>
      <w:bookmarkStart w:id="2" w:name="_GoBack"/>
      <w:bookmarkEnd w:id="2"/>
    </w:p>
    <w:bookmarkEnd w:id="0"/>
    <w:bookmarkEnd w:id="1"/>
    <w:p w14:paraId="6BCBB869" w14:textId="77777777" w:rsidR="00FC71C9" w:rsidRPr="001B5F77" w:rsidRDefault="00FC71C9" w:rsidP="005B52B1">
      <w:pPr>
        <w:rPr>
          <w:rFonts w:ascii="Times New Roman" w:hAnsi="Times New Roman" w:cs="Times New Roman"/>
          <w:sz w:val="24"/>
        </w:rPr>
      </w:pPr>
    </w:p>
    <w:p w14:paraId="016E848B" w14:textId="77777777" w:rsidR="00124259" w:rsidRPr="00433C30" w:rsidRDefault="005647F6" w:rsidP="005B52B1">
      <w:pPr>
        <w:rPr>
          <w:rFonts w:ascii="Times New Roman" w:hAnsi="Times New Roman" w:cs="Times New Roman"/>
          <w:b/>
          <w:sz w:val="24"/>
        </w:rPr>
      </w:pPr>
      <w:r w:rsidRPr="00433C30">
        <w:rPr>
          <w:rFonts w:ascii="Times New Roman" w:hAnsi="Times New Roman" w:cs="Times New Roman"/>
          <w:b/>
          <w:sz w:val="24"/>
        </w:rPr>
        <w:t xml:space="preserve">Methods </w:t>
      </w:r>
    </w:p>
    <w:p w14:paraId="4710E775" w14:textId="0146137D" w:rsidR="00433C30" w:rsidRDefault="000F756B" w:rsidP="00EE1319">
      <w:pPr>
        <w:rPr>
          <w:rFonts w:ascii="Times New Roman" w:hAnsi="Times New Roman" w:cs="Times New Roman"/>
          <w:sz w:val="24"/>
        </w:rPr>
      </w:pPr>
      <w:r w:rsidRPr="000F756B">
        <w:rPr>
          <w:rFonts w:ascii="Times New Roman" w:hAnsi="Times New Roman" w:cs="Times New Roman"/>
          <w:sz w:val="24"/>
        </w:rPr>
        <w:t>The graph theory analysis was performed by GRETNA</w:t>
      </w:r>
      <w:r w:rsidR="00D03B24">
        <w:rPr>
          <w:rFonts w:ascii="Times New Roman" w:hAnsi="Times New Roman" w:cs="Times New Roman"/>
          <w:sz w:val="24"/>
        </w:rPr>
        <w:fldChar w:fldCharType="begin" w:fldLock="1"/>
      </w:r>
      <w:r w:rsidR="00952FB7">
        <w:rPr>
          <w:rFonts w:ascii="Times New Roman" w:hAnsi="Times New Roman" w:cs="Times New Roman"/>
          <w:sz w:val="24"/>
        </w:rPr>
        <w:instrText>ADDIN CSL_CITATION {"citationItems":[{"id":"ITEM-1","itemData":{"DOI":"10.3389/fnhum.2015.00386","ISSN":"16625161","abstract":"Recent studies have suggested that the brain's structural and functional networks (i.e., connectomics) can be constructed by various imaging technologies (e.g., EEG/MEG; structural, diffusion and functional MRI) and further characterized by graph theory. Given the huge complexity of network construction, analysis and statistics, toolboxes incorporating these functions are largely lacking. Here, we developed the GRaph thEoreTical Network Analysis (GRETNA) toolbox for imaging connectomics. The GRETNA contains several key features as follows: (i) an open-source, Matlab-based, cross-platform (Windows and UNIX OS) package with a graphical user interface (GUI); (ii) allowing topological analyses of global and local network properties with parallel computing ability, independent of imaging modality and species; (iii) providing flexible manipulations in several key steps during network construction and analysis, which include network node definition, network connectivity processing, network type selection and choice of thresholding procedure; (iv) allowing statistical comparisons of global, nodal and connectional network metrics and assessments of relationship between these network metrics and clinical or behavioral variables of interest; and (v) including functionality in image preprocessing and network construction based on resting-state functional MRI (R-fMRI) data. After applying the GRETNA to a publicly released R-fMRI dataset of 54 healthy young adults, we demonstrated that human brain functional networks exhibit efficient small-world, assortative, hierarchical and modular organizations and possess highly connected hubs and that these findings are robust against different analytical strategies. With these efforts, we anticipate that GRETNA will accelerate imaging connectomics in an easy, quick and flexible manner. GRETNA is freely available on the NITRC website.","author":[{"dropping-particle":"","family":"Wang","given":"Jinhui","non-dropping-particle":"","parse-names":false,"suffix":""},{"dropping-particle":"","family":"Wang","given":"Xindi","non-dropping-particle":"","parse-names":false,"suffix":""},{"dropping-particle":"","family":"Xia","given":"Mingrui","non-dropping-particle":"","parse-names":false,"suffix":""},{"dropping-particle":"","family":"Liao","given":"Xuhong","non-dropping-particle":"","parse-names":false,"suffix":""},{"dropping-particle":"","family":"Evans","given":"Alan","non-dropping-particle":"","parse-names":false,"suffix":""},{"dropping-particle":"","family":"He","given":"Yong","non-dropping-particle":"","parse-names":false,"suffix":""}],"container-title":"Frontiers in Human Neuroscience","id":"ITEM-1","issue":"JUNE","issued":{"date-parts":[["2015"]]},"page":"1-16","title":"GRETNA: A graph theoretical network analysis toolbox for imaging connectomics","type":"article-journal","volume":"9"},"uris":["http://www.mendeley.com/documents/?uuid=094897de-4097-430b-abce-8686f9ff68bc"]}],"mendeley":{"formattedCitation":"(Wang et al., 2015)","plainTextFormattedCitation":"(Wang et al., 2015)","previouslyFormattedCitation":"(Wang et al., 2015)"},"properties":{"noteIndex":0},"schema":"https://github.com/citation-style-language/schema/raw/master/csl-citation.json"}</w:instrText>
      </w:r>
      <w:r w:rsidR="00D03B24">
        <w:rPr>
          <w:rFonts w:ascii="Times New Roman" w:hAnsi="Times New Roman" w:cs="Times New Roman"/>
          <w:sz w:val="24"/>
        </w:rPr>
        <w:fldChar w:fldCharType="separate"/>
      </w:r>
      <w:r w:rsidR="00D03B24" w:rsidRPr="00D03B24">
        <w:rPr>
          <w:rFonts w:ascii="Times New Roman" w:hAnsi="Times New Roman" w:cs="Times New Roman"/>
          <w:noProof/>
          <w:sz w:val="24"/>
        </w:rPr>
        <w:t>(Wang et al., 2015)</w:t>
      </w:r>
      <w:r w:rsidR="00D03B24">
        <w:rPr>
          <w:rFonts w:ascii="Times New Roman" w:hAnsi="Times New Roman" w:cs="Times New Roman"/>
          <w:sz w:val="24"/>
        </w:rPr>
        <w:fldChar w:fldCharType="end"/>
      </w:r>
      <w:r w:rsidRPr="000F756B">
        <w:rPr>
          <w:rFonts w:ascii="Times New Roman" w:hAnsi="Times New Roman" w:cs="Times New Roman"/>
          <w:sz w:val="24"/>
        </w:rPr>
        <w:t xml:space="preserve"> (https://www.nitrc.org/projects/gretna/). The individual’s FC matrix was binarized according to the connectivity strength threshold (range from 0.01 to 0.35, increment = 0.01), resulting in a total of 35</w:t>
      </w:r>
      <w:r w:rsidR="00C6653A">
        <w:rPr>
          <w:rFonts w:ascii="Times New Roman" w:hAnsi="Times New Roman" w:cs="Times New Roman"/>
          <w:sz w:val="24"/>
        </w:rPr>
        <w:t xml:space="preserve"> binary</w:t>
      </w:r>
      <w:r w:rsidRPr="000F756B">
        <w:rPr>
          <w:rFonts w:ascii="Times New Roman" w:hAnsi="Times New Roman" w:cs="Times New Roman"/>
          <w:sz w:val="24"/>
        </w:rPr>
        <w:t xml:space="preserve"> network</w:t>
      </w:r>
      <w:r w:rsidR="00C6653A">
        <w:rPr>
          <w:rFonts w:ascii="Times New Roman" w:hAnsi="Times New Roman" w:cs="Times New Roman"/>
          <w:sz w:val="24"/>
        </w:rPr>
        <w:t>s</w:t>
      </w:r>
      <w:r w:rsidRPr="000F756B">
        <w:rPr>
          <w:rFonts w:ascii="Times New Roman" w:hAnsi="Times New Roman" w:cs="Times New Roman"/>
          <w:sz w:val="24"/>
        </w:rPr>
        <w:t xml:space="preserve"> for each subject. For each binary network, two global metrics were </w:t>
      </w:r>
      <w:r w:rsidR="00C6653A">
        <w:rPr>
          <w:rFonts w:ascii="Times New Roman" w:hAnsi="Times New Roman" w:cs="Times New Roman"/>
          <w:sz w:val="24"/>
        </w:rPr>
        <w:t>evaluated</w:t>
      </w:r>
      <w:r w:rsidRPr="000F756B">
        <w:rPr>
          <w:rFonts w:ascii="Times New Roman" w:hAnsi="Times New Roman" w:cs="Times New Roman"/>
          <w:sz w:val="24"/>
        </w:rPr>
        <w:t>: functional integration (global efficiency) and functional segregation (local efficiency). Global efficiency expresses the ability of a network to transfer information at the global level, while local efficiency measures the ability of a network to transfer information at the local level. The area under a curve (AUC) of global and local efficiency for each subject was calculated to provide a scalar independent of specific threshold selection. Then, the general linear model was employed to compare</w:t>
      </w:r>
      <w:r w:rsidR="00C50A2F" w:rsidRPr="00C50A2F">
        <w:rPr>
          <w:rFonts w:ascii="Times New Roman" w:hAnsi="Times New Roman" w:cs="Times New Roman"/>
          <w:sz w:val="24"/>
        </w:rPr>
        <w:t xml:space="preserve"> </w:t>
      </w:r>
      <w:r w:rsidR="00C50A2F" w:rsidRPr="000F756B">
        <w:rPr>
          <w:rFonts w:ascii="Times New Roman" w:hAnsi="Times New Roman" w:cs="Times New Roman"/>
          <w:sz w:val="24"/>
        </w:rPr>
        <w:t>AUC</w:t>
      </w:r>
      <w:r w:rsidR="00C50A2F">
        <w:rPr>
          <w:rFonts w:ascii="Times New Roman" w:hAnsi="Times New Roman" w:cs="Times New Roman"/>
          <w:sz w:val="24"/>
        </w:rPr>
        <w:t xml:space="preserve"> of these network measures</w:t>
      </w:r>
      <w:r w:rsidRPr="000F756B">
        <w:rPr>
          <w:rFonts w:ascii="Times New Roman" w:hAnsi="Times New Roman" w:cs="Times New Roman"/>
          <w:sz w:val="24"/>
        </w:rPr>
        <w:t xml:space="preserve"> between the two groups</w:t>
      </w:r>
      <w:r w:rsidR="00C6653A">
        <w:rPr>
          <w:rFonts w:ascii="Times New Roman" w:hAnsi="Times New Roman" w:cs="Times New Roman"/>
          <w:sz w:val="24"/>
        </w:rPr>
        <w:t xml:space="preserve">, with </w:t>
      </w:r>
      <w:r w:rsidR="00C6653A" w:rsidRPr="000F756B">
        <w:rPr>
          <w:rFonts w:ascii="Times New Roman" w:hAnsi="Times New Roman" w:cs="Times New Roman"/>
          <w:sz w:val="24"/>
        </w:rPr>
        <w:t>age, sex, mean FD as covariates</w:t>
      </w:r>
      <w:r w:rsidRPr="000F756B">
        <w:rPr>
          <w:rFonts w:ascii="Times New Roman" w:hAnsi="Times New Roman" w:cs="Times New Roman"/>
          <w:sz w:val="24"/>
        </w:rPr>
        <w:t>.</w:t>
      </w:r>
    </w:p>
    <w:p w14:paraId="1C86234C" w14:textId="77777777" w:rsidR="000F756B" w:rsidRPr="004428C2" w:rsidRDefault="000F756B" w:rsidP="00EE1319">
      <w:pPr>
        <w:rPr>
          <w:rFonts w:ascii="Times New Roman" w:hAnsi="Times New Roman" w:cs="Times New Roman"/>
          <w:sz w:val="24"/>
        </w:rPr>
      </w:pPr>
    </w:p>
    <w:p w14:paraId="5A53600E" w14:textId="1C1B2DA3" w:rsidR="00F552DC" w:rsidRPr="00433C30" w:rsidRDefault="00B55158" w:rsidP="00EE1319">
      <w:pPr>
        <w:rPr>
          <w:rFonts w:ascii="Times New Roman" w:hAnsi="Times New Roman" w:cs="Times New Roman"/>
          <w:b/>
          <w:sz w:val="24"/>
        </w:rPr>
      </w:pPr>
      <w:r w:rsidRPr="00433C30">
        <w:rPr>
          <w:rFonts w:ascii="Times New Roman" w:hAnsi="Times New Roman" w:cs="Times New Roman"/>
          <w:b/>
          <w:sz w:val="24"/>
        </w:rPr>
        <w:t xml:space="preserve">Results </w:t>
      </w:r>
    </w:p>
    <w:p w14:paraId="42702DCB" w14:textId="55905041" w:rsidR="00F552DC" w:rsidRPr="001B5F77" w:rsidRDefault="00232B94" w:rsidP="00EE1319">
      <w:pPr>
        <w:rPr>
          <w:rFonts w:ascii="Times New Roman" w:hAnsi="Times New Roman" w:cs="Times New Roman"/>
          <w:sz w:val="24"/>
        </w:rPr>
      </w:pPr>
      <w:r>
        <w:rPr>
          <w:rFonts w:ascii="Times New Roman" w:hAnsi="Times New Roman" w:cs="Times New Roman"/>
          <w:sz w:val="24"/>
        </w:rPr>
        <w:t xml:space="preserve">Compared with </w:t>
      </w:r>
      <w:r>
        <w:rPr>
          <w:rFonts w:ascii="Times New Roman" w:eastAsia="Times New Roman" w:hAnsi="Times New Roman" w:cs="Times New Roman"/>
          <w:sz w:val="24"/>
          <w:szCs w:val="24"/>
        </w:rPr>
        <w:t>alcohol abstinence</w:t>
      </w:r>
      <w:r>
        <w:rPr>
          <w:rFonts w:ascii="Times New Roman" w:hAnsi="Times New Roman" w:cs="Times New Roman"/>
          <w:sz w:val="24"/>
        </w:rPr>
        <w:t xml:space="preserve"> participants, the</w:t>
      </w:r>
      <w:r w:rsidR="00F552DC">
        <w:rPr>
          <w:rFonts w:ascii="Times New Roman" w:hAnsi="Times New Roman" w:cs="Times New Roman"/>
          <w:sz w:val="24"/>
        </w:rPr>
        <w:t xml:space="preserve"> healthy </w:t>
      </w:r>
      <w:r>
        <w:rPr>
          <w:rFonts w:ascii="Times New Roman" w:hAnsi="Times New Roman" w:cs="Times New Roman"/>
          <w:sz w:val="24"/>
        </w:rPr>
        <w:t xml:space="preserve">controls showed </w:t>
      </w:r>
      <w:r w:rsidR="00F552DC">
        <w:rPr>
          <w:rFonts w:ascii="Times New Roman" w:eastAsia="Times New Roman" w:hAnsi="Times New Roman" w:cs="Times New Roman"/>
          <w:sz w:val="24"/>
          <w:szCs w:val="24"/>
        </w:rPr>
        <w:t xml:space="preserve">higher </w:t>
      </w:r>
      <w:r w:rsidRPr="00F552DC">
        <w:rPr>
          <w:rFonts w:ascii="Times New Roman" w:hAnsi="Times New Roman" w:cs="Times New Roman"/>
          <w:sz w:val="24"/>
        </w:rPr>
        <w:t>global</w:t>
      </w:r>
      <w:r>
        <w:rPr>
          <w:rFonts w:ascii="Times New Roman" w:hAnsi="Times New Roman" w:cs="Times New Roman"/>
          <w:sz w:val="24"/>
        </w:rPr>
        <w:t xml:space="preserve"> efficiency</w:t>
      </w:r>
      <w:r w:rsidR="00F552DC">
        <w:rPr>
          <w:rFonts w:ascii="Times New Roman" w:eastAsia="Times New Roman" w:hAnsi="Times New Roman" w:cs="Times New Roman"/>
          <w:sz w:val="24"/>
          <w:szCs w:val="24"/>
        </w:rPr>
        <w:t>.</w:t>
      </w:r>
      <w:r w:rsidR="00712E2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Similar results were found in</w:t>
      </w:r>
      <w:r w:rsidR="00712E26">
        <w:rPr>
          <w:rFonts w:ascii="Times New Roman" w:eastAsia="Times New Roman" w:hAnsi="Times New Roman" w:cs="Times New Roman"/>
          <w:sz w:val="24"/>
          <w:szCs w:val="24"/>
        </w:rPr>
        <w:t xml:space="preserve"> </w:t>
      </w:r>
      <w:r w:rsidR="00FE5DC9">
        <w:rPr>
          <w:rFonts w:ascii="Times New Roman" w:eastAsia="Times New Roman" w:hAnsi="Times New Roman" w:cs="Times New Roman"/>
          <w:sz w:val="24"/>
          <w:szCs w:val="24"/>
        </w:rPr>
        <w:t xml:space="preserve">the </w:t>
      </w:r>
      <w:r w:rsidR="00712E26">
        <w:rPr>
          <w:rFonts w:ascii="Times New Roman" w:eastAsia="Times New Roman" w:hAnsi="Times New Roman" w:cs="Times New Roman"/>
          <w:sz w:val="24"/>
          <w:szCs w:val="24"/>
        </w:rPr>
        <w:t xml:space="preserve">local efficiency </w:t>
      </w:r>
      <w:r w:rsidR="00712E26">
        <w:rPr>
          <w:rFonts w:ascii="Times New Roman" w:hAnsi="Times New Roman" w:cs="Times New Roman"/>
          <w:sz w:val="24"/>
        </w:rPr>
        <w:t>(</w:t>
      </w:r>
      <w:r w:rsidR="00B37A0D">
        <w:rPr>
          <w:rFonts w:ascii="Times New Roman" w:hAnsi="Times New Roman" w:cs="Times New Roman"/>
          <w:sz w:val="24"/>
        </w:rPr>
        <w:t>see</w:t>
      </w:r>
      <w:r w:rsidR="00F552DC">
        <w:rPr>
          <w:rFonts w:ascii="Times New Roman" w:eastAsia="Times New Roman" w:hAnsi="Times New Roman" w:cs="Times New Roman"/>
          <w:sz w:val="24"/>
          <w:szCs w:val="24"/>
        </w:rPr>
        <w:t xml:space="preserve"> </w:t>
      </w:r>
      <w:r w:rsidR="00F552DC" w:rsidRPr="00F552DC">
        <w:rPr>
          <w:rFonts w:ascii="Times New Roman" w:eastAsia="Times New Roman" w:hAnsi="Times New Roman" w:cs="Times New Roman"/>
          <w:sz w:val="24"/>
          <w:szCs w:val="24"/>
        </w:rPr>
        <w:t>Figure</w:t>
      </w:r>
      <w:r w:rsidR="00FE5DC9" w:rsidRPr="00FE5DC9">
        <w:rPr>
          <w:rFonts w:ascii="Times New Roman" w:eastAsia="Times New Roman" w:hAnsi="Times New Roman" w:cs="Times New Roman"/>
          <w:sz w:val="24"/>
          <w:szCs w:val="24"/>
        </w:rPr>
        <w:t xml:space="preserve"> </w:t>
      </w:r>
      <w:r w:rsidR="00FE5DC9" w:rsidRPr="00F552DC">
        <w:rPr>
          <w:rFonts w:ascii="Times New Roman" w:eastAsia="Times New Roman" w:hAnsi="Times New Roman" w:cs="Times New Roman"/>
          <w:sz w:val="24"/>
          <w:szCs w:val="24"/>
        </w:rPr>
        <w:t>S</w:t>
      </w:r>
      <w:r w:rsidR="00F552DC" w:rsidRPr="00F552DC">
        <w:rPr>
          <w:rFonts w:ascii="Times New Roman" w:eastAsia="Times New Roman" w:hAnsi="Times New Roman" w:cs="Times New Roman"/>
          <w:sz w:val="24"/>
          <w:szCs w:val="24"/>
        </w:rPr>
        <w:t>1</w:t>
      </w:r>
      <w:r w:rsidR="00FE5DC9">
        <w:rPr>
          <w:rFonts w:ascii="Times New Roman" w:eastAsia="Times New Roman" w:hAnsi="Times New Roman" w:cs="Times New Roman"/>
          <w:sz w:val="24"/>
          <w:szCs w:val="24"/>
        </w:rPr>
        <w:t xml:space="preserve"> </w:t>
      </w:r>
      <w:r w:rsidR="00F552DC">
        <w:rPr>
          <w:rFonts w:ascii="Times New Roman" w:eastAsia="Times New Roman" w:hAnsi="Times New Roman" w:cs="Times New Roman"/>
          <w:sz w:val="24"/>
          <w:szCs w:val="24"/>
        </w:rPr>
        <w:t xml:space="preserve">and Table </w:t>
      </w:r>
      <w:r w:rsidR="00FE5DC9">
        <w:rPr>
          <w:rFonts w:ascii="Times New Roman" w:eastAsia="Times New Roman" w:hAnsi="Times New Roman" w:cs="Times New Roman"/>
          <w:sz w:val="24"/>
          <w:szCs w:val="24"/>
        </w:rPr>
        <w:t>S</w:t>
      </w:r>
      <w:r w:rsidR="00F552DC">
        <w:rPr>
          <w:rFonts w:ascii="Times New Roman" w:eastAsia="Times New Roman" w:hAnsi="Times New Roman" w:cs="Times New Roman"/>
          <w:sz w:val="24"/>
          <w:szCs w:val="24"/>
        </w:rPr>
        <w:t>1</w:t>
      </w:r>
      <w:r w:rsidR="00B37A0D">
        <w:rPr>
          <w:rFonts w:ascii="Times New Roman" w:eastAsia="Times New Roman" w:hAnsi="Times New Roman" w:cs="Times New Roman"/>
          <w:sz w:val="24"/>
          <w:szCs w:val="24"/>
        </w:rPr>
        <w:t>)</w:t>
      </w:r>
      <w:r w:rsidR="000F756B">
        <w:rPr>
          <w:rFonts w:ascii="Times New Roman" w:eastAsia="Times New Roman" w:hAnsi="Times New Roman" w:cs="Times New Roman"/>
          <w:sz w:val="24"/>
          <w:szCs w:val="24"/>
        </w:rPr>
        <w:t>.</w:t>
      </w:r>
    </w:p>
    <w:p w14:paraId="461A0065" w14:textId="260D2D21" w:rsidR="005B52B1" w:rsidRPr="001B5F77" w:rsidRDefault="00063A65" w:rsidP="00017E5A">
      <w:pPr>
        <w:rPr>
          <w:rFonts w:ascii="Times New Roman" w:hAnsi="Times New Roman" w:cs="Times New Roman"/>
          <w:sz w:val="24"/>
        </w:rPr>
      </w:pPr>
      <w:r>
        <w:rPr>
          <w:rFonts w:ascii="Times New Roman" w:hAnsi="Times New Roman" w:cs="Times New Roman"/>
          <w:noProof/>
          <w:sz w:val="24"/>
        </w:rPr>
        <w:drawing>
          <wp:inline distT="0" distB="0" distL="0" distR="0" wp14:anchorId="56FEA489" wp14:editId="4D7F78DA">
            <wp:extent cx="5192973" cy="2416113"/>
            <wp:effectExtent l="0" t="0" r="8255"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jpg"/>
                    <pic:cNvPicPr/>
                  </pic:nvPicPr>
                  <pic:blipFill rotWithShape="1">
                    <a:blip r:embed="rId8" cstate="print">
                      <a:extLst>
                        <a:ext uri="{28A0092B-C50C-407E-A947-70E740481C1C}">
                          <a14:useLocalDpi xmlns:a14="http://schemas.microsoft.com/office/drawing/2010/main" val="0"/>
                        </a:ext>
                      </a:extLst>
                    </a:blip>
                    <a:srcRect t="4831" b="11436"/>
                    <a:stretch/>
                  </pic:blipFill>
                  <pic:spPr bwMode="auto">
                    <a:xfrm>
                      <a:off x="0" y="0"/>
                      <a:ext cx="5217582" cy="2427563"/>
                    </a:xfrm>
                    <a:prstGeom prst="rect">
                      <a:avLst/>
                    </a:prstGeom>
                    <a:ln>
                      <a:noFill/>
                    </a:ln>
                    <a:extLst>
                      <a:ext uri="{53640926-AAD7-44D8-BBD7-CCE9431645EC}">
                        <a14:shadowObscured xmlns:a14="http://schemas.microsoft.com/office/drawing/2010/main"/>
                      </a:ext>
                    </a:extLst>
                  </pic:spPr>
                </pic:pic>
              </a:graphicData>
            </a:graphic>
          </wp:inline>
        </w:drawing>
      </w:r>
    </w:p>
    <w:p w14:paraId="6E8DFB67" w14:textId="6428AA9A" w:rsidR="002A0BF1" w:rsidRDefault="002A0BF1" w:rsidP="00017E5A">
      <w:pPr>
        <w:rPr>
          <w:rFonts w:ascii="Times New Roman" w:hAnsi="Times New Roman" w:cs="Times New Roman"/>
        </w:rPr>
      </w:pPr>
      <w:bookmarkStart w:id="3" w:name="OLE_LINK19"/>
      <w:bookmarkStart w:id="4" w:name="OLE_LINK20"/>
      <w:r w:rsidRPr="00EF60C3">
        <w:rPr>
          <w:rFonts w:ascii="Times New Roman" w:hAnsi="Times New Roman" w:cs="Times New Roman"/>
          <w:b/>
        </w:rPr>
        <w:t>F</w:t>
      </w:r>
      <w:r w:rsidRPr="00EF60C3">
        <w:rPr>
          <w:rFonts w:ascii="Times New Roman" w:hAnsi="Times New Roman" w:cs="Times New Roman" w:hint="eastAsia"/>
          <w:b/>
        </w:rPr>
        <w:t>igure</w:t>
      </w:r>
      <w:r w:rsidR="00FE5DC9" w:rsidRPr="00EF60C3">
        <w:rPr>
          <w:rFonts w:ascii="Times New Roman" w:hAnsi="Times New Roman" w:cs="Times New Roman"/>
          <w:b/>
        </w:rPr>
        <w:t xml:space="preserve"> S</w:t>
      </w:r>
      <w:r w:rsidRPr="00EF60C3">
        <w:rPr>
          <w:rFonts w:ascii="Times New Roman" w:hAnsi="Times New Roman" w:cs="Times New Roman"/>
          <w:b/>
        </w:rPr>
        <w:t>1</w:t>
      </w:r>
      <w:r>
        <w:rPr>
          <w:rFonts w:ascii="Times New Roman" w:hAnsi="Times New Roman" w:cs="Times New Roman"/>
        </w:rPr>
        <w:t>:</w:t>
      </w:r>
      <w:bookmarkEnd w:id="3"/>
      <w:bookmarkEnd w:id="4"/>
      <w:r>
        <w:rPr>
          <w:rFonts w:ascii="Times New Roman" w:hAnsi="Times New Roman" w:cs="Times New Roman"/>
        </w:rPr>
        <w:t xml:space="preserve"> The difference of</w:t>
      </w:r>
      <w:r w:rsidR="00C70F94" w:rsidRPr="00C70F94">
        <w:rPr>
          <w:rFonts w:ascii="Times New Roman" w:hAnsi="Times New Roman" w:cs="Times New Roman"/>
        </w:rPr>
        <w:t xml:space="preserve"> </w:t>
      </w:r>
      <w:r w:rsidR="00C70F94">
        <w:rPr>
          <w:rFonts w:ascii="Times New Roman" w:hAnsi="Times New Roman" w:cs="Times New Roman"/>
        </w:rPr>
        <w:t>global(A)</w:t>
      </w:r>
      <w:r>
        <w:rPr>
          <w:rFonts w:ascii="Times New Roman" w:hAnsi="Times New Roman" w:cs="Times New Roman"/>
        </w:rPr>
        <w:t xml:space="preserve"> </w:t>
      </w:r>
      <w:r w:rsidR="00C70F94">
        <w:rPr>
          <w:rFonts w:ascii="Times New Roman" w:hAnsi="Times New Roman" w:cs="Times New Roman"/>
        </w:rPr>
        <w:t xml:space="preserve">and </w:t>
      </w:r>
      <w:r>
        <w:rPr>
          <w:rFonts w:ascii="Times New Roman" w:hAnsi="Times New Roman" w:cs="Times New Roman"/>
        </w:rPr>
        <w:t>local</w:t>
      </w:r>
      <w:r w:rsidR="00C70F94">
        <w:rPr>
          <w:rFonts w:ascii="Times New Roman" w:hAnsi="Times New Roman" w:cs="Times New Roman"/>
        </w:rPr>
        <w:t>(B)</w:t>
      </w:r>
      <w:r>
        <w:rPr>
          <w:rFonts w:ascii="Times New Roman" w:hAnsi="Times New Roman" w:cs="Times New Roman"/>
        </w:rPr>
        <w:t xml:space="preserve"> efficiency between healthy controls and </w:t>
      </w:r>
      <w:r w:rsidRPr="00F552DC">
        <w:rPr>
          <w:rFonts w:ascii="Times New Roman" w:hAnsi="Times New Roman" w:cs="Times New Roman"/>
        </w:rPr>
        <w:t>abstinen</w:t>
      </w:r>
      <w:r w:rsidR="00F552DC" w:rsidRPr="00F552DC">
        <w:rPr>
          <w:rFonts w:ascii="Times New Roman" w:hAnsi="Times New Roman" w:cs="Times New Roman"/>
        </w:rPr>
        <w:t>t</w:t>
      </w:r>
      <w:r w:rsidRPr="00F552DC">
        <w:rPr>
          <w:rFonts w:ascii="Times New Roman" w:hAnsi="Times New Roman" w:cs="Times New Roman" w:hint="eastAsia"/>
        </w:rPr>
        <w:t xml:space="preserve"> </w:t>
      </w:r>
      <w:r w:rsidRPr="00F552DC">
        <w:rPr>
          <w:rFonts w:ascii="Times New Roman" w:hAnsi="Times New Roman" w:cs="Times New Roman"/>
        </w:rPr>
        <w:t>individuals</w:t>
      </w:r>
      <w:r w:rsidR="00F552DC">
        <w:rPr>
          <w:rFonts w:ascii="Times New Roman" w:hAnsi="Times New Roman" w:cs="Times New Roman"/>
        </w:rPr>
        <w:t xml:space="preserve"> at thresholds from 0.01 to 0.35</w:t>
      </w:r>
      <w:r w:rsidR="00B82439">
        <w:rPr>
          <w:rFonts w:ascii="Times New Roman" w:hAnsi="Times New Roman" w:cs="Times New Roman"/>
        </w:rPr>
        <w:t xml:space="preserve">; </w:t>
      </w:r>
      <w:r w:rsidR="00B82439" w:rsidRPr="00B82439">
        <w:rPr>
          <w:rFonts w:ascii="Times New Roman" w:hAnsi="Times New Roman" w:cs="Times New Roman"/>
        </w:rPr>
        <w:t>*</w:t>
      </w:r>
      <w:r w:rsidR="00B82439">
        <w:rPr>
          <w:rFonts w:ascii="Times New Roman" w:hAnsi="Times New Roman" w:cs="Times New Roman" w:hint="eastAsia"/>
        </w:rPr>
        <w:t>:</w:t>
      </w:r>
      <w:r w:rsidR="00B82439">
        <w:rPr>
          <w:rFonts w:ascii="Times New Roman" w:hAnsi="Times New Roman" w:cs="Times New Roman"/>
        </w:rPr>
        <w:t xml:space="preserve"> </w:t>
      </w:r>
      <w:r w:rsidR="00C05A0E" w:rsidRPr="00C05A0E">
        <w:rPr>
          <w:rFonts w:ascii="Times New Roman" w:hAnsi="Times New Roman" w:cs="Times New Roman" w:hint="eastAsia"/>
          <w:i/>
        </w:rPr>
        <w:t>p</w:t>
      </w:r>
      <w:r w:rsidR="00C05A0E">
        <w:rPr>
          <w:rFonts w:ascii="Times New Roman" w:hAnsi="Times New Roman" w:cs="Times New Roman"/>
          <w:i/>
        </w:rPr>
        <w:t xml:space="preserve"> </w:t>
      </w:r>
      <w:r w:rsidR="00B82439" w:rsidRPr="00B82439">
        <w:rPr>
          <w:rFonts w:ascii="Times New Roman" w:hAnsi="Times New Roman" w:cs="Times New Roman"/>
        </w:rPr>
        <w:t>&lt;</w:t>
      </w:r>
      <w:r w:rsidR="00C05A0E">
        <w:rPr>
          <w:rFonts w:ascii="Times New Roman" w:hAnsi="Times New Roman" w:cs="Times New Roman"/>
        </w:rPr>
        <w:t xml:space="preserve"> </w:t>
      </w:r>
      <w:r w:rsidR="00B82439" w:rsidRPr="00B82439">
        <w:rPr>
          <w:rFonts w:ascii="Times New Roman" w:hAnsi="Times New Roman" w:cs="Times New Roman"/>
        </w:rPr>
        <w:t>0.05</w:t>
      </w:r>
      <w:r w:rsidR="00B82439">
        <w:rPr>
          <w:rFonts w:ascii="Times New Roman" w:hAnsi="Times New Roman" w:cs="Times New Roman"/>
        </w:rPr>
        <w:t>.</w:t>
      </w:r>
    </w:p>
    <w:p w14:paraId="4FFA33F8" w14:textId="77777777" w:rsidR="00262E8E" w:rsidRPr="00B82439" w:rsidRDefault="00262E8E" w:rsidP="00262E8E">
      <w:pPr>
        <w:rPr>
          <w:rFonts w:ascii="Times New Roman" w:eastAsia="Times New Roman" w:hAnsi="Times New Roman" w:cs="Times New Roman"/>
          <w:b/>
          <w:sz w:val="24"/>
          <w:szCs w:val="24"/>
        </w:rPr>
      </w:pPr>
      <w:r w:rsidRPr="00B82439">
        <w:rPr>
          <w:rFonts w:ascii="Times New Roman" w:eastAsia="Times New Roman" w:hAnsi="Times New Roman" w:cs="Times New Roman"/>
          <w:b/>
          <w:sz w:val="24"/>
          <w:szCs w:val="24"/>
        </w:rPr>
        <w:t>References</w:t>
      </w:r>
    </w:p>
    <w:p w14:paraId="725CEF52" w14:textId="725619C4" w:rsidR="00952FB7" w:rsidRPr="00952FB7" w:rsidRDefault="00262E8E" w:rsidP="00952FB7">
      <w:pPr>
        <w:autoSpaceDE w:val="0"/>
        <w:autoSpaceDN w:val="0"/>
        <w:adjustRightInd w:val="0"/>
        <w:ind w:left="480" w:hanging="480"/>
        <w:jc w:val="left"/>
        <w:rPr>
          <w:rFonts w:ascii="等线" w:eastAsia="等线" w:hAnsi="等线"/>
          <w:noProof/>
          <w:sz w:val="20"/>
        </w:rPr>
      </w:pPr>
      <w:r>
        <w:fldChar w:fldCharType="begin" w:fldLock="1"/>
      </w:r>
      <w:r>
        <w:instrText xml:space="preserve">ADDIN Mendeley Bibliography CSL_BIBLIOGRAPHY </w:instrText>
      </w:r>
      <w:r>
        <w:fldChar w:fldCharType="separate"/>
      </w:r>
      <w:r w:rsidR="00952FB7" w:rsidRPr="00952FB7">
        <w:rPr>
          <w:rFonts w:ascii="等线" w:eastAsia="等线" w:hAnsi="等线" w:cs="Times New Roman"/>
          <w:noProof/>
          <w:kern w:val="0"/>
          <w:sz w:val="20"/>
          <w:szCs w:val="24"/>
        </w:rPr>
        <w:t>Wang, J., Wang, X., Xia, M., Liao, X., Evans, A., He, Y., 2015. GRETNA: A graph theoretical network analysis toolbox for imaging connectomics. Front. Hum. Neurosci. 9, 1–16. https://doi.org/10.3389/fnhum.2015.00386</w:t>
      </w:r>
    </w:p>
    <w:p w14:paraId="7AE94D58" w14:textId="77777777" w:rsidR="00262E8E" w:rsidRDefault="00262E8E" w:rsidP="00262E8E">
      <w:r>
        <w:fldChar w:fldCharType="end"/>
      </w:r>
    </w:p>
    <w:p w14:paraId="0725CB70" w14:textId="77777777" w:rsidR="00262E8E" w:rsidRPr="00262E8E" w:rsidRDefault="00262E8E" w:rsidP="00017E5A">
      <w:pPr>
        <w:rPr>
          <w:rFonts w:ascii="Times New Roman" w:hAnsi="Times New Roman" w:cs="Times New Roman"/>
        </w:rPr>
      </w:pPr>
    </w:p>
    <w:p w14:paraId="1C64F7FF" w14:textId="72A73DF6" w:rsidR="00D71A41" w:rsidRDefault="00D71A41">
      <w:pPr>
        <w:widowControl/>
        <w:jc w:val="left"/>
        <w:rPr>
          <w:rFonts w:ascii="Times New Roman" w:hAnsi="Times New Roman" w:cs="Times New Roman"/>
        </w:rPr>
      </w:pPr>
      <w:r>
        <w:rPr>
          <w:rFonts w:ascii="Times New Roman" w:hAnsi="Times New Roman" w:cs="Times New Roman"/>
        </w:rPr>
        <w:br w:type="page"/>
      </w:r>
    </w:p>
    <w:p w14:paraId="57F2A104" w14:textId="3DEC3D7A" w:rsidR="00063A65" w:rsidRPr="00063A65" w:rsidRDefault="00063A65" w:rsidP="00063A65">
      <w:pPr>
        <w:jc w:val="center"/>
        <w:rPr>
          <w:rFonts w:ascii="Times New Roman" w:hAnsi="Times New Roman" w:cs="Times New Roman"/>
          <w:sz w:val="24"/>
          <w:szCs w:val="24"/>
        </w:rPr>
      </w:pPr>
      <w:bookmarkStart w:id="5" w:name="OLE_LINK5"/>
      <w:bookmarkStart w:id="6" w:name="OLE_LINK6"/>
      <w:r>
        <w:rPr>
          <w:rFonts w:ascii="Times New Roman" w:hAnsi="Times New Roman" w:cs="Times New Roman"/>
          <w:sz w:val="24"/>
          <w:szCs w:val="24"/>
        </w:rPr>
        <w:lastRenderedPageBreak/>
        <w:t>Table</w:t>
      </w:r>
      <w:r w:rsidR="00FE5DC9" w:rsidRPr="00FE5DC9">
        <w:rPr>
          <w:rFonts w:ascii="Times New Roman" w:hAnsi="Times New Roman" w:cs="Times New Roman"/>
          <w:sz w:val="24"/>
          <w:szCs w:val="24"/>
        </w:rPr>
        <w:t xml:space="preserve"> </w:t>
      </w:r>
      <w:r w:rsidR="00FE5DC9">
        <w:rPr>
          <w:rFonts w:ascii="Times New Roman" w:hAnsi="Times New Roman" w:cs="Times New Roman"/>
          <w:sz w:val="24"/>
          <w:szCs w:val="24"/>
        </w:rPr>
        <w:t>S</w:t>
      </w:r>
      <w:r>
        <w:rPr>
          <w:rFonts w:ascii="Times New Roman" w:hAnsi="Times New Roman" w:cs="Times New Roman"/>
          <w:sz w:val="24"/>
          <w:szCs w:val="24"/>
        </w:rPr>
        <w:t xml:space="preserve">1: </w:t>
      </w:r>
      <w:r w:rsidR="00C70F94">
        <w:rPr>
          <w:rFonts w:ascii="Times New Roman" w:hAnsi="Times New Roman" w:cs="Times New Roman"/>
          <w:sz w:val="24"/>
          <w:szCs w:val="24"/>
        </w:rPr>
        <w:t>T</w:t>
      </w:r>
      <w:r>
        <w:rPr>
          <w:rFonts w:ascii="Times New Roman" w:hAnsi="Times New Roman" w:cs="Times New Roman"/>
          <w:sz w:val="24"/>
          <w:szCs w:val="24"/>
        </w:rPr>
        <w:t xml:space="preserve">he difference of AUC of </w:t>
      </w:r>
      <w:r w:rsidRPr="001B5F77">
        <w:rPr>
          <w:rFonts w:ascii="Times New Roman" w:hAnsi="Times New Roman" w:cs="Times New Roman"/>
          <w:sz w:val="24"/>
        </w:rPr>
        <w:t>local and global efficiency</w:t>
      </w:r>
      <w:r>
        <w:rPr>
          <w:rFonts w:ascii="Times New Roman" w:hAnsi="Times New Roman" w:cs="Times New Roman"/>
          <w:sz w:val="24"/>
        </w:rPr>
        <w:t xml:space="preserve"> between healthy controls and abstinent individuals</w:t>
      </w:r>
    </w:p>
    <w:tbl>
      <w:tblPr>
        <w:tblW w:w="8600" w:type="dxa"/>
        <w:tblBorders>
          <w:top w:val="single" w:sz="8" w:space="0" w:color="auto"/>
          <w:bottom w:val="single" w:sz="8" w:space="0" w:color="auto"/>
        </w:tblBorders>
        <w:tblLook w:val="04A0" w:firstRow="1" w:lastRow="0" w:firstColumn="1" w:lastColumn="0" w:noHBand="0" w:noVBand="1"/>
      </w:tblPr>
      <w:tblGrid>
        <w:gridCol w:w="1985"/>
        <w:gridCol w:w="1855"/>
        <w:gridCol w:w="2160"/>
        <w:gridCol w:w="1300"/>
        <w:gridCol w:w="1300"/>
      </w:tblGrid>
      <w:tr w:rsidR="00983F9C" w:rsidRPr="00983F9C" w14:paraId="37F0C694" w14:textId="77777777" w:rsidTr="006C3D7C">
        <w:trPr>
          <w:trHeight w:val="285"/>
        </w:trPr>
        <w:tc>
          <w:tcPr>
            <w:tcW w:w="1985" w:type="dxa"/>
            <w:shd w:val="clear" w:color="auto" w:fill="auto"/>
            <w:noWrap/>
            <w:vAlign w:val="bottom"/>
            <w:hideMark/>
          </w:tcPr>
          <w:p w14:paraId="12180760" w14:textId="77777777" w:rsidR="00983F9C" w:rsidRPr="00983F9C" w:rsidRDefault="00983F9C" w:rsidP="00983F9C">
            <w:pPr>
              <w:widowControl/>
              <w:jc w:val="left"/>
              <w:rPr>
                <w:rFonts w:ascii="Times New Roman" w:eastAsia="宋体" w:hAnsi="Times New Roman" w:cs="Times New Roman"/>
                <w:kern w:val="0"/>
                <w:sz w:val="24"/>
                <w:szCs w:val="24"/>
              </w:rPr>
            </w:pPr>
          </w:p>
        </w:tc>
        <w:tc>
          <w:tcPr>
            <w:tcW w:w="1855" w:type="dxa"/>
            <w:shd w:val="clear" w:color="auto" w:fill="auto"/>
            <w:noWrap/>
            <w:vAlign w:val="bottom"/>
            <w:hideMark/>
          </w:tcPr>
          <w:p w14:paraId="3EDF9716" w14:textId="77777777" w:rsidR="00983F9C" w:rsidRPr="00983F9C" w:rsidRDefault="00983F9C" w:rsidP="00983F9C">
            <w:pPr>
              <w:widowControl/>
              <w:jc w:val="center"/>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Healthy control</w:t>
            </w:r>
          </w:p>
        </w:tc>
        <w:tc>
          <w:tcPr>
            <w:tcW w:w="2160" w:type="dxa"/>
            <w:shd w:val="clear" w:color="auto" w:fill="auto"/>
            <w:noWrap/>
            <w:vAlign w:val="bottom"/>
            <w:hideMark/>
          </w:tcPr>
          <w:p w14:paraId="22B3FD16" w14:textId="77777777" w:rsidR="00983F9C" w:rsidRPr="00983F9C" w:rsidRDefault="00983F9C" w:rsidP="00983F9C">
            <w:pPr>
              <w:widowControl/>
              <w:jc w:val="center"/>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Alcohol abst</w:t>
            </w:r>
            <w:r>
              <w:rPr>
                <w:rFonts w:ascii="Times New Roman" w:eastAsia="等线" w:hAnsi="Times New Roman" w:cs="Times New Roman"/>
                <w:color w:val="000000"/>
                <w:kern w:val="0"/>
                <w:sz w:val="24"/>
                <w:szCs w:val="24"/>
              </w:rPr>
              <w:t>i</w:t>
            </w:r>
            <w:r w:rsidRPr="00983F9C">
              <w:rPr>
                <w:rFonts w:ascii="Times New Roman" w:eastAsia="等线" w:hAnsi="Times New Roman" w:cs="Times New Roman"/>
                <w:color w:val="000000"/>
                <w:kern w:val="0"/>
                <w:sz w:val="24"/>
                <w:szCs w:val="24"/>
              </w:rPr>
              <w:t xml:space="preserve">nence </w:t>
            </w:r>
          </w:p>
        </w:tc>
        <w:tc>
          <w:tcPr>
            <w:tcW w:w="2600" w:type="dxa"/>
            <w:gridSpan w:val="2"/>
            <w:shd w:val="clear" w:color="auto" w:fill="auto"/>
            <w:noWrap/>
            <w:vAlign w:val="bottom"/>
            <w:hideMark/>
          </w:tcPr>
          <w:p w14:paraId="6E010384" w14:textId="77777777" w:rsidR="00983F9C" w:rsidRPr="00983F9C" w:rsidRDefault="00983F9C" w:rsidP="00983F9C">
            <w:pPr>
              <w:widowControl/>
              <w:jc w:val="center"/>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Statistical value</w:t>
            </w:r>
          </w:p>
        </w:tc>
      </w:tr>
      <w:tr w:rsidR="006C3D7C" w:rsidRPr="00983F9C" w14:paraId="3D416379" w14:textId="77777777" w:rsidTr="006C3D7C">
        <w:trPr>
          <w:trHeight w:val="285"/>
        </w:trPr>
        <w:tc>
          <w:tcPr>
            <w:tcW w:w="1985" w:type="dxa"/>
            <w:tcBorders>
              <w:bottom w:val="single" w:sz="8" w:space="0" w:color="auto"/>
            </w:tcBorders>
            <w:shd w:val="clear" w:color="auto" w:fill="auto"/>
            <w:noWrap/>
            <w:vAlign w:val="bottom"/>
            <w:hideMark/>
          </w:tcPr>
          <w:p w14:paraId="2AFEFDB3" w14:textId="77777777" w:rsidR="00983F9C" w:rsidRPr="00983F9C" w:rsidRDefault="00983F9C" w:rsidP="00983F9C">
            <w:pPr>
              <w:widowControl/>
              <w:jc w:val="center"/>
              <w:rPr>
                <w:rFonts w:ascii="Times New Roman" w:eastAsia="等线" w:hAnsi="Times New Roman" w:cs="Times New Roman"/>
                <w:color w:val="000000"/>
                <w:kern w:val="0"/>
                <w:sz w:val="24"/>
                <w:szCs w:val="24"/>
              </w:rPr>
            </w:pPr>
          </w:p>
        </w:tc>
        <w:tc>
          <w:tcPr>
            <w:tcW w:w="1855" w:type="dxa"/>
            <w:tcBorders>
              <w:bottom w:val="single" w:sz="8" w:space="0" w:color="auto"/>
            </w:tcBorders>
            <w:shd w:val="clear" w:color="auto" w:fill="auto"/>
            <w:noWrap/>
            <w:vAlign w:val="bottom"/>
            <w:hideMark/>
          </w:tcPr>
          <w:p w14:paraId="13577F04" w14:textId="77777777" w:rsidR="00983F9C" w:rsidRPr="00983F9C" w:rsidRDefault="00983F9C" w:rsidP="00983F9C">
            <w:pPr>
              <w:widowControl/>
              <w:jc w:val="center"/>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mean(SD)</w:t>
            </w:r>
          </w:p>
        </w:tc>
        <w:tc>
          <w:tcPr>
            <w:tcW w:w="2160" w:type="dxa"/>
            <w:tcBorders>
              <w:bottom w:val="single" w:sz="8" w:space="0" w:color="auto"/>
            </w:tcBorders>
            <w:shd w:val="clear" w:color="auto" w:fill="auto"/>
            <w:noWrap/>
            <w:vAlign w:val="bottom"/>
            <w:hideMark/>
          </w:tcPr>
          <w:p w14:paraId="1EB07EC4" w14:textId="77777777" w:rsidR="00983F9C" w:rsidRPr="00983F9C" w:rsidRDefault="00983F9C" w:rsidP="00983F9C">
            <w:pPr>
              <w:widowControl/>
              <w:jc w:val="center"/>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mean(SD)</w:t>
            </w:r>
          </w:p>
        </w:tc>
        <w:tc>
          <w:tcPr>
            <w:tcW w:w="1300" w:type="dxa"/>
            <w:tcBorders>
              <w:bottom w:val="single" w:sz="8" w:space="0" w:color="auto"/>
            </w:tcBorders>
            <w:shd w:val="clear" w:color="auto" w:fill="auto"/>
            <w:noWrap/>
            <w:vAlign w:val="bottom"/>
            <w:hideMark/>
          </w:tcPr>
          <w:p w14:paraId="73FBF586" w14:textId="77777777" w:rsidR="00983F9C" w:rsidRPr="00B82439" w:rsidRDefault="00983F9C" w:rsidP="00983F9C">
            <w:pPr>
              <w:widowControl/>
              <w:jc w:val="center"/>
              <w:rPr>
                <w:rFonts w:ascii="Times New Roman" w:eastAsia="等线" w:hAnsi="Times New Roman" w:cs="Times New Roman"/>
                <w:i/>
                <w:color w:val="000000"/>
                <w:kern w:val="0"/>
                <w:sz w:val="24"/>
                <w:szCs w:val="24"/>
              </w:rPr>
            </w:pPr>
            <w:r w:rsidRPr="00B82439">
              <w:rPr>
                <w:rFonts w:ascii="Times New Roman" w:eastAsia="等线" w:hAnsi="Times New Roman" w:cs="Times New Roman"/>
                <w:i/>
                <w:color w:val="000000"/>
                <w:kern w:val="0"/>
                <w:sz w:val="24"/>
                <w:szCs w:val="24"/>
              </w:rPr>
              <w:t>t</w:t>
            </w:r>
          </w:p>
        </w:tc>
        <w:tc>
          <w:tcPr>
            <w:tcW w:w="1300" w:type="dxa"/>
            <w:tcBorders>
              <w:bottom w:val="single" w:sz="8" w:space="0" w:color="auto"/>
            </w:tcBorders>
            <w:shd w:val="clear" w:color="auto" w:fill="auto"/>
            <w:noWrap/>
            <w:vAlign w:val="bottom"/>
            <w:hideMark/>
          </w:tcPr>
          <w:p w14:paraId="24070B18" w14:textId="48646217" w:rsidR="00983F9C" w:rsidRPr="00983F9C" w:rsidRDefault="00B82439" w:rsidP="00983F9C">
            <w:pPr>
              <w:widowControl/>
              <w:jc w:val="center"/>
              <w:rPr>
                <w:rFonts w:ascii="Times New Roman" w:eastAsia="等线" w:hAnsi="Times New Roman" w:cs="Times New Roman"/>
                <w:color w:val="000000"/>
                <w:kern w:val="0"/>
                <w:sz w:val="24"/>
                <w:szCs w:val="24"/>
              </w:rPr>
            </w:pPr>
            <w:r w:rsidRPr="00194569">
              <w:rPr>
                <w:rFonts w:ascii="Times New Roman" w:eastAsia="等线" w:hAnsi="Times New Roman" w:cs="Times New Roman"/>
                <w:i/>
                <w:color w:val="000000"/>
                <w:kern w:val="0"/>
                <w:sz w:val="24"/>
                <w:szCs w:val="24"/>
              </w:rPr>
              <w:t>p</w:t>
            </w:r>
            <w:r>
              <w:rPr>
                <w:rFonts w:ascii="Times New Roman" w:eastAsia="等线" w:hAnsi="Times New Roman" w:cs="Times New Roman"/>
                <w:color w:val="000000"/>
                <w:kern w:val="0"/>
                <w:sz w:val="24"/>
                <w:szCs w:val="24"/>
              </w:rPr>
              <w:t>-</w:t>
            </w:r>
            <w:r>
              <w:rPr>
                <w:rFonts w:ascii="Times New Roman" w:eastAsia="等线" w:hAnsi="Times New Roman" w:cs="Times New Roman" w:hint="eastAsia"/>
                <w:color w:val="000000"/>
                <w:kern w:val="0"/>
                <w:sz w:val="24"/>
                <w:szCs w:val="24"/>
              </w:rPr>
              <w:t>value</w:t>
            </w:r>
          </w:p>
        </w:tc>
      </w:tr>
      <w:tr w:rsidR="006C3D7C" w:rsidRPr="00983F9C" w14:paraId="63893252" w14:textId="77777777" w:rsidTr="006C3D7C">
        <w:trPr>
          <w:trHeight w:val="285"/>
        </w:trPr>
        <w:tc>
          <w:tcPr>
            <w:tcW w:w="1985" w:type="dxa"/>
            <w:tcBorders>
              <w:top w:val="single" w:sz="8" w:space="0" w:color="auto"/>
            </w:tcBorders>
            <w:shd w:val="clear" w:color="auto" w:fill="auto"/>
            <w:noWrap/>
            <w:vAlign w:val="bottom"/>
            <w:hideMark/>
          </w:tcPr>
          <w:p w14:paraId="1091E4F0" w14:textId="77777777" w:rsidR="00983F9C" w:rsidRPr="00983F9C" w:rsidRDefault="00983F9C" w:rsidP="00983F9C">
            <w:pPr>
              <w:widowControl/>
              <w:jc w:val="left"/>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Global efficiency</w:t>
            </w:r>
          </w:p>
        </w:tc>
        <w:tc>
          <w:tcPr>
            <w:tcW w:w="1855" w:type="dxa"/>
            <w:tcBorders>
              <w:top w:val="single" w:sz="8" w:space="0" w:color="auto"/>
            </w:tcBorders>
            <w:shd w:val="clear" w:color="auto" w:fill="auto"/>
            <w:noWrap/>
            <w:vAlign w:val="bottom"/>
            <w:hideMark/>
          </w:tcPr>
          <w:p w14:paraId="480885B5" w14:textId="77777777" w:rsidR="00983F9C" w:rsidRPr="00983F9C" w:rsidRDefault="00983F9C" w:rsidP="00983F9C">
            <w:pPr>
              <w:widowControl/>
              <w:jc w:val="center"/>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0.673(0.171)</w:t>
            </w:r>
          </w:p>
        </w:tc>
        <w:tc>
          <w:tcPr>
            <w:tcW w:w="2160" w:type="dxa"/>
            <w:tcBorders>
              <w:top w:val="single" w:sz="8" w:space="0" w:color="auto"/>
            </w:tcBorders>
            <w:shd w:val="clear" w:color="auto" w:fill="auto"/>
            <w:noWrap/>
            <w:vAlign w:val="bottom"/>
            <w:hideMark/>
          </w:tcPr>
          <w:p w14:paraId="09FE4547" w14:textId="77777777" w:rsidR="00983F9C" w:rsidRPr="00983F9C" w:rsidRDefault="00983F9C" w:rsidP="00983F9C">
            <w:pPr>
              <w:widowControl/>
              <w:jc w:val="center"/>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0.586(0.198)</w:t>
            </w:r>
          </w:p>
        </w:tc>
        <w:tc>
          <w:tcPr>
            <w:tcW w:w="1300" w:type="dxa"/>
            <w:tcBorders>
              <w:top w:val="single" w:sz="8" w:space="0" w:color="auto"/>
            </w:tcBorders>
            <w:shd w:val="clear" w:color="auto" w:fill="auto"/>
            <w:noWrap/>
            <w:vAlign w:val="bottom"/>
            <w:hideMark/>
          </w:tcPr>
          <w:p w14:paraId="7AB46412" w14:textId="77777777" w:rsidR="00983F9C" w:rsidRPr="00983F9C" w:rsidRDefault="00983F9C" w:rsidP="00983F9C">
            <w:pPr>
              <w:widowControl/>
              <w:jc w:val="right"/>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2.197</w:t>
            </w:r>
          </w:p>
        </w:tc>
        <w:tc>
          <w:tcPr>
            <w:tcW w:w="1300" w:type="dxa"/>
            <w:tcBorders>
              <w:top w:val="single" w:sz="8" w:space="0" w:color="auto"/>
            </w:tcBorders>
            <w:shd w:val="clear" w:color="auto" w:fill="auto"/>
            <w:noWrap/>
            <w:vAlign w:val="bottom"/>
            <w:hideMark/>
          </w:tcPr>
          <w:p w14:paraId="756FF7FA" w14:textId="77777777" w:rsidR="00983F9C" w:rsidRPr="00983F9C" w:rsidRDefault="00983F9C" w:rsidP="00983F9C">
            <w:pPr>
              <w:widowControl/>
              <w:jc w:val="right"/>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0.03</w:t>
            </w:r>
            <w:r>
              <w:rPr>
                <w:rFonts w:ascii="Times New Roman" w:eastAsia="等线" w:hAnsi="Times New Roman" w:cs="Times New Roman"/>
                <w:color w:val="000000"/>
                <w:kern w:val="0"/>
                <w:sz w:val="24"/>
                <w:szCs w:val="24"/>
              </w:rPr>
              <w:t>0</w:t>
            </w:r>
          </w:p>
        </w:tc>
      </w:tr>
      <w:tr w:rsidR="00983F9C" w:rsidRPr="00983F9C" w14:paraId="44FE581E" w14:textId="77777777" w:rsidTr="006C3D7C">
        <w:trPr>
          <w:trHeight w:val="285"/>
        </w:trPr>
        <w:tc>
          <w:tcPr>
            <w:tcW w:w="1985" w:type="dxa"/>
            <w:shd w:val="clear" w:color="auto" w:fill="auto"/>
            <w:noWrap/>
            <w:vAlign w:val="bottom"/>
            <w:hideMark/>
          </w:tcPr>
          <w:p w14:paraId="215C6169" w14:textId="77777777" w:rsidR="00983F9C" w:rsidRPr="00983F9C" w:rsidRDefault="00983F9C" w:rsidP="00983F9C">
            <w:pPr>
              <w:widowControl/>
              <w:jc w:val="left"/>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Local efficiency</w:t>
            </w:r>
          </w:p>
        </w:tc>
        <w:tc>
          <w:tcPr>
            <w:tcW w:w="1855" w:type="dxa"/>
            <w:shd w:val="clear" w:color="auto" w:fill="auto"/>
            <w:noWrap/>
            <w:vAlign w:val="bottom"/>
            <w:hideMark/>
          </w:tcPr>
          <w:p w14:paraId="7011C904" w14:textId="77777777" w:rsidR="00983F9C" w:rsidRPr="00983F9C" w:rsidRDefault="00983F9C" w:rsidP="00983F9C">
            <w:pPr>
              <w:widowControl/>
              <w:jc w:val="center"/>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0.67</w:t>
            </w:r>
            <w:r>
              <w:rPr>
                <w:rFonts w:ascii="Times New Roman" w:eastAsia="等线" w:hAnsi="Times New Roman" w:cs="Times New Roman"/>
                <w:color w:val="000000"/>
                <w:kern w:val="0"/>
                <w:sz w:val="24"/>
                <w:szCs w:val="24"/>
              </w:rPr>
              <w:t>0</w:t>
            </w:r>
            <w:r w:rsidRPr="00983F9C">
              <w:rPr>
                <w:rFonts w:ascii="Times New Roman" w:eastAsia="等线" w:hAnsi="Times New Roman" w:cs="Times New Roman"/>
                <w:color w:val="000000"/>
                <w:kern w:val="0"/>
                <w:sz w:val="24"/>
                <w:szCs w:val="24"/>
              </w:rPr>
              <w:t>(0.189)</w:t>
            </w:r>
          </w:p>
        </w:tc>
        <w:tc>
          <w:tcPr>
            <w:tcW w:w="2160" w:type="dxa"/>
            <w:shd w:val="clear" w:color="auto" w:fill="auto"/>
            <w:noWrap/>
            <w:vAlign w:val="bottom"/>
            <w:hideMark/>
          </w:tcPr>
          <w:p w14:paraId="7559906B" w14:textId="77777777" w:rsidR="00983F9C" w:rsidRPr="00983F9C" w:rsidRDefault="00983F9C" w:rsidP="00983F9C">
            <w:pPr>
              <w:widowControl/>
              <w:jc w:val="center"/>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0.57</w:t>
            </w:r>
            <w:r>
              <w:rPr>
                <w:rFonts w:ascii="Times New Roman" w:eastAsia="等线" w:hAnsi="Times New Roman" w:cs="Times New Roman"/>
                <w:color w:val="000000"/>
                <w:kern w:val="0"/>
                <w:sz w:val="24"/>
                <w:szCs w:val="24"/>
              </w:rPr>
              <w:t>0</w:t>
            </w:r>
            <w:r w:rsidRPr="00983F9C">
              <w:rPr>
                <w:rFonts w:ascii="Times New Roman" w:eastAsia="等线" w:hAnsi="Times New Roman" w:cs="Times New Roman"/>
                <w:color w:val="000000"/>
                <w:kern w:val="0"/>
                <w:sz w:val="24"/>
                <w:szCs w:val="24"/>
              </w:rPr>
              <w:t>(0.217)</w:t>
            </w:r>
          </w:p>
        </w:tc>
        <w:tc>
          <w:tcPr>
            <w:tcW w:w="1300" w:type="dxa"/>
            <w:shd w:val="clear" w:color="auto" w:fill="auto"/>
            <w:noWrap/>
            <w:vAlign w:val="bottom"/>
            <w:hideMark/>
          </w:tcPr>
          <w:p w14:paraId="08063D5B" w14:textId="77777777" w:rsidR="00983F9C" w:rsidRPr="00983F9C" w:rsidRDefault="00983F9C" w:rsidP="00983F9C">
            <w:pPr>
              <w:widowControl/>
              <w:jc w:val="right"/>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2.024</w:t>
            </w:r>
          </w:p>
        </w:tc>
        <w:tc>
          <w:tcPr>
            <w:tcW w:w="1300" w:type="dxa"/>
            <w:shd w:val="clear" w:color="auto" w:fill="auto"/>
            <w:noWrap/>
            <w:vAlign w:val="bottom"/>
            <w:hideMark/>
          </w:tcPr>
          <w:p w14:paraId="726C6F7F" w14:textId="77777777" w:rsidR="00983F9C" w:rsidRPr="00983F9C" w:rsidRDefault="00983F9C" w:rsidP="00983F9C">
            <w:pPr>
              <w:widowControl/>
              <w:jc w:val="right"/>
              <w:rPr>
                <w:rFonts w:ascii="Times New Roman" w:eastAsia="等线" w:hAnsi="Times New Roman" w:cs="Times New Roman"/>
                <w:color w:val="000000"/>
                <w:kern w:val="0"/>
                <w:sz w:val="24"/>
                <w:szCs w:val="24"/>
              </w:rPr>
            </w:pPr>
            <w:r w:rsidRPr="00983F9C">
              <w:rPr>
                <w:rFonts w:ascii="Times New Roman" w:eastAsia="等线" w:hAnsi="Times New Roman" w:cs="Times New Roman"/>
                <w:color w:val="000000"/>
                <w:kern w:val="0"/>
                <w:sz w:val="24"/>
                <w:szCs w:val="24"/>
              </w:rPr>
              <w:t>0.046</w:t>
            </w:r>
          </w:p>
        </w:tc>
      </w:tr>
    </w:tbl>
    <w:p w14:paraId="67B1E6DB" w14:textId="77777777" w:rsidR="00D03B24" w:rsidRDefault="00D03B24" w:rsidP="002957B6">
      <w:pPr>
        <w:rPr>
          <w:rFonts w:ascii="Times New Roman" w:eastAsia="Times New Roman" w:hAnsi="Times New Roman" w:cs="Times New Roman"/>
          <w:sz w:val="24"/>
          <w:szCs w:val="24"/>
        </w:rPr>
      </w:pPr>
    </w:p>
    <w:bookmarkEnd w:id="5"/>
    <w:bookmarkEnd w:id="6"/>
    <w:p w14:paraId="1F0F1E87" w14:textId="77777777" w:rsidR="00D03B24" w:rsidRDefault="00D03B24" w:rsidP="002957B6">
      <w:pPr>
        <w:rPr>
          <w:rFonts w:ascii="Times New Roman" w:eastAsia="Times New Roman" w:hAnsi="Times New Roman" w:cs="Times New Roman"/>
          <w:sz w:val="24"/>
          <w:szCs w:val="24"/>
        </w:rPr>
      </w:pPr>
    </w:p>
    <w:sectPr w:rsidR="00D03B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7E1533C" w14:textId="77777777" w:rsidR="00672330" w:rsidRDefault="00672330" w:rsidP="005E1EC2">
      <w:r>
        <w:separator/>
      </w:r>
    </w:p>
  </w:endnote>
  <w:endnote w:type="continuationSeparator" w:id="0">
    <w:p w14:paraId="229D9986" w14:textId="77777777" w:rsidR="00672330" w:rsidRDefault="00672330" w:rsidP="005E1E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57FED3" w14:textId="77777777" w:rsidR="00672330" w:rsidRDefault="00672330" w:rsidP="005E1EC2">
      <w:r>
        <w:separator/>
      </w:r>
    </w:p>
  </w:footnote>
  <w:footnote w:type="continuationSeparator" w:id="0">
    <w:p w14:paraId="6F046155" w14:textId="77777777" w:rsidR="00672330" w:rsidRDefault="00672330" w:rsidP="005E1EC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9D1F2D"/>
    <w:multiLevelType w:val="hybridMultilevel"/>
    <w:tmpl w:val="7C9E59AC"/>
    <w:lvl w:ilvl="0" w:tplc="79589A8C">
      <w:start w:val="2014"/>
      <w:numFmt w:val="bullet"/>
      <w:lvlText w:val=""/>
      <w:lvlJc w:val="left"/>
      <w:pPr>
        <w:ind w:left="360" w:hanging="360"/>
      </w:pPr>
      <w:rPr>
        <w:rFonts w:ascii="Wingdings" w:eastAsiaTheme="minorEastAsia" w:hAnsi="Wingdings" w:cstheme="minorBidi"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6B6B"/>
    <w:rsid w:val="00017E5A"/>
    <w:rsid w:val="000512E6"/>
    <w:rsid w:val="00063A65"/>
    <w:rsid w:val="0008413D"/>
    <w:rsid w:val="000D03F9"/>
    <w:rsid w:val="000F756B"/>
    <w:rsid w:val="00124259"/>
    <w:rsid w:val="00194569"/>
    <w:rsid w:val="001B5F77"/>
    <w:rsid w:val="001C5EAE"/>
    <w:rsid w:val="002242FC"/>
    <w:rsid w:val="00232B94"/>
    <w:rsid w:val="002502F7"/>
    <w:rsid w:val="00262E8E"/>
    <w:rsid w:val="002957B6"/>
    <w:rsid w:val="002979BB"/>
    <w:rsid w:val="002A0BF1"/>
    <w:rsid w:val="00376B76"/>
    <w:rsid w:val="003903D0"/>
    <w:rsid w:val="003A68C1"/>
    <w:rsid w:val="003D5B99"/>
    <w:rsid w:val="004171D5"/>
    <w:rsid w:val="00433C30"/>
    <w:rsid w:val="004428C2"/>
    <w:rsid w:val="005647F6"/>
    <w:rsid w:val="00576B6B"/>
    <w:rsid w:val="005B52B1"/>
    <w:rsid w:val="005E1EC2"/>
    <w:rsid w:val="00672330"/>
    <w:rsid w:val="00690BE9"/>
    <w:rsid w:val="006C3D7C"/>
    <w:rsid w:val="00712E26"/>
    <w:rsid w:val="007155BB"/>
    <w:rsid w:val="007374F6"/>
    <w:rsid w:val="00793942"/>
    <w:rsid w:val="0079655F"/>
    <w:rsid w:val="00863A0D"/>
    <w:rsid w:val="00952FB7"/>
    <w:rsid w:val="00983F9C"/>
    <w:rsid w:val="009D362D"/>
    <w:rsid w:val="009D6B5A"/>
    <w:rsid w:val="00A43C55"/>
    <w:rsid w:val="00AF5EC6"/>
    <w:rsid w:val="00B37A0D"/>
    <w:rsid w:val="00B55158"/>
    <w:rsid w:val="00B82439"/>
    <w:rsid w:val="00C0448C"/>
    <w:rsid w:val="00C05A0E"/>
    <w:rsid w:val="00C34597"/>
    <w:rsid w:val="00C50A2F"/>
    <w:rsid w:val="00C6653A"/>
    <w:rsid w:val="00C70F94"/>
    <w:rsid w:val="00CC51A5"/>
    <w:rsid w:val="00CC7D3D"/>
    <w:rsid w:val="00D03B24"/>
    <w:rsid w:val="00D35BD4"/>
    <w:rsid w:val="00D71A41"/>
    <w:rsid w:val="00D76118"/>
    <w:rsid w:val="00DF5C0B"/>
    <w:rsid w:val="00E12C93"/>
    <w:rsid w:val="00E35DA2"/>
    <w:rsid w:val="00E37BA9"/>
    <w:rsid w:val="00EE1319"/>
    <w:rsid w:val="00EF60C3"/>
    <w:rsid w:val="00F16F58"/>
    <w:rsid w:val="00F552DC"/>
    <w:rsid w:val="00F76425"/>
    <w:rsid w:val="00FC71C9"/>
    <w:rsid w:val="00FE5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C18ED9"/>
  <w15:chartTrackingRefBased/>
  <w15:docId w15:val="{8207B5DD-0AEC-4699-A700-FF3567EA0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1EC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E1EC2"/>
    <w:rPr>
      <w:sz w:val="18"/>
      <w:szCs w:val="18"/>
    </w:rPr>
  </w:style>
  <w:style w:type="paragraph" w:styleId="a5">
    <w:name w:val="footer"/>
    <w:basedOn w:val="a"/>
    <w:link w:val="a6"/>
    <w:uiPriority w:val="99"/>
    <w:unhideWhenUsed/>
    <w:rsid w:val="005E1EC2"/>
    <w:pPr>
      <w:tabs>
        <w:tab w:val="center" w:pos="4153"/>
        <w:tab w:val="right" w:pos="8306"/>
      </w:tabs>
      <w:snapToGrid w:val="0"/>
      <w:jc w:val="left"/>
    </w:pPr>
    <w:rPr>
      <w:sz w:val="18"/>
      <w:szCs w:val="18"/>
    </w:rPr>
  </w:style>
  <w:style w:type="character" w:customStyle="1" w:styleId="a6">
    <w:name w:val="页脚 字符"/>
    <w:basedOn w:val="a0"/>
    <w:link w:val="a5"/>
    <w:uiPriority w:val="99"/>
    <w:rsid w:val="005E1EC2"/>
    <w:rPr>
      <w:sz w:val="18"/>
      <w:szCs w:val="18"/>
    </w:rPr>
  </w:style>
  <w:style w:type="character" w:styleId="a7">
    <w:name w:val="Hyperlink"/>
    <w:basedOn w:val="a0"/>
    <w:uiPriority w:val="99"/>
    <w:unhideWhenUsed/>
    <w:rsid w:val="005647F6"/>
    <w:rPr>
      <w:color w:val="0563C1" w:themeColor="hyperlink"/>
      <w:u w:val="single"/>
    </w:rPr>
  </w:style>
  <w:style w:type="paragraph" w:styleId="a8">
    <w:name w:val="List Paragraph"/>
    <w:basedOn w:val="a"/>
    <w:uiPriority w:val="34"/>
    <w:qFormat/>
    <w:rsid w:val="00017E5A"/>
    <w:pPr>
      <w:ind w:firstLineChars="200" w:firstLine="420"/>
    </w:pPr>
  </w:style>
  <w:style w:type="character" w:styleId="a9">
    <w:name w:val="annotation reference"/>
    <w:basedOn w:val="a0"/>
    <w:uiPriority w:val="99"/>
    <w:semiHidden/>
    <w:unhideWhenUsed/>
    <w:rsid w:val="00063A65"/>
    <w:rPr>
      <w:sz w:val="21"/>
      <w:szCs w:val="21"/>
    </w:rPr>
  </w:style>
  <w:style w:type="paragraph" w:styleId="aa">
    <w:name w:val="annotation text"/>
    <w:basedOn w:val="a"/>
    <w:link w:val="ab"/>
    <w:uiPriority w:val="99"/>
    <w:semiHidden/>
    <w:unhideWhenUsed/>
    <w:rsid w:val="00063A65"/>
    <w:pPr>
      <w:jc w:val="left"/>
    </w:pPr>
  </w:style>
  <w:style w:type="character" w:customStyle="1" w:styleId="ab">
    <w:name w:val="批注文字 字符"/>
    <w:basedOn w:val="a0"/>
    <w:link w:val="aa"/>
    <w:uiPriority w:val="99"/>
    <w:semiHidden/>
    <w:rsid w:val="00063A65"/>
  </w:style>
  <w:style w:type="paragraph" w:styleId="ac">
    <w:name w:val="Balloon Text"/>
    <w:basedOn w:val="a"/>
    <w:link w:val="ad"/>
    <w:uiPriority w:val="99"/>
    <w:semiHidden/>
    <w:unhideWhenUsed/>
    <w:rsid w:val="00063A65"/>
    <w:rPr>
      <w:sz w:val="18"/>
      <w:szCs w:val="18"/>
    </w:rPr>
  </w:style>
  <w:style w:type="character" w:customStyle="1" w:styleId="ad">
    <w:name w:val="批注框文本 字符"/>
    <w:basedOn w:val="a0"/>
    <w:link w:val="ac"/>
    <w:uiPriority w:val="99"/>
    <w:semiHidden/>
    <w:rsid w:val="00063A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937934">
      <w:bodyDiv w:val="1"/>
      <w:marLeft w:val="0"/>
      <w:marRight w:val="0"/>
      <w:marTop w:val="0"/>
      <w:marBottom w:val="0"/>
      <w:divBdr>
        <w:top w:val="none" w:sz="0" w:space="0" w:color="auto"/>
        <w:left w:val="none" w:sz="0" w:space="0" w:color="auto"/>
        <w:bottom w:val="none" w:sz="0" w:space="0" w:color="auto"/>
        <w:right w:val="none" w:sz="0" w:space="0" w:color="auto"/>
      </w:divBdr>
    </w:div>
    <w:div w:id="824206669">
      <w:bodyDiv w:val="1"/>
      <w:marLeft w:val="0"/>
      <w:marRight w:val="0"/>
      <w:marTop w:val="0"/>
      <w:marBottom w:val="0"/>
      <w:divBdr>
        <w:top w:val="none" w:sz="0" w:space="0" w:color="auto"/>
        <w:left w:val="none" w:sz="0" w:space="0" w:color="auto"/>
        <w:bottom w:val="none" w:sz="0" w:space="0" w:color="auto"/>
        <w:right w:val="none" w:sz="0" w:space="0" w:color="auto"/>
      </w:divBdr>
    </w:div>
    <w:div w:id="983435975">
      <w:bodyDiv w:val="1"/>
      <w:marLeft w:val="0"/>
      <w:marRight w:val="0"/>
      <w:marTop w:val="0"/>
      <w:marBottom w:val="0"/>
      <w:divBdr>
        <w:top w:val="none" w:sz="0" w:space="0" w:color="auto"/>
        <w:left w:val="none" w:sz="0" w:space="0" w:color="auto"/>
        <w:bottom w:val="none" w:sz="0" w:space="0" w:color="auto"/>
        <w:right w:val="none" w:sz="0" w:space="0" w:color="auto"/>
      </w:divBdr>
    </w:div>
    <w:div w:id="200523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BA576A-2F7E-4ED9-BFB4-C3C6A2C24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2</Pages>
  <Words>790</Words>
  <Characters>4504</Characters>
  <Application>Microsoft Office Word</Application>
  <DocSecurity>0</DocSecurity>
  <Lines>37</Lines>
  <Paragraphs>10</Paragraphs>
  <ScaleCrop>false</ScaleCrop>
  <Company/>
  <LinksUpToDate>false</LinksUpToDate>
  <CharactersWithSpaces>5284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YaoGZ</dc:creator>
  <cp:keywords/>
  <dc:description/>
  <cp:lastModifiedBy>YaoGZ</cp:lastModifiedBy>
  <cp:revision>31</cp:revision>
  <dcterms:created xsi:type="dcterms:W3CDTF">2021-09-17T06:02:00Z</dcterms:created>
  <dcterms:modified xsi:type="dcterms:W3CDTF">2021-12-04T07:24:00Z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http://www.zotero.org/styles/addiction-biology</vt:lpwstr>
  </property>
  <property fmtid="{D5CDD505-2E9C-101B-9397-08002B2CF9AE}" pid="3" name="Mendeley Recent Style Name 0_1">
    <vt:lpwstr>Addiction Biology</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http://www.zotero.org/styles/drug-and-alcohol-dependence</vt:lpwstr>
  </property>
  <property fmtid="{D5CDD505-2E9C-101B-9397-08002B2CF9AE}" pid="15" name="Mendeley Recent Style Name 6_1">
    <vt:lpwstr>Drug and Alcohol Dependence</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y fmtid="{D5CDD505-2E9C-101B-9397-08002B2CF9AE}" pid="22" name="Mendeley Document_1">
    <vt:lpwstr>True</vt:lpwstr>
  </property>
  <property fmtid="{D5CDD505-2E9C-101B-9397-08002B2CF9AE}" pid="23" name="Mendeley Unique User Id_1">
    <vt:lpwstr>3a79028a-c13d-3caf-b9b5-f9c1c90e9181</vt:lpwstr>
  </property>
  <property fmtid="{D5CDD505-2E9C-101B-9397-08002B2CF9AE}" pid="24" name="Mendeley Citation Style_1">
    <vt:lpwstr>http://www.zotero.org/styles/drug-and-alcohol-dependence</vt:lpwstr>
  </property>
</Properties>
</file>