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203740" w14:textId="77777777" w:rsidR="00A62064" w:rsidRPr="006E0AF7" w:rsidRDefault="00A62064" w:rsidP="00A62064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E0AF7">
        <w:rPr>
          <w:rFonts w:ascii="Times New Roman" w:hAnsi="Times New Roman" w:cs="Times New Roman"/>
          <w:b/>
          <w:sz w:val="24"/>
          <w:szCs w:val="24"/>
          <w:u w:val="single"/>
        </w:rPr>
        <w:t>Supplementary information</w:t>
      </w:r>
    </w:p>
    <w:p w14:paraId="4812C214" w14:textId="77777777" w:rsidR="0050619B" w:rsidRDefault="0050619B" w:rsidP="006E0AF7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r w:rsidRPr="005061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Association of window-side bed admission with delirium suppression in general wards: A cohort study of older inpatients</w:t>
      </w:r>
    </w:p>
    <w:bookmarkEnd w:id="0"/>
    <w:p w14:paraId="245A0763" w14:textId="1E83F9CC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Daiki Aomura</w:t>
      </w:r>
      <w:r w:rsidRPr="006E0AF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CA"/>
        </w:rPr>
        <w:t>, M.D.</w:t>
      </w:r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Pr="006E0AF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 xml:space="preserve"> *</w:t>
      </w:r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Yosuke Yamada</w:t>
      </w:r>
      <w:r w:rsidRPr="006E0AF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CA"/>
        </w:rPr>
        <w:t>, M.D., Ph.D.</w:t>
      </w:r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Pr="006E0AF7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Makoto Harada</w:t>
      </w:r>
      <w:r w:rsidRPr="006E0AF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CA"/>
        </w:rPr>
        <w:t>, M.D., Ph.D.</w:t>
      </w:r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, Koji Hashimoto</w:t>
      </w:r>
      <w:r w:rsidRPr="006E0AF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CA"/>
        </w:rPr>
        <w:t>, M.D., Ph.D.</w:t>
      </w:r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, *Yuji </w:t>
      </w:r>
      <w:proofErr w:type="spellStart"/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Kamijo</w:t>
      </w:r>
      <w:proofErr w:type="spellEnd"/>
      <w:r w:rsidRPr="006E0AF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CA"/>
        </w:rPr>
        <w:t>, M.D., Ph.D.</w:t>
      </w:r>
      <w:r w:rsidRPr="006E0AF7">
        <w:rPr>
          <w:rFonts w:ascii="Times New Roman" w:hAnsi="Times New Roman" w:cs="Times New Roman"/>
          <w:color w:val="000000" w:themeColor="text1"/>
          <w:kern w:val="0"/>
          <w:sz w:val="24"/>
          <w:szCs w:val="24"/>
          <w:vertAlign w:val="superscript"/>
        </w:rPr>
        <w:t>1</w:t>
      </w:r>
    </w:p>
    <w:p w14:paraId="453DC580" w14:textId="687E54DC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E0AF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6E0AF7">
        <w:rPr>
          <w:rFonts w:ascii="Times New Roman" w:hAnsi="Times New Roman" w:cs="Times New Roman"/>
          <w:color w:val="000000" w:themeColor="text1"/>
          <w:sz w:val="24"/>
          <w:szCs w:val="24"/>
        </w:rPr>
        <w:t>Department of Nephrology, Shinshu University School of Medicine, Matsumoto, Japan</w:t>
      </w:r>
    </w:p>
    <w:p w14:paraId="1924B8C2" w14:textId="77777777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DCE8B40" w14:textId="3E994624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E0AF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Corresponding authors</w:t>
      </w:r>
    </w:p>
    <w:p w14:paraId="27C10898" w14:textId="77777777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en-CA"/>
        </w:rPr>
      </w:pPr>
      <w:r w:rsidRPr="006E0AF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Yosuke Yamada</w:t>
      </w:r>
      <w:r w:rsidRPr="006E0AF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CA"/>
        </w:rPr>
        <w:t xml:space="preserve">, M.D., Ph.D. E-mail: </w:t>
      </w:r>
      <w:r w:rsidRPr="006E0AF7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en-CA"/>
        </w:rPr>
        <w:t>yosukeyama@shinshu-u.ac.jp</w:t>
      </w:r>
    </w:p>
    <w:p w14:paraId="337369E4" w14:textId="77777777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E0AF7">
        <w:rPr>
          <w:rFonts w:ascii="Times New Roman" w:hAnsi="Times New Roman" w:cs="Times New Roman"/>
          <w:color w:val="000000" w:themeColor="text1"/>
          <w:sz w:val="24"/>
          <w:szCs w:val="24"/>
        </w:rPr>
        <w:t>Department of Nephrology, Shinshu University School of Medicine</w:t>
      </w:r>
    </w:p>
    <w:p w14:paraId="6DB20BEB" w14:textId="77777777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fr-CA"/>
        </w:rPr>
      </w:pPr>
      <w:r w:rsidRPr="006E0AF7">
        <w:rPr>
          <w:rFonts w:ascii="Times New Roman" w:hAnsi="Times New Roman" w:cs="Times New Roman"/>
          <w:color w:val="000000" w:themeColor="text1"/>
          <w:sz w:val="24"/>
          <w:szCs w:val="24"/>
          <w:lang w:val="fr-CA"/>
        </w:rPr>
        <w:t>3-1-1 Asahi, Matsumoto, Nagano 390-8621, Japan</w:t>
      </w:r>
    </w:p>
    <w:p w14:paraId="69DD4C9D" w14:textId="4602A93E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  <w:r w:rsidRPr="006E0AF7">
        <w:rPr>
          <w:rFonts w:ascii="Times New Roman" w:hAnsi="Times New Roman" w:cs="Times New Roman"/>
          <w:color w:val="000000" w:themeColor="text1"/>
          <w:sz w:val="24"/>
          <w:szCs w:val="24"/>
          <w:lang w:val="fr-CA"/>
        </w:rPr>
        <w:t xml:space="preserve">Tel.: +81-263-37-2634, </w:t>
      </w:r>
      <w:r w:rsidRPr="006E0AF7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>Fax: +81-263-32-9412</w:t>
      </w:r>
    </w:p>
    <w:p w14:paraId="6F237701" w14:textId="77777777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</w:p>
    <w:p w14:paraId="69D1234F" w14:textId="77777777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  <w:r w:rsidRPr="006E0AF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CA"/>
        </w:rPr>
        <w:t xml:space="preserve">Yuji </w:t>
      </w:r>
      <w:proofErr w:type="spellStart"/>
      <w:r w:rsidRPr="006E0AF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CA"/>
        </w:rPr>
        <w:t>Kamijo</w:t>
      </w:r>
      <w:proofErr w:type="spellEnd"/>
      <w:r w:rsidRPr="006E0AF7">
        <w:rPr>
          <w:rFonts w:ascii="Times New Roman" w:hAnsi="Times New Roman" w:cs="Times New Roman"/>
          <w:bCs/>
          <w:color w:val="000000" w:themeColor="text1"/>
          <w:sz w:val="24"/>
          <w:szCs w:val="24"/>
          <w:lang w:val="en-CA"/>
        </w:rPr>
        <w:t>, M.D</w:t>
      </w:r>
      <w:r w:rsidRPr="006E0AF7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 xml:space="preserve">., Ph.D. E-mail: </w:t>
      </w:r>
      <w:r w:rsidRPr="006E0AF7">
        <w:rPr>
          <w:rFonts w:ascii="Times New Roman" w:hAnsi="Times New Roman" w:cs="Times New Roman"/>
          <w:color w:val="000000" w:themeColor="text1"/>
          <w:sz w:val="24"/>
          <w:szCs w:val="24"/>
          <w:u w:val="single"/>
          <w:lang w:val="en-CA"/>
        </w:rPr>
        <w:t>yujibeat@shinshu-u.ac.jp</w:t>
      </w:r>
    </w:p>
    <w:p w14:paraId="17448CB5" w14:textId="77777777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E0AF7">
        <w:rPr>
          <w:rFonts w:ascii="Times New Roman" w:hAnsi="Times New Roman" w:cs="Times New Roman"/>
          <w:color w:val="000000" w:themeColor="text1"/>
          <w:sz w:val="24"/>
          <w:szCs w:val="24"/>
        </w:rPr>
        <w:t>Department of Nephrology, Shinshu University School of Medicine</w:t>
      </w:r>
    </w:p>
    <w:p w14:paraId="3BD6AAA9" w14:textId="77777777" w:rsidR="006E0AF7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</w:pPr>
      <w:r w:rsidRPr="006E0AF7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>3-1-1 Asahi, Matsumoto, Nagano 390-8621, Japan</w:t>
      </w:r>
    </w:p>
    <w:p w14:paraId="2F4AEBD1" w14:textId="0D87EC18" w:rsidR="00A62064" w:rsidRPr="006E0AF7" w:rsidRDefault="006E0AF7" w:rsidP="006E0AF7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E0AF7">
        <w:rPr>
          <w:rFonts w:ascii="Times New Roman" w:hAnsi="Times New Roman" w:cs="Times New Roman"/>
          <w:color w:val="000000" w:themeColor="text1"/>
          <w:sz w:val="24"/>
          <w:szCs w:val="24"/>
          <w:lang w:val="fr-CA"/>
        </w:rPr>
        <w:t xml:space="preserve">Tel.: +81-263-37-2634, </w:t>
      </w:r>
      <w:r w:rsidRPr="006E0AF7">
        <w:rPr>
          <w:rFonts w:ascii="Times New Roman" w:hAnsi="Times New Roman" w:cs="Times New Roman"/>
          <w:color w:val="000000" w:themeColor="text1"/>
          <w:sz w:val="24"/>
          <w:szCs w:val="24"/>
          <w:lang w:val="en-CA"/>
        </w:rPr>
        <w:t>Fax: +81-263-32-9412</w:t>
      </w:r>
      <w:r w:rsidR="00A62064" w:rsidRPr="006E0AF7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42" w:rightFromText="142" w:vertAnchor="text" w:horzAnchor="margin" w:tblpY="42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15"/>
        <w:gridCol w:w="2250"/>
        <w:gridCol w:w="1990"/>
        <w:gridCol w:w="850"/>
      </w:tblGrid>
      <w:tr w:rsidR="00A62064" w:rsidRPr="006E0AF7" w14:paraId="53AF5F8C" w14:textId="77777777" w:rsidTr="00A62064">
        <w:trPr>
          <w:trHeight w:val="400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D125C4" w14:textId="77777777" w:rsidR="00A62064" w:rsidRPr="006E0AF7" w:rsidRDefault="00A62064" w:rsidP="00A62064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FA29609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CA"/>
              </w:rPr>
            </w:pP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Patients without missing data</w:t>
            </w: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CA"/>
              </w:rPr>
              <w:t xml:space="preserve"> (</w:t>
            </w: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n=1287</w:t>
            </w: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CA"/>
              </w:rPr>
              <w:t>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B62BC33" w14:textId="77777777" w:rsidR="00A62064" w:rsidRPr="006E0AF7" w:rsidRDefault="00A62064" w:rsidP="00A62064">
            <w:pPr>
              <w:widowControl/>
              <w:ind w:left="120" w:hangingChars="50" w:hanging="120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CA"/>
              </w:rPr>
            </w:pP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Patients with missing data</w:t>
            </w: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CA"/>
              </w:rPr>
              <w:t xml:space="preserve"> (</w:t>
            </w: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n=269</w:t>
            </w: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CA"/>
              </w:rPr>
              <w:t>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DABDC8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p-value</w:t>
            </w:r>
          </w:p>
        </w:tc>
      </w:tr>
      <w:tr w:rsidR="00A62064" w:rsidRPr="006E0AF7" w14:paraId="67D5117A" w14:textId="77777777" w:rsidTr="00A62064">
        <w:trPr>
          <w:trHeight w:val="400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9F1590D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Window group, n</w:t>
            </w: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1FD60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422 (32.8)</w:t>
            </w:r>
          </w:p>
        </w:tc>
        <w:tc>
          <w:tcPr>
            <w:tcW w:w="199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920174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73 (27.1)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4E6DBE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0.07</w:t>
            </w:r>
          </w:p>
        </w:tc>
      </w:tr>
      <w:tr w:rsidR="00A62064" w:rsidRPr="006E0AF7" w14:paraId="205D099D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40C59A5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Age, median [IQR], 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D81777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80.0 [77.0, 84.0]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8E1E9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79.0 [77.0, 83.0]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0CF6B88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0.03</w:t>
            </w:r>
          </w:p>
        </w:tc>
      </w:tr>
      <w:tr w:rsidR="00A62064" w:rsidRPr="006E0AF7" w14:paraId="3FF7802D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C469145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 xml:space="preserve">Female, </w:t>
            </w: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n</w:t>
            </w: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3FD79D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496 (38.5)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3F69D0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97 (36.1)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CB5138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0.49</w:t>
            </w:r>
          </w:p>
        </w:tc>
      </w:tr>
      <w:tr w:rsidR="00A62064" w:rsidRPr="006E0AF7" w14:paraId="6B03EF4B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4FD05FB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BMI, median [IQR]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B3A89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21.2 [18.9, 23.7]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17720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21.3 [19.5, 23.4]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8241345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0.74</w:t>
            </w:r>
          </w:p>
        </w:tc>
      </w:tr>
      <w:tr w:rsidR="00A62064" w:rsidRPr="006E0AF7" w14:paraId="50E2CF7F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0FFF70D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GCS, median </w:t>
            </w: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[IQR]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5694A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15.0 [15.0, 15.0]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5253C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15.0 [15.0, 15.0]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CC2311C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0.78</w:t>
            </w:r>
          </w:p>
        </w:tc>
      </w:tr>
      <w:tr w:rsidR="00A62064" w:rsidRPr="006E0AF7" w14:paraId="2F0BDFAB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83F0A30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MAP, median </w:t>
            </w: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[IQR]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769F1E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89.3 [79.0, 100.3]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306E9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89.3 [78.7, 100.7]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EECD74A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0.74</w:t>
            </w:r>
          </w:p>
        </w:tc>
      </w:tr>
      <w:tr w:rsidR="00A62064" w:rsidRPr="006E0AF7" w14:paraId="5CDD4491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5906CEC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 xml:space="preserve">Regular drug use before admission, </w:t>
            </w: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n</w:t>
            </w: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AF96B7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35C36C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896D103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</w:tr>
      <w:tr w:rsidR="00A62064" w:rsidRPr="006E0AF7" w14:paraId="43327B0E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F9C5EC5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Benzodiazepines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C7B38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246 (19.4)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FCA0B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61 (22.9)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36D267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0.21</w:t>
            </w:r>
          </w:p>
        </w:tc>
      </w:tr>
      <w:tr w:rsidR="00A62064" w:rsidRPr="006E0AF7" w14:paraId="3A9ACEB3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2A7A66D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Non-benzodiazepines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84B02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108 (8.5)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27A65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25 (9.5)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22E7066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0.63</w:t>
            </w:r>
          </w:p>
        </w:tc>
      </w:tr>
      <w:tr w:rsidR="00A62064" w:rsidRPr="006E0AF7" w14:paraId="77D8BC3F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FF8741B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proofErr w:type="gramStart"/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Anti-histamines</w:t>
            </w:r>
            <w:proofErr w:type="gramEnd"/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B09CC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109 (8.6)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3B6B8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25 (9.5)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78581FE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0.63</w:t>
            </w:r>
          </w:p>
        </w:tc>
      </w:tr>
      <w:tr w:rsidR="00A62064" w:rsidRPr="006E0AF7" w14:paraId="375C019F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0BAA7F5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Narcotic analgesics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A5193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36 (2.8)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839A3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5 (1.9)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B7F5C3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0.53</w:t>
            </w:r>
          </w:p>
        </w:tc>
      </w:tr>
      <w:tr w:rsidR="00A62064" w:rsidRPr="006E0AF7" w14:paraId="220CF8A4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FB70B0C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Any of the above drugs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2FC6D8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349 (32.9)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C0D22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179 (36.2)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C0A1D3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0.21</w:t>
            </w:r>
          </w:p>
        </w:tc>
      </w:tr>
      <w:tr w:rsidR="00A62064" w:rsidRPr="006E0AF7" w14:paraId="220EBCBA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6AB6F03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CCI, median </w:t>
            </w: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[IQR]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EB236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2.0 [1.0, 3.0]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979F93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1.0 [1.0, 3.0]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D1C20F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0.96</w:t>
            </w:r>
          </w:p>
        </w:tc>
      </w:tr>
      <w:tr w:rsidR="00A62064" w:rsidRPr="006E0AF7" w14:paraId="64372FC6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A6AE80A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Type of main disease, n (%)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549183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5F2C2C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B2E8F2B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</w:tr>
      <w:tr w:rsidR="00A62064" w:rsidRPr="006E0AF7" w14:paraId="324836A9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4309FE3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 xml:space="preserve">Central nervous system disorder 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2A2F4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85 (6.6)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E23C29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10 (3.7)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22AE2B6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0.09</w:t>
            </w:r>
          </w:p>
        </w:tc>
      </w:tr>
      <w:tr w:rsidR="00A62064" w:rsidRPr="006E0AF7" w14:paraId="1CBC0904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765C35E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Cardiovascular disease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4BC0D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149 (11.6)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AEFC76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45 (16.7)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A182E7B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0.02</w:t>
            </w:r>
          </w:p>
        </w:tc>
      </w:tr>
      <w:tr w:rsidR="00A62064" w:rsidRPr="006E0AF7" w14:paraId="119816DC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4B29A3E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Infection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43AC8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171 (13.3)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FC0AF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33 (12.3)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CEFABA0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0.69</w:t>
            </w:r>
          </w:p>
        </w:tc>
      </w:tr>
      <w:tr w:rsidR="00A62064" w:rsidRPr="006E0AF7" w14:paraId="1CF02699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2B1A19C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Malignancy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918D2D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205 (15.9)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1D755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34 (12.6)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00EA582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0.19</w:t>
            </w:r>
          </w:p>
        </w:tc>
      </w:tr>
      <w:tr w:rsidR="00A62064" w:rsidRPr="006E0AF7" w14:paraId="44098A0A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405822A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Other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F6325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677 (52.6)</w:t>
            </w:r>
          </w:p>
        </w:tc>
        <w:tc>
          <w:tcPr>
            <w:tcW w:w="19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B4CC5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147 (54.6)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F6D0299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0.54</w:t>
            </w:r>
          </w:p>
        </w:tc>
      </w:tr>
      <w:tr w:rsidR="00A62064" w:rsidRPr="006E0AF7" w14:paraId="4BD0B2D7" w14:textId="77777777" w:rsidTr="00A62064">
        <w:trPr>
          <w:trHeight w:val="400"/>
        </w:trPr>
        <w:tc>
          <w:tcPr>
            <w:tcW w:w="34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D016F2F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Co-incidence of dementia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B1337D6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36 (2.8)</w:t>
            </w:r>
          </w:p>
        </w:tc>
        <w:tc>
          <w:tcPr>
            <w:tcW w:w="199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B51FDD0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4 (1.5)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82CBCA" w14:textId="77777777" w:rsidR="00A62064" w:rsidRPr="006E0AF7" w:rsidRDefault="00A62064" w:rsidP="00A62064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0.29</w:t>
            </w:r>
          </w:p>
        </w:tc>
      </w:tr>
    </w:tbl>
    <w:p w14:paraId="0D2078E2" w14:textId="77777777" w:rsidR="006E0AF7" w:rsidRPr="006E0AF7" w:rsidRDefault="006E0AF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1354F87" w14:textId="77777777" w:rsidR="00104006" w:rsidRDefault="006E0AF7">
      <w:pPr>
        <w:widowControl/>
        <w:jc w:val="left"/>
        <w:rPr>
          <w:rFonts w:ascii="Times New Roman" w:eastAsia="游ゴシック" w:hAnsi="Times New Roman" w:cs="Times New Roman"/>
          <w:kern w:val="0"/>
          <w:sz w:val="24"/>
          <w:szCs w:val="24"/>
        </w:rPr>
      </w:pPr>
      <w:r w:rsidRPr="006E0AF7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S1: </w:t>
      </w:r>
      <w:r w:rsidRPr="006E0AF7">
        <w:rPr>
          <w:rFonts w:ascii="Times New Roman" w:eastAsia="游ゴシック" w:hAnsi="Times New Roman" w:cs="Times New Roman"/>
          <w:b/>
          <w:bCs/>
          <w:kern w:val="0"/>
          <w:sz w:val="24"/>
          <w:szCs w:val="24"/>
        </w:rPr>
        <w:t>Characteristics of patients with and without missing data</w:t>
      </w:r>
    </w:p>
    <w:p w14:paraId="1D3878C5" w14:textId="1C95283C" w:rsidR="006E0AF7" w:rsidRPr="006E0AF7" w:rsidRDefault="006E0AF7">
      <w:pPr>
        <w:widowControl/>
        <w:jc w:val="left"/>
        <w:rPr>
          <w:rFonts w:ascii="Times New Roman" w:eastAsia="游ゴシック" w:hAnsi="Times New Roman" w:cs="Times New Roman"/>
          <w:kern w:val="0"/>
          <w:sz w:val="24"/>
          <w:szCs w:val="24"/>
        </w:rPr>
      </w:pPr>
      <w:r w:rsidRPr="006E0AF7">
        <w:rPr>
          <w:rFonts w:ascii="Times New Roman" w:eastAsia="游ゴシック" w:hAnsi="Times New Roman" w:cs="Times New Roman"/>
          <w:kern w:val="0"/>
          <w:sz w:val="24"/>
          <w:szCs w:val="24"/>
        </w:rPr>
        <w:t xml:space="preserve">Abbreviations: IQR, interquartile range; BMI, body mass index; GCS, Glasgow Coma Scale; MAP, mean arterial pressure; CCI, </w:t>
      </w:r>
      <w:proofErr w:type="spellStart"/>
      <w:r w:rsidRPr="006E0AF7">
        <w:rPr>
          <w:rFonts w:ascii="Times New Roman" w:eastAsia="游ゴシック" w:hAnsi="Times New Roman" w:cs="Times New Roman"/>
          <w:kern w:val="0"/>
          <w:sz w:val="24"/>
          <w:szCs w:val="24"/>
        </w:rPr>
        <w:t>Charlson</w:t>
      </w:r>
      <w:proofErr w:type="spellEnd"/>
      <w:r w:rsidRPr="006E0AF7">
        <w:rPr>
          <w:rFonts w:ascii="Times New Roman" w:eastAsia="游ゴシック" w:hAnsi="Times New Roman" w:cs="Times New Roman"/>
          <w:kern w:val="0"/>
          <w:sz w:val="24"/>
          <w:szCs w:val="24"/>
        </w:rPr>
        <w:t xml:space="preserve"> comorbidity index</w:t>
      </w:r>
    </w:p>
    <w:p w14:paraId="4FE1D2E3" w14:textId="77777777" w:rsidR="006E0AF7" w:rsidRPr="006E0AF7" w:rsidRDefault="006E0AF7">
      <w:pPr>
        <w:widowControl/>
        <w:jc w:val="left"/>
        <w:rPr>
          <w:rFonts w:ascii="Times New Roman" w:eastAsia="游ゴシック" w:hAnsi="Times New Roman" w:cs="Times New Roman"/>
          <w:kern w:val="0"/>
          <w:sz w:val="24"/>
          <w:szCs w:val="24"/>
        </w:rPr>
      </w:pPr>
      <w:r w:rsidRPr="006E0AF7">
        <w:rPr>
          <w:rFonts w:ascii="Times New Roman" w:eastAsia="游ゴシック" w:hAnsi="Times New Roman" w:cs="Times New Roman"/>
          <w:kern w:val="0"/>
          <w:sz w:val="24"/>
          <w:szCs w:val="24"/>
        </w:rPr>
        <w:br w:type="page"/>
      </w:r>
    </w:p>
    <w:tbl>
      <w:tblPr>
        <w:tblpPr w:leftFromText="142" w:rightFromText="142" w:vertAnchor="text" w:horzAnchor="margin" w:tblpY="87"/>
        <w:tblW w:w="850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55"/>
        <w:gridCol w:w="3416"/>
        <w:gridCol w:w="1134"/>
      </w:tblGrid>
      <w:tr w:rsidR="006E0AF7" w:rsidRPr="006E0AF7" w14:paraId="736D9C47" w14:textId="77777777" w:rsidTr="006E0AF7">
        <w:trPr>
          <w:trHeight w:val="280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D268B9E" w14:textId="77777777" w:rsidR="006E0AF7" w:rsidRPr="006E0AF7" w:rsidRDefault="006E0AF7" w:rsidP="006E0AF7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AC71BD1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</w:pP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 xml:space="preserve">Adjusted HR (95% CI) </w:t>
            </w: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82FE97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p-value</w:t>
            </w:r>
          </w:p>
        </w:tc>
      </w:tr>
      <w:tr w:rsidR="006E0AF7" w:rsidRPr="006E0AF7" w14:paraId="0F5D60B1" w14:textId="77777777" w:rsidTr="006E0AF7">
        <w:trPr>
          <w:trHeight w:val="280"/>
        </w:trPr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nil"/>
            </w:tcBorders>
            <w:noWrap/>
            <w:vAlign w:val="bottom"/>
            <w:hideMark/>
          </w:tcPr>
          <w:p w14:paraId="4F113D30" w14:textId="77777777" w:rsidR="006E0AF7" w:rsidRPr="006E0AF7" w:rsidRDefault="006E0AF7" w:rsidP="006E0AF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With complete case analysis</w:t>
            </w:r>
          </w:p>
        </w:tc>
        <w:tc>
          <w:tcPr>
            <w:tcW w:w="3416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  <w:hideMark/>
          </w:tcPr>
          <w:p w14:paraId="63653BC4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1.06 (0.71 to 1.60)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bottom"/>
            <w:hideMark/>
          </w:tcPr>
          <w:p w14:paraId="3DB2CC88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0.77</w:t>
            </w:r>
          </w:p>
        </w:tc>
      </w:tr>
      <w:tr w:rsidR="006E0AF7" w:rsidRPr="006E0AF7" w14:paraId="6C2CE29F" w14:textId="77777777" w:rsidTr="006E0AF7">
        <w:trPr>
          <w:trHeight w:val="280"/>
        </w:trPr>
        <w:tc>
          <w:tcPr>
            <w:tcW w:w="39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530D44" w14:textId="77777777" w:rsidR="006E0AF7" w:rsidRPr="006E0AF7" w:rsidRDefault="006E0AF7" w:rsidP="006E0AF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With median imputation analysis</w:t>
            </w:r>
          </w:p>
        </w:tc>
        <w:tc>
          <w:tcPr>
            <w:tcW w:w="3416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6930AE8F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0.89 (0.60 to 1.32)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5A162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0.56</w:t>
            </w:r>
          </w:p>
        </w:tc>
      </w:tr>
    </w:tbl>
    <w:p w14:paraId="4CFBE592" w14:textId="77777777" w:rsidR="006E0AF7" w:rsidRPr="006E0AF7" w:rsidRDefault="006E0AF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32D1770" w14:textId="77777777" w:rsidR="00104006" w:rsidRDefault="006E0AF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E0AF7">
        <w:rPr>
          <w:rFonts w:ascii="Times New Roman" w:hAnsi="Times New Roman" w:cs="Times New Roman"/>
          <w:b/>
          <w:bCs/>
          <w:sz w:val="24"/>
          <w:szCs w:val="24"/>
        </w:rPr>
        <w:t>Supplementary Table S2: Sensitivity analysis of primary outcome considering missing data</w:t>
      </w:r>
    </w:p>
    <w:p w14:paraId="2DACF5E5" w14:textId="61311630" w:rsidR="0069793B" w:rsidRPr="006E0AF7" w:rsidRDefault="006E0A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E0AF7">
        <w:rPr>
          <w:rFonts w:ascii="Times New Roman" w:hAnsi="Times New Roman" w:cs="Times New Roman"/>
          <w:sz w:val="24"/>
          <w:szCs w:val="24"/>
        </w:rPr>
        <w:t xml:space="preserve">Table shows the adjusted hazard ratio of the window group for delirium with event within 14 days after admission by the Cox regression model. a HR was modified using a Cox regression model adjusting for age, sex, low body weight, sequential organ failure assessment score, regular use of risk drugs for delirium before admission, performance status, </w:t>
      </w:r>
      <w:proofErr w:type="spellStart"/>
      <w:r w:rsidRPr="006E0AF7">
        <w:rPr>
          <w:rFonts w:ascii="Times New Roman" w:hAnsi="Times New Roman" w:cs="Times New Roman"/>
          <w:sz w:val="24"/>
          <w:szCs w:val="24"/>
        </w:rPr>
        <w:t>Charlson</w:t>
      </w:r>
      <w:proofErr w:type="spellEnd"/>
      <w:r w:rsidRPr="006E0AF7">
        <w:rPr>
          <w:rFonts w:ascii="Times New Roman" w:hAnsi="Times New Roman" w:cs="Times New Roman"/>
          <w:sz w:val="24"/>
          <w:szCs w:val="24"/>
        </w:rPr>
        <w:t xml:space="preserve"> comorbidity index, admission for central nervous system disorders, and co-incidence of dementia. Abbreviations: HR, hazard ratio; CI, confidence interval</w:t>
      </w:r>
    </w:p>
    <w:p w14:paraId="6AD795BF" w14:textId="6B98A277" w:rsidR="006E0AF7" w:rsidRPr="006E0AF7" w:rsidRDefault="005040CD" w:rsidP="00EB0CB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E0AF7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42" w:rightFromText="142" w:vertAnchor="text" w:horzAnchor="margin" w:tblpY="42"/>
        <w:tblW w:w="8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215"/>
        <w:gridCol w:w="2156"/>
        <w:gridCol w:w="1134"/>
      </w:tblGrid>
      <w:tr w:rsidR="006E0AF7" w:rsidRPr="006E0AF7" w14:paraId="2416D821" w14:textId="77777777" w:rsidTr="006E0AF7">
        <w:trPr>
          <w:trHeight w:val="139"/>
        </w:trPr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2D5D3B" w14:textId="77777777" w:rsidR="006E0AF7" w:rsidRPr="006E0AF7" w:rsidRDefault="006E0AF7" w:rsidP="006E0AF7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C5E9565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Adjusted HR (95% CI)</w:t>
            </w: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96325D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p-value</w:t>
            </w:r>
          </w:p>
        </w:tc>
      </w:tr>
      <w:tr w:rsidR="006E0AF7" w:rsidRPr="006E0AF7" w14:paraId="1681D3FB" w14:textId="77777777" w:rsidTr="006E0AF7">
        <w:trPr>
          <w:trHeight w:val="139"/>
        </w:trPr>
        <w:tc>
          <w:tcPr>
            <w:tcW w:w="521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B6E2243" w14:textId="77777777" w:rsidR="006E0AF7" w:rsidRPr="006E0AF7" w:rsidRDefault="006E0AF7" w:rsidP="006E0AF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Delirium with event within 30 days after admission</w:t>
            </w:r>
          </w:p>
        </w:tc>
        <w:tc>
          <w:tcPr>
            <w:tcW w:w="215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527A0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0.89 (0.61 to 1.32)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B6E0350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0.56</w:t>
            </w:r>
          </w:p>
        </w:tc>
      </w:tr>
      <w:tr w:rsidR="006E0AF7" w:rsidRPr="006E0AF7" w14:paraId="2A1C639E" w14:textId="77777777" w:rsidTr="006E0AF7">
        <w:trPr>
          <w:trHeight w:val="139"/>
        </w:trPr>
        <w:tc>
          <w:tcPr>
            <w:tcW w:w="5215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DADF557" w14:textId="77777777" w:rsidR="006E0AF7" w:rsidRPr="006E0AF7" w:rsidRDefault="006E0AF7" w:rsidP="006E0AF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Delirium within 14 days after admission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A9C413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0.97 (0.71 to 1.34)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CD3F2F5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0.95</w:t>
            </w:r>
          </w:p>
        </w:tc>
      </w:tr>
      <w:tr w:rsidR="006E0AF7" w:rsidRPr="006E0AF7" w14:paraId="773CB4A6" w14:textId="77777777" w:rsidTr="006E0AF7">
        <w:trPr>
          <w:trHeight w:val="139"/>
        </w:trPr>
        <w:tc>
          <w:tcPr>
            <w:tcW w:w="521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266A3C" w14:textId="77777777" w:rsidR="006E0AF7" w:rsidRPr="006E0AF7" w:rsidRDefault="006E0AF7" w:rsidP="006E0AF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Delirium within 30 days after admission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C63E5D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0.95 (0.70 to 1.30)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342F6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0.76</w:t>
            </w:r>
          </w:p>
        </w:tc>
      </w:tr>
    </w:tbl>
    <w:p w14:paraId="4E36E0D0" w14:textId="77777777" w:rsidR="006E0AF7" w:rsidRPr="006E0AF7" w:rsidRDefault="006E0AF7" w:rsidP="003A1A2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FF3737A" w14:textId="77777777" w:rsidR="00104006" w:rsidRDefault="006E0AF7" w:rsidP="003A1A2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E0AF7">
        <w:rPr>
          <w:rFonts w:ascii="Times New Roman" w:hAnsi="Times New Roman" w:cs="Times New Roman"/>
          <w:b/>
          <w:bCs/>
          <w:sz w:val="24"/>
          <w:szCs w:val="24"/>
        </w:rPr>
        <w:t>Supplementary Table S3: Association of window group with delirium outcomes</w:t>
      </w:r>
    </w:p>
    <w:p w14:paraId="2A40F903" w14:textId="6E2A184F" w:rsidR="006E0AF7" w:rsidRPr="006E0AF7" w:rsidRDefault="006E0AF7" w:rsidP="003A1A2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E0AF7">
        <w:rPr>
          <w:rFonts w:ascii="Times New Roman" w:hAnsi="Times New Roman" w:cs="Times New Roman"/>
          <w:sz w:val="24"/>
          <w:szCs w:val="24"/>
        </w:rPr>
        <w:t xml:space="preserve">Table shows the adjusted hazard ratio of the window group for delirium outcomes. a HR was adjusted for age, sex, low body weight, sequential organ failure assessment score, regular use of risk drugs for delirium before admission, performance status, </w:t>
      </w:r>
      <w:proofErr w:type="spellStart"/>
      <w:r w:rsidRPr="006E0AF7">
        <w:rPr>
          <w:rFonts w:ascii="Times New Roman" w:hAnsi="Times New Roman" w:cs="Times New Roman"/>
          <w:sz w:val="24"/>
          <w:szCs w:val="24"/>
        </w:rPr>
        <w:t>Charlson</w:t>
      </w:r>
      <w:proofErr w:type="spellEnd"/>
      <w:r w:rsidRPr="006E0AF7">
        <w:rPr>
          <w:rFonts w:ascii="Times New Roman" w:hAnsi="Times New Roman" w:cs="Times New Roman"/>
          <w:sz w:val="24"/>
          <w:szCs w:val="24"/>
        </w:rPr>
        <w:t xml:space="preserve"> comorbidity index, admission for central nervous system disorders, and co-incidence of dementia. Abbreviations: HR, hazard ratio; CI, confidence interval</w:t>
      </w:r>
    </w:p>
    <w:p w14:paraId="0FAA441B" w14:textId="77777777" w:rsidR="006E0AF7" w:rsidRPr="006E0AF7" w:rsidRDefault="006E0AF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6E0AF7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42" w:rightFromText="142" w:vertAnchor="text" w:horzAnchor="margin" w:tblpY="87"/>
        <w:tblW w:w="84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31"/>
        <w:gridCol w:w="3269"/>
        <w:gridCol w:w="1691"/>
      </w:tblGrid>
      <w:tr w:rsidR="006E0AF7" w:rsidRPr="006E0AF7" w14:paraId="79B2CAB0" w14:textId="77777777" w:rsidTr="006E0AF7">
        <w:trPr>
          <w:trHeight w:val="278"/>
        </w:trPr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FAB32FB" w14:textId="77777777" w:rsidR="006E0AF7" w:rsidRPr="006E0AF7" w:rsidRDefault="006E0AF7" w:rsidP="006E0AF7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CFB9D3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Adjusted OR (95% CI)</w:t>
            </w: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8C10C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>p-value</w:t>
            </w:r>
          </w:p>
        </w:tc>
      </w:tr>
      <w:tr w:rsidR="006E0AF7" w:rsidRPr="006E0AF7" w14:paraId="23102504" w14:textId="77777777" w:rsidTr="006E0AF7">
        <w:trPr>
          <w:trHeight w:val="278"/>
        </w:trPr>
        <w:tc>
          <w:tcPr>
            <w:tcW w:w="353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B16C044" w14:textId="77777777" w:rsidR="006E0AF7" w:rsidRPr="006E0AF7" w:rsidRDefault="006E0AF7" w:rsidP="006E0AF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Hospital stay longer than 14 days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DAD423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1.19 (0.95 to 1.49)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008F79D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</w:tr>
      <w:tr w:rsidR="006E0AF7" w:rsidRPr="006E0AF7" w14:paraId="53A523DE" w14:textId="77777777" w:rsidTr="006E0AF7">
        <w:trPr>
          <w:trHeight w:val="278"/>
        </w:trPr>
        <w:tc>
          <w:tcPr>
            <w:tcW w:w="3531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D68E258" w14:textId="77777777" w:rsidR="006E0AF7" w:rsidRPr="006E0AF7" w:rsidRDefault="006E0AF7" w:rsidP="006E0AF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Transfer to intensive care unit</w:t>
            </w:r>
          </w:p>
        </w:tc>
        <w:tc>
          <w:tcPr>
            <w:tcW w:w="326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C02647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1.28 (0.44 to 3.66)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589699B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6E0AF7" w:rsidRPr="006E0AF7" w14:paraId="51875F6D" w14:textId="77777777" w:rsidTr="006E0AF7">
        <w:trPr>
          <w:trHeight w:val="278"/>
        </w:trPr>
        <w:tc>
          <w:tcPr>
            <w:tcW w:w="353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5DDD36" w14:textId="77777777" w:rsidR="006E0AF7" w:rsidRPr="006E0AF7" w:rsidRDefault="006E0AF7" w:rsidP="006E0AF7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Death during hospitalization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FC00C4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1.18 (0.85 to 1.63)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6B60FC2" w14:textId="77777777" w:rsidR="006E0AF7" w:rsidRPr="006E0AF7" w:rsidRDefault="006E0AF7" w:rsidP="006E0AF7">
            <w:pPr>
              <w:widowControl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6E0AF7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</w:tr>
    </w:tbl>
    <w:p w14:paraId="0E4B3DBC" w14:textId="77777777" w:rsidR="006E0AF7" w:rsidRPr="006E0AF7" w:rsidRDefault="006E0AF7" w:rsidP="003A1A2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6635183" w14:textId="77777777" w:rsidR="00104006" w:rsidRDefault="006E0AF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E0AF7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6E0AF7">
        <w:rPr>
          <w:rFonts w:ascii="Times New Roman" w:hAnsi="Times New Roman" w:cs="Times New Roman"/>
          <w:b/>
          <w:bCs/>
          <w:kern w:val="3"/>
          <w:sz w:val="24"/>
          <w:szCs w:val="24"/>
          <w:shd w:val="clear" w:color="auto" w:fill="FFFFFF"/>
        </w:rPr>
        <w:t xml:space="preserve"> </w:t>
      </w:r>
      <w:r w:rsidRPr="006E0AF7">
        <w:rPr>
          <w:rFonts w:ascii="Times New Roman" w:hAnsi="Times New Roman" w:cs="Times New Roman"/>
          <w:b/>
          <w:bCs/>
          <w:sz w:val="24"/>
          <w:szCs w:val="24"/>
        </w:rPr>
        <w:t>Table S4: Association of window group with secondary outcomes</w:t>
      </w:r>
    </w:p>
    <w:p w14:paraId="0C6964DE" w14:textId="51243DCA" w:rsidR="006E0AF7" w:rsidRPr="006E0AF7" w:rsidRDefault="006E0AF7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6E0AF7">
        <w:rPr>
          <w:rFonts w:ascii="Times New Roman" w:hAnsi="Times New Roman" w:cs="Times New Roman"/>
          <w:sz w:val="24"/>
          <w:szCs w:val="24"/>
        </w:rPr>
        <w:t xml:space="preserve">Table shows the adjusted odds ratio of the window group for secondary outcomes. a OR was modified using a logistic regression model adjusted for age, sex, low body weight, sequential organ failure assessment score, regular use of risk drugs for delirium before admission, performance status, </w:t>
      </w:r>
      <w:proofErr w:type="spellStart"/>
      <w:r w:rsidRPr="006E0AF7">
        <w:rPr>
          <w:rFonts w:ascii="Times New Roman" w:hAnsi="Times New Roman" w:cs="Times New Roman"/>
          <w:sz w:val="24"/>
          <w:szCs w:val="24"/>
        </w:rPr>
        <w:t>Charlson</w:t>
      </w:r>
      <w:proofErr w:type="spellEnd"/>
      <w:r w:rsidRPr="006E0AF7">
        <w:rPr>
          <w:rFonts w:ascii="Times New Roman" w:hAnsi="Times New Roman" w:cs="Times New Roman"/>
          <w:sz w:val="24"/>
          <w:szCs w:val="24"/>
        </w:rPr>
        <w:t xml:space="preserve"> comorbidity index, admission for central nervous system disorders, and co-incidence of dementia. Abbreviations: OR, odds ratio; CI, confidence interval</w:t>
      </w:r>
      <w:r w:rsidRPr="006E0AF7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526DCED" w14:textId="20148F07" w:rsidR="0037667B" w:rsidRPr="006E0AF7" w:rsidRDefault="003A1A21" w:rsidP="00EB0CBF">
      <w:pPr>
        <w:widowControl/>
        <w:jc w:val="left"/>
        <w:rPr>
          <w:rFonts w:ascii="Times New Roman" w:hAnsi="Times New Roman" w:cs="Times New Roman"/>
          <w:b/>
          <w:bCs/>
          <w:kern w:val="3"/>
          <w:sz w:val="24"/>
          <w:szCs w:val="24"/>
          <w:shd w:val="clear" w:color="auto" w:fill="FFFFFF"/>
        </w:rPr>
      </w:pPr>
      <w:r w:rsidRPr="006E0AF7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9EB815D" wp14:editId="4C958B79">
            <wp:extent cx="5391150" cy="4533900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981CE" w14:textId="77777777" w:rsidR="001F24F0" w:rsidRPr="006E0AF7" w:rsidRDefault="001F24F0">
      <w:pPr>
        <w:widowControl/>
        <w:jc w:val="left"/>
        <w:rPr>
          <w:rFonts w:ascii="Times New Roman" w:hAnsi="Times New Roman" w:cs="Times New Roman"/>
          <w:kern w:val="3"/>
          <w:sz w:val="24"/>
          <w:szCs w:val="24"/>
          <w:shd w:val="clear" w:color="auto" w:fill="FFFFFF"/>
        </w:rPr>
      </w:pPr>
    </w:p>
    <w:p w14:paraId="478659EB" w14:textId="77777777" w:rsidR="00104006" w:rsidRDefault="006E0AF7">
      <w:pPr>
        <w:widowControl/>
        <w:jc w:val="left"/>
        <w:rPr>
          <w:rFonts w:ascii="Times New Roman" w:hAnsi="Times New Roman" w:cs="Times New Roman"/>
          <w:b/>
          <w:bCs/>
          <w:kern w:val="3"/>
          <w:sz w:val="24"/>
          <w:szCs w:val="24"/>
          <w:shd w:val="clear" w:color="auto" w:fill="FFFFFF"/>
        </w:rPr>
      </w:pPr>
      <w:r w:rsidRPr="006E0AF7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6E0AF7">
        <w:rPr>
          <w:rFonts w:ascii="Times New Roman" w:hAnsi="Times New Roman" w:cs="Times New Roman"/>
          <w:b/>
          <w:bCs/>
          <w:kern w:val="3"/>
          <w:sz w:val="24"/>
          <w:szCs w:val="24"/>
          <w:shd w:val="clear" w:color="auto" w:fill="FFFFFF"/>
        </w:rPr>
        <w:t xml:space="preserve"> Figure S1: Measurement of bedside luminosity</w:t>
      </w:r>
    </w:p>
    <w:p w14:paraId="18E62764" w14:textId="0281C59A" w:rsidR="00EB0CBF" w:rsidRPr="006E0AF7" w:rsidRDefault="0037667B">
      <w:pPr>
        <w:widowControl/>
        <w:jc w:val="left"/>
        <w:rPr>
          <w:rFonts w:ascii="Times New Roman" w:hAnsi="Times New Roman" w:cs="Times New Roman"/>
          <w:b/>
          <w:bCs/>
          <w:kern w:val="3"/>
          <w:sz w:val="24"/>
          <w:szCs w:val="24"/>
          <w:shd w:val="clear" w:color="auto" w:fill="FFFFFF"/>
        </w:rPr>
      </w:pPr>
      <w:r w:rsidRPr="006E0AF7">
        <w:rPr>
          <w:rFonts w:ascii="Times New Roman" w:hAnsi="Times New Roman" w:cs="Times New Roman"/>
          <w:kern w:val="3"/>
          <w:sz w:val="24"/>
          <w:szCs w:val="24"/>
          <w:shd w:val="clear" w:color="auto" w:fill="FFFFFF"/>
        </w:rPr>
        <w:t>Bedside luminosity was measured in the east ward of the seventh floor. The red dotted line shows the luminosity at a window-side bed in a room facing south, the orange dotted line shows that at a window-side bed facing north, the gray line shows that at a non-window-side bed facing south, and the blue line shows that at a non-window-side bed facing north.</w:t>
      </w:r>
      <w:r w:rsidR="00EB0CBF" w:rsidRPr="006E0AF7">
        <w:rPr>
          <w:rFonts w:ascii="Times New Roman" w:hAnsi="Times New Roman" w:cs="Times New Roman"/>
          <w:b/>
          <w:bCs/>
          <w:kern w:val="3"/>
          <w:sz w:val="24"/>
          <w:szCs w:val="24"/>
          <w:shd w:val="clear" w:color="auto" w:fill="FFFFFF"/>
        </w:rPr>
        <w:br w:type="page"/>
      </w:r>
    </w:p>
    <w:p w14:paraId="77D2F940" w14:textId="16AA6C22" w:rsidR="006E0AF7" w:rsidRPr="006E0AF7" w:rsidRDefault="00B92280" w:rsidP="00EB0CBF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cs="Times New Roman"/>
          <w:b/>
          <w:bCs/>
          <w:noProof/>
          <w:sz w:val="24"/>
        </w:rPr>
        <w:lastRenderedPageBreak/>
        <w:drawing>
          <wp:inline distT="0" distB="0" distL="0" distR="0" wp14:anchorId="79AF1A0A" wp14:editId="089E8AFA">
            <wp:extent cx="5391150" cy="2756535"/>
            <wp:effectExtent l="0" t="0" r="0" b="571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275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4621C" w14:textId="5FAC127C" w:rsidR="00EB0CBF" w:rsidRPr="006E0AF7" w:rsidRDefault="006E0AF7" w:rsidP="00EB0CBF">
      <w:pPr>
        <w:widowControl/>
        <w:jc w:val="left"/>
        <w:rPr>
          <w:rFonts w:ascii="Times New Roman" w:hAnsi="Times New Roman" w:cs="Times New Roman"/>
          <w:b/>
          <w:bCs/>
          <w:kern w:val="3"/>
          <w:sz w:val="24"/>
          <w:szCs w:val="24"/>
          <w:shd w:val="clear" w:color="auto" w:fill="FFFFFF"/>
        </w:rPr>
      </w:pPr>
      <w:r w:rsidRPr="006E0AF7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6E0AF7">
        <w:rPr>
          <w:rFonts w:ascii="Times New Roman" w:hAnsi="Times New Roman" w:cs="Times New Roman"/>
          <w:b/>
          <w:bCs/>
          <w:kern w:val="3"/>
          <w:sz w:val="24"/>
          <w:szCs w:val="24"/>
          <w:shd w:val="clear" w:color="auto" w:fill="FFFFFF"/>
        </w:rPr>
        <w:t xml:space="preserve"> Figure S2: Flow chart of this study</w:t>
      </w:r>
    </w:p>
    <w:p w14:paraId="20FE9F26" w14:textId="2CB8F39B" w:rsidR="00EB0CBF" w:rsidRPr="006E0AF7" w:rsidRDefault="00EB0CBF">
      <w:pPr>
        <w:widowControl/>
        <w:jc w:val="left"/>
        <w:rPr>
          <w:rFonts w:ascii="Times New Roman" w:hAnsi="Times New Roman" w:cs="Times New Roman"/>
          <w:b/>
          <w:bCs/>
          <w:kern w:val="3"/>
          <w:sz w:val="24"/>
          <w:szCs w:val="24"/>
          <w:shd w:val="clear" w:color="auto" w:fill="FFFFFF"/>
        </w:rPr>
      </w:pPr>
      <w:r w:rsidRPr="006E0AF7">
        <w:rPr>
          <w:rFonts w:ascii="Times New Roman" w:hAnsi="Times New Roman" w:cs="Times New Roman"/>
          <w:b/>
          <w:bCs/>
          <w:kern w:val="3"/>
          <w:sz w:val="24"/>
          <w:szCs w:val="24"/>
          <w:shd w:val="clear" w:color="auto" w:fill="FFFFFF"/>
        </w:rPr>
        <w:br w:type="page"/>
      </w:r>
    </w:p>
    <w:p w14:paraId="1149CFA4" w14:textId="0840D63B" w:rsidR="006E0AF7" w:rsidRPr="006E0AF7" w:rsidRDefault="00B92280" w:rsidP="006E0AF7">
      <w:pPr>
        <w:pStyle w:val="Standard"/>
        <w:rPr>
          <w:rFonts w:cs="Times New Roman"/>
          <w:b/>
          <w:bCs/>
          <w:sz w:val="24"/>
        </w:rPr>
      </w:pPr>
      <w:r>
        <w:rPr>
          <w:rFonts w:cs="Times New Roman"/>
          <w:b/>
          <w:bCs/>
          <w:noProof/>
          <w:sz w:val="24"/>
        </w:rPr>
        <w:lastRenderedPageBreak/>
        <w:drawing>
          <wp:inline distT="0" distB="0" distL="0" distR="0" wp14:anchorId="3A67386D" wp14:editId="4802114B">
            <wp:extent cx="5400040" cy="2591207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591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B96F1" w14:textId="77777777" w:rsidR="006E0AF7" w:rsidRPr="006E0AF7" w:rsidRDefault="006E0AF7" w:rsidP="006E0AF7">
      <w:pPr>
        <w:pStyle w:val="Standard"/>
        <w:rPr>
          <w:rFonts w:cs="Times New Roman"/>
          <w:b/>
          <w:bCs/>
          <w:sz w:val="24"/>
        </w:rPr>
      </w:pPr>
    </w:p>
    <w:p w14:paraId="6066B429" w14:textId="77777777" w:rsidR="00104006" w:rsidRDefault="006E0AF7" w:rsidP="006E0AF7">
      <w:pPr>
        <w:pStyle w:val="Standard"/>
        <w:rPr>
          <w:rFonts w:cs="Times New Roman"/>
          <w:b/>
          <w:bCs/>
          <w:sz w:val="24"/>
          <w:shd w:val="clear" w:color="auto" w:fill="FFFFFF"/>
        </w:rPr>
      </w:pPr>
      <w:r w:rsidRPr="006E0AF7">
        <w:rPr>
          <w:rFonts w:cs="Times New Roman"/>
          <w:b/>
          <w:bCs/>
          <w:sz w:val="24"/>
        </w:rPr>
        <w:t>Supplementary</w:t>
      </w:r>
      <w:r w:rsidRPr="006E0AF7">
        <w:rPr>
          <w:rFonts w:cs="Times New Roman"/>
          <w:b/>
          <w:bCs/>
          <w:sz w:val="24"/>
          <w:shd w:val="clear" w:color="auto" w:fill="FFFFFF"/>
        </w:rPr>
        <w:t xml:space="preserve"> Figure S3: Unadjusted cumulative curves for delirium with event and delirium</w:t>
      </w:r>
    </w:p>
    <w:p w14:paraId="04D98126" w14:textId="27A0ACBD" w:rsidR="0037667B" w:rsidRPr="006E0AF7" w:rsidRDefault="0037667B" w:rsidP="006E0AF7">
      <w:pPr>
        <w:pStyle w:val="Standard"/>
        <w:rPr>
          <w:rFonts w:cs="Times New Roman"/>
          <w:color w:val="auto"/>
          <w:sz w:val="24"/>
          <w:shd w:val="clear" w:color="auto" w:fill="FFFFFF"/>
        </w:rPr>
      </w:pPr>
      <w:r w:rsidRPr="006E0AF7">
        <w:rPr>
          <w:rFonts w:cs="Times New Roman"/>
          <w:color w:val="auto"/>
          <w:sz w:val="24"/>
          <w:shd w:val="clear" w:color="auto" w:fill="FFFFFF"/>
        </w:rPr>
        <w:t>The Figures show the cumulative curves of delirium with event (</w:t>
      </w:r>
      <w:r w:rsidR="00104006">
        <w:rPr>
          <w:rFonts w:cs="Times New Roman"/>
          <w:color w:val="auto"/>
          <w:sz w:val="24"/>
          <w:shd w:val="clear" w:color="auto" w:fill="FFFFFF"/>
        </w:rPr>
        <w:t>a</w:t>
      </w:r>
      <w:r w:rsidRPr="006E0AF7">
        <w:rPr>
          <w:rFonts w:cs="Times New Roman"/>
          <w:color w:val="auto"/>
          <w:sz w:val="24"/>
          <w:shd w:val="clear" w:color="auto" w:fill="FFFFFF"/>
        </w:rPr>
        <w:t>) and delirium (</w:t>
      </w:r>
      <w:r w:rsidR="00104006">
        <w:rPr>
          <w:rFonts w:cs="Times New Roman"/>
          <w:color w:val="auto"/>
          <w:sz w:val="24"/>
          <w:shd w:val="clear" w:color="auto" w:fill="FFFFFF"/>
        </w:rPr>
        <w:t>b</w:t>
      </w:r>
      <w:r w:rsidRPr="006E0AF7">
        <w:rPr>
          <w:rFonts w:cs="Times New Roman"/>
          <w:color w:val="auto"/>
          <w:sz w:val="24"/>
          <w:shd w:val="clear" w:color="auto" w:fill="FFFFFF"/>
        </w:rPr>
        <w:t>) within 30 days after admission.</w:t>
      </w:r>
    </w:p>
    <w:sectPr w:rsidR="0037667B" w:rsidRPr="006E0AF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99611D" w14:textId="77777777" w:rsidR="009E794C" w:rsidRDefault="009E794C" w:rsidP="0040638B">
      <w:r>
        <w:separator/>
      </w:r>
    </w:p>
  </w:endnote>
  <w:endnote w:type="continuationSeparator" w:id="0">
    <w:p w14:paraId="727FB425" w14:textId="77777777" w:rsidR="009E794C" w:rsidRDefault="009E794C" w:rsidP="00406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73BBEA" w14:textId="77777777" w:rsidR="009E794C" w:rsidRDefault="009E794C" w:rsidP="0040638B">
      <w:r>
        <w:separator/>
      </w:r>
    </w:p>
  </w:footnote>
  <w:footnote w:type="continuationSeparator" w:id="0">
    <w:p w14:paraId="617E16B2" w14:textId="77777777" w:rsidR="009E794C" w:rsidRDefault="009E794C" w:rsidP="004063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319"/>
    <w:rsid w:val="0000559B"/>
    <w:rsid w:val="000126A4"/>
    <w:rsid w:val="00014EDF"/>
    <w:rsid w:val="00045A6A"/>
    <w:rsid w:val="00052CBD"/>
    <w:rsid w:val="0008156B"/>
    <w:rsid w:val="000B2EBA"/>
    <w:rsid w:val="00104006"/>
    <w:rsid w:val="00116D73"/>
    <w:rsid w:val="00163794"/>
    <w:rsid w:val="00185AF4"/>
    <w:rsid w:val="001E509D"/>
    <w:rsid w:val="001F24F0"/>
    <w:rsid w:val="002506E8"/>
    <w:rsid w:val="00256DC3"/>
    <w:rsid w:val="002619D2"/>
    <w:rsid w:val="002A2AFF"/>
    <w:rsid w:val="002A30FD"/>
    <w:rsid w:val="002C2DEF"/>
    <w:rsid w:val="002D76A3"/>
    <w:rsid w:val="002E5020"/>
    <w:rsid w:val="00321CC5"/>
    <w:rsid w:val="0037667B"/>
    <w:rsid w:val="003A1A21"/>
    <w:rsid w:val="003D4700"/>
    <w:rsid w:val="003F3FFC"/>
    <w:rsid w:val="0040638B"/>
    <w:rsid w:val="0044422F"/>
    <w:rsid w:val="00455D66"/>
    <w:rsid w:val="00487911"/>
    <w:rsid w:val="004B62AA"/>
    <w:rsid w:val="005040CD"/>
    <w:rsid w:val="0050619B"/>
    <w:rsid w:val="005B1820"/>
    <w:rsid w:val="005E58C0"/>
    <w:rsid w:val="00633273"/>
    <w:rsid w:val="0069793B"/>
    <w:rsid w:val="006C5FE1"/>
    <w:rsid w:val="006E0AF7"/>
    <w:rsid w:val="00721C21"/>
    <w:rsid w:val="007320FE"/>
    <w:rsid w:val="007B1119"/>
    <w:rsid w:val="0082159F"/>
    <w:rsid w:val="00832837"/>
    <w:rsid w:val="00835B15"/>
    <w:rsid w:val="0088163D"/>
    <w:rsid w:val="008C1A2F"/>
    <w:rsid w:val="008D5FD7"/>
    <w:rsid w:val="009315D3"/>
    <w:rsid w:val="0096071E"/>
    <w:rsid w:val="009D0A81"/>
    <w:rsid w:val="009D7117"/>
    <w:rsid w:val="009E794C"/>
    <w:rsid w:val="00A37A00"/>
    <w:rsid w:val="00A44744"/>
    <w:rsid w:val="00A468B7"/>
    <w:rsid w:val="00A62064"/>
    <w:rsid w:val="00A8625A"/>
    <w:rsid w:val="00AD6274"/>
    <w:rsid w:val="00AE46AE"/>
    <w:rsid w:val="00B156BD"/>
    <w:rsid w:val="00B15CE3"/>
    <w:rsid w:val="00B92280"/>
    <w:rsid w:val="00BC221C"/>
    <w:rsid w:val="00BD33F9"/>
    <w:rsid w:val="00C820BE"/>
    <w:rsid w:val="00CB0F60"/>
    <w:rsid w:val="00CC1B6A"/>
    <w:rsid w:val="00D23319"/>
    <w:rsid w:val="00D44308"/>
    <w:rsid w:val="00DE7E8F"/>
    <w:rsid w:val="00E05C88"/>
    <w:rsid w:val="00E23E95"/>
    <w:rsid w:val="00E30164"/>
    <w:rsid w:val="00E55C9B"/>
    <w:rsid w:val="00E70214"/>
    <w:rsid w:val="00EB0CBF"/>
    <w:rsid w:val="00EE4A73"/>
    <w:rsid w:val="00EF3CF2"/>
    <w:rsid w:val="00F42F47"/>
    <w:rsid w:val="00F45762"/>
    <w:rsid w:val="00F61845"/>
    <w:rsid w:val="00F80827"/>
    <w:rsid w:val="00FD4D85"/>
    <w:rsid w:val="00FF3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FF6BB43"/>
  <w15:chartTrackingRefBased/>
  <w15:docId w15:val="{8666AE83-7357-4A22-9767-D90FC80A9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63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63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0638B"/>
  </w:style>
  <w:style w:type="paragraph" w:styleId="a5">
    <w:name w:val="footer"/>
    <w:basedOn w:val="a"/>
    <w:link w:val="a6"/>
    <w:uiPriority w:val="99"/>
    <w:unhideWhenUsed/>
    <w:rsid w:val="004063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0638B"/>
  </w:style>
  <w:style w:type="character" w:styleId="a7">
    <w:name w:val="Emphasis"/>
    <w:basedOn w:val="a0"/>
    <w:uiPriority w:val="20"/>
    <w:qFormat/>
    <w:rsid w:val="0040638B"/>
    <w:rPr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052C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52CBD"/>
    <w:rPr>
      <w:rFonts w:asciiTheme="majorHAnsi" w:eastAsiaTheme="majorEastAsia" w:hAnsiTheme="majorHAnsi" w:cstheme="majorBidi"/>
      <w:sz w:val="18"/>
      <w:szCs w:val="18"/>
    </w:rPr>
  </w:style>
  <w:style w:type="paragraph" w:customStyle="1" w:styleId="Standard">
    <w:name w:val="Standard"/>
    <w:link w:val="Standard0"/>
    <w:rsid w:val="00EB0CBF"/>
    <w:pPr>
      <w:widowControl w:val="0"/>
      <w:suppressAutoHyphens/>
      <w:autoSpaceDN w:val="0"/>
      <w:jc w:val="both"/>
      <w:textAlignment w:val="baseline"/>
    </w:pPr>
    <w:rPr>
      <w:rFonts w:ascii="Times New Roman" w:eastAsia="ＭＳ Ｐ明朝" w:hAnsi="Times New Roman" w:cs="Tahoma"/>
      <w:color w:val="231F20"/>
      <w:kern w:val="3"/>
      <w:sz w:val="28"/>
      <w:szCs w:val="24"/>
    </w:rPr>
  </w:style>
  <w:style w:type="character" w:customStyle="1" w:styleId="Standard0">
    <w:name w:val="Standard (文字)"/>
    <w:basedOn w:val="a0"/>
    <w:link w:val="Standard"/>
    <w:rsid w:val="00EB0CBF"/>
    <w:rPr>
      <w:rFonts w:ascii="Times New Roman" w:eastAsia="ＭＳ Ｐ明朝" w:hAnsi="Times New Roman" w:cs="Tahoma"/>
      <w:color w:val="231F20"/>
      <w:kern w:val="3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533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8</Pages>
  <Words>745</Words>
  <Characters>4249</Characters>
  <Application>Microsoft Office Word</Application>
  <DocSecurity>0</DocSecurity>
  <Lines>35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大輝</dc:creator>
  <cp:keywords/>
  <dc:description/>
  <cp:lastModifiedBy>大輝</cp:lastModifiedBy>
  <cp:revision>41</cp:revision>
  <cp:lastPrinted>2020-08-07T06:53:00Z</cp:lastPrinted>
  <dcterms:created xsi:type="dcterms:W3CDTF">2020-08-07T03:11:00Z</dcterms:created>
  <dcterms:modified xsi:type="dcterms:W3CDTF">2021-01-13T13:20:00Z</dcterms:modified>
</cp:coreProperties>
</file>