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F03" w:rsidRPr="00860C9A" w:rsidRDefault="004866F6" w:rsidP="00922F03">
      <w:pPr>
        <w:pStyle w:val="Caption"/>
        <w:keepNext/>
        <w:rPr>
          <w:rFonts w:ascii="Times New Roman" w:hAnsi="Times New Roman" w:cs="Times New Roman"/>
          <w:color w:val="auto"/>
          <w:sz w:val="24"/>
          <w:szCs w:val="24"/>
        </w:rPr>
      </w:pPr>
      <w:r w:rsidRPr="00860C9A">
        <w:rPr>
          <w:rFonts w:ascii="Times New Roman" w:hAnsi="Times New Roman" w:cs="Times New Roman"/>
          <w:color w:val="auto"/>
          <w:sz w:val="24"/>
          <w:szCs w:val="24"/>
        </w:rPr>
        <w:t>Additional file</w:t>
      </w:r>
      <w:r w:rsidRPr="00860C9A">
        <w:rPr>
          <w:rFonts w:ascii="Times New Roman" w:hAnsi="Times New Roman" w:cs="Times New Roman"/>
          <w:b w:val="0"/>
          <w:color w:val="auto"/>
          <w:sz w:val="24"/>
          <w:szCs w:val="24"/>
        </w:rPr>
        <w:t> </w:t>
      </w:r>
      <w:r w:rsidRPr="00860C9A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860C9A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  <w:r w:rsidRPr="00860C9A">
        <w:rPr>
          <w:rStyle w:val="Heading1Char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6FF0" w:rsidRPr="00860C9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PICOS</w:t>
      </w:r>
      <w:r w:rsidR="0027162B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  s</w:t>
      </w:r>
      <w:r w:rsidR="003A6FF0" w:rsidRPr="00860C9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>trategy</w:t>
      </w:r>
      <w:r w:rsidR="00860C9A" w:rsidRPr="00860C9A">
        <w:rPr>
          <w:rFonts w:ascii="Times New Roman" w:hAnsi="Times New Roman" w:cs="Times New Roman"/>
          <w:color w:val="auto"/>
          <w:sz w:val="24"/>
          <w:szCs w:val="24"/>
          <w:shd w:val="clear" w:color="auto" w:fill="FFFFFF"/>
        </w:rPr>
        <w:t xml:space="preserve">, </w:t>
      </w:r>
      <w:r w:rsidR="00860C9A">
        <w:rPr>
          <w:rFonts w:ascii="Times New Roman" w:hAnsi="Times New Roman" w:cs="Times New Roman"/>
          <w:color w:val="auto"/>
          <w:sz w:val="24"/>
          <w:szCs w:val="24"/>
        </w:rPr>
        <w:t>i</w:t>
      </w:r>
      <w:r w:rsidR="00860C9A" w:rsidRPr="00860C9A">
        <w:rPr>
          <w:rFonts w:ascii="Times New Roman" w:hAnsi="Times New Roman" w:cs="Times New Roman"/>
          <w:color w:val="auto"/>
          <w:sz w:val="24"/>
          <w:szCs w:val="24"/>
        </w:rPr>
        <w:t>nclusion</w:t>
      </w:r>
      <w:r w:rsidR="00922F03" w:rsidRPr="00860C9A">
        <w:rPr>
          <w:rFonts w:ascii="Times New Roman" w:hAnsi="Times New Roman" w:cs="Times New Roman"/>
          <w:color w:val="auto"/>
          <w:sz w:val="24"/>
          <w:szCs w:val="24"/>
        </w:rPr>
        <w:t xml:space="preserve"> and exclusion criteria</w:t>
      </w:r>
    </w:p>
    <w:tbl>
      <w:tblPr>
        <w:tblW w:w="0" w:type="auto"/>
        <w:jc w:val="center"/>
        <w:tblLayout w:type="fixed"/>
        <w:tblLook w:val="04A0"/>
      </w:tblPr>
      <w:tblGrid>
        <w:gridCol w:w="1894"/>
        <w:gridCol w:w="4855"/>
        <w:gridCol w:w="2827"/>
      </w:tblGrid>
      <w:tr w:rsidR="00922F03" w:rsidRPr="00B31338" w:rsidTr="00B47FF8">
        <w:trPr>
          <w:trHeight w:val="414"/>
          <w:jc w:val="center"/>
        </w:trPr>
        <w:tc>
          <w:tcPr>
            <w:tcW w:w="189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PICOS Strategy</w:t>
            </w:r>
          </w:p>
        </w:tc>
        <w:tc>
          <w:tcPr>
            <w:tcW w:w="485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Inclusion criteria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Exclusion Criteria</w:t>
            </w:r>
          </w:p>
        </w:tc>
      </w:tr>
      <w:tr w:rsidR="00922F03" w:rsidRPr="00B31338" w:rsidTr="00B47FF8">
        <w:trPr>
          <w:trHeight w:val="414"/>
          <w:jc w:val="center"/>
        </w:trPr>
        <w:tc>
          <w:tcPr>
            <w:tcW w:w="189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855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27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22F03" w:rsidRPr="00B31338" w:rsidTr="00B47FF8">
        <w:trPr>
          <w:trHeight w:val="945"/>
          <w:jc w:val="center"/>
        </w:trPr>
        <w:tc>
          <w:tcPr>
            <w:tcW w:w="18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P:Population</w:t>
            </w:r>
          </w:p>
        </w:tc>
        <w:tc>
          <w:tcPr>
            <w:tcW w:w="485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P. falciparum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-infected patients irrespective of gender and age group</w:t>
            </w:r>
          </w:p>
        </w:tc>
        <w:tc>
          <w:tcPr>
            <w:tcW w:w="282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Patients with a </w:t>
            </w:r>
            <w:r w:rsidRPr="008170E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Plasmodium vivax</w:t>
            </w:r>
            <w:r w:rsidRPr="00792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Mixed Plasmodium malaria </w:t>
            </w:r>
            <w:r w:rsidRPr="00792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infection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Pregnant women</w:t>
            </w:r>
          </w:p>
        </w:tc>
      </w:tr>
      <w:tr w:rsidR="00922F03" w:rsidRPr="00B31338" w:rsidTr="00B47FF8">
        <w:trPr>
          <w:trHeight w:val="945"/>
          <w:jc w:val="center"/>
        </w:trPr>
        <w:tc>
          <w:tcPr>
            <w:tcW w:w="1894" w:type="dxa"/>
            <w:shd w:val="clear" w:color="auto" w:fill="auto"/>
            <w:noWrap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I:Intervention</w:t>
            </w:r>
          </w:p>
        </w:tc>
        <w:tc>
          <w:tcPr>
            <w:tcW w:w="4855" w:type="dxa"/>
            <w:shd w:val="clear" w:color="auto" w:fill="auto"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1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participants (non-contr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olled studies) or one study arm</w:t>
            </w:r>
            <w:r w:rsidRPr="00B91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(controlled studies) must have received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 standard six-dose regimen of AL over three days followed up for 28 days </w:t>
            </w:r>
          </w:p>
        </w:tc>
        <w:tc>
          <w:tcPr>
            <w:tcW w:w="2827" w:type="dxa"/>
            <w:shd w:val="clear" w:color="auto" w:fill="auto"/>
            <w:noWrap/>
            <w:vAlign w:val="bottom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2F03" w:rsidRPr="00B31338" w:rsidTr="00B47FF8">
        <w:trPr>
          <w:trHeight w:val="945"/>
          <w:jc w:val="center"/>
        </w:trPr>
        <w:tc>
          <w:tcPr>
            <w:tcW w:w="1894" w:type="dxa"/>
            <w:shd w:val="clear" w:color="auto" w:fill="auto"/>
            <w:noWrap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C:Comparison</w:t>
            </w:r>
          </w:p>
        </w:tc>
        <w:tc>
          <w:tcPr>
            <w:tcW w:w="4855" w:type="dxa"/>
            <w:shd w:val="clear" w:color="auto" w:fill="auto"/>
            <w:vAlign w:val="center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Standard treatment or </w:t>
            </w:r>
            <w:r w:rsidRPr="00B91A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treatment</w:t>
            </w:r>
          </w:p>
        </w:tc>
        <w:tc>
          <w:tcPr>
            <w:tcW w:w="2827" w:type="dxa"/>
            <w:shd w:val="clear" w:color="auto" w:fill="auto"/>
            <w:noWrap/>
            <w:vAlign w:val="bottom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22F03" w:rsidRPr="00B31338" w:rsidTr="00B47FF8">
        <w:trPr>
          <w:trHeight w:val="2205"/>
          <w:jc w:val="center"/>
        </w:trPr>
        <w:tc>
          <w:tcPr>
            <w:tcW w:w="1894" w:type="dxa"/>
            <w:shd w:val="clear" w:color="auto" w:fill="auto"/>
            <w:noWrap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O: Outcome</w:t>
            </w:r>
          </w:p>
        </w:tc>
        <w:tc>
          <w:tcPr>
            <w:tcW w:w="4855" w:type="dxa"/>
            <w:shd w:val="clear" w:color="auto" w:fill="auto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 success (cure rates) of AL at day-28, while the parasite clearance, fever clearance and frequency of adverse events (AEs) were the secondary outcomes</w:t>
            </w:r>
          </w:p>
        </w:tc>
        <w:tc>
          <w:tcPr>
            <w:tcW w:w="2827" w:type="dxa"/>
            <w:shd w:val="clear" w:color="auto" w:fill="auto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udies that do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not report any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t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reatment success (cure rates) of AL at day-28 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as primary 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outcome</w:t>
            </w:r>
          </w:p>
        </w:tc>
      </w:tr>
      <w:tr w:rsidR="00922F03" w:rsidRPr="00B31338" w:rsidTr="00B47FF8">
        <w:trPr>
          <w:trHeight w:val="2205"/>
          <w:jc w:val="center"/>
        </w:trPr>
        <w:tc>
          <w:tcPr>
            <w:tcW w:w="189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S: Study Design</w:t>
            </w:r>
          </w:p>
        </w:tc>
        <w:tc>
          <w:tcPr>
            <w:tcW w:w="4855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41B34">
              <w:rPr>
                <w:rFonts w:ascii="Times New Roman" w:hAnsi="Times New Roman" w:cs="Times New Roman"/>
                <w:sz w:val="24"/>
                <w:szCs w:val="24"/>
              </w:rPr>
              <w:t xml:space="preserve">nterventional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441B34">
              <w:rPr>
                <w:rFonts w:ascii="Times New Roman" w:hAnsi="Times New Roman" w:cs="Times New Roman"/>
                <w:sz w:val="24"/>
                <w:szCs w:val="24"/>
              </w:rPr>
              <w:t xml:space="preserve"> observational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1B34">
              <w:rPr>
                <w:rFonts w:ascii="Times New Roman" w:hAnsi="Times New Roman" w:cs="Times New Roman"/>
                <w:sz w:val="24"/>
                <w:szCs w:val="24"/>
              </w:rPr>
              <w:t>studies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(controlled and non-controlled)</w:t>
            </w:r>
            <w:r w:rsidRPr="00441B34">
              <w:rPr>
                <w:rFonts w:ascii="Times New Roman" w:hAnsi="Times New Roman" w:cs="Times New Roman"/>
                <w:sz w:val="24"/>
                <w:szCs w:val="24"/>
              </w:rPr>
              <w:t xml:space="preserve"> that reported the therapeutic efficacy of AL for the treatment of uncomplicated falciparum malaria</w:t>
            </w:r>
          </w:p>
        </w:tc>
        <w:tc>
          <w:tcPr>
            <w:tcW w:w="282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922F03" w:rsidRPr="00B31338" w:rsidRDefault="00922F03" w:rsidP="00B47FF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All the non-primary </w:t>
            </w:r>
            <w:r w:rsidRPr="00B313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literature,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retrospective </w:t>
            </w:r>
            <w:r w:rsidRPr="00820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studies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case reports</w:t>
            </w:r>
            <w:r w:rsidRPr="00820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animal or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2061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in vitro</w:t>
            </w:r>
            <w:r w:rsidRPr="008206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experiments were excluded</w:t>
            </w:r>
          </w:p>
        </w:tc>
      </w:tr>
    </w:tbl>
    <w:p w:rsidR="006F7E8E" w:rsidRDefault="002B1449"/>
    <w:sectPr w:rsidR="006F7E8E" w:rsidSect="00E908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449" w:rsidRDefault="002B1449" w:rsidP="00922F03">
      <w:pPr>
        <w:spacing w:after="0" w:line="240" w:lineRule="auto"/>
      </w:pPr>
      <w:r>
        <w:separator/>
      </w:r>
    </w:p>
  </w:endnote>
  <w:endnote w:type="continuationSeparator" w:id="1">
    <w:p w:rsidR="002B1449" w:rsidRDefault="002B1449" w:rsidP="00922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449" w:rsidRDefault="002B1449" w:rsidP="00922F03">
      <w:pPr>
        <w:spacing w:after="0" w:line="240" w:lineRule="auto"/>
      </w:pPr>
      <w:r>
        <w:separator/>
      </w:r>
    </w:p>
  </w:footnote>
  <w:footnote w:type="continuationSeparator" w:id="1">
    <w:p w:rsidR="002B1449" w:rsidRDefault="002B1449" w:rsidP="00922F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2F03"/>
    <w:rsid w:val="0027162B"/>
    <w:rsid w:val="002B1449"/>
    <w:rsid w:val="003A6FF0"/>
    <w:rsid w:val="004866F6"/>
    <w:rsid w:val="0050222A"/>
    <w:rsid w:val="00652826"/>
    <w:rsid w:val="007A76D2"/>
    <w:rsid w:val="00860C9A"/>
    <w:rsid w:val="00922F03"/>
    <w:rsid w:val="00BA3FD9"/>
    <w:rsid w:val="00BA4055"/>
    <w:rsid w:val="00CB601D"/>
    <w:rsid w:val="00E9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F03"/>
  </w:style>
  <w:style w:type="paragraph" w:styleId="Heading1">
    <w:name w:val="heading 1"/>
    <w:basedOn w:val="Normal"/>
    <w:next w:val="Normal"/>
    <w:link w:val="Heading1Char"/>
    <w:uiPriority w:val="9"/>
    <w:qFormat/>
    <w:rsid w:val="004866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22F0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922F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2F03"/>
  </w:style>
  <w:style w:type="paragraph" w:styleId="Footer">
    <w:name w:val="footer"/>
    <w:basedOn w:val="Normal"/>
    <w:link w:val="FooterChar"/>
    <w:uiPriority w:val="99"/>
    <w:semiHidden/>
    <w:unhideWhenUsed/>
    <w:rsid w:val="00922F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2F03"/>
  </w:style>
  <w:style w:type="character" w:customStyle="1" w:styleId="Heading1Char">
    <w:name w:val="Heading 1 Char"/>
    <w:basedOn w:val="DefaultParagraphFont"/>
    <w:link w:val="Heading1"/>
    <w:uiPriority w:val="9"/>
    <w:rsid w:val="004866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4866F6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EA82-A0CA-408E-85C4-12791D0A0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RAB</dc:creator>
  <cp:lastModifiedBy>YA RAB</cp:lastModifiedBy>
  <cp:revision>5</cp:revision>
  <dcterms:created xsi:type="dcterms:W3CDTF">2020-12-18T21:54:00Z</dcterms:created>
  <dcterms:modified xsi:type="dcterms:W3CDTF">2020-12-22T22:07:00Z</dcterms:modified>
</cp:coreProperties>
</file>