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346AA" w14:textId="77777777" w:rsidR="00E15F4E" w:rsidRPr="00F42DFB" w:rsidRDefault="00E15F4E" w:rsidP="00E15F4E">
      <w:pPr>
        <w:spacing w:line="480" w:lineRule="auto"/>
        <w:jc w:val="both"/>
        <w:rPr>
          <w:rFonts w:ascii="Arial" w:hAnsi="Arial" w:cs="Arial"/>
          <w:color w:val="5B9BD5" w:themeColor="accent5"/>
          <w:sz w:val="28"/>
          <w:szCs w:val="24"/>
        </w:rPr>
      </w:pPr>
      <w:r w:rsidRPr="00F42DFB">
        <w:rPr>
          <w:rFonts w:ascii="Arial" w:hAnsi="Arial" w:cs="Arial"/>
          <w:color w:val="5B9BD5" w:themeColor="accent5"/>
          <w:sz w:val="28"/>
          <w:szCs w:val="24"/>
        </w:rPr>
        <w:t xml:space="preserve">Growth-uncoupled isoprenoid synthesis in </w:t>
      </w:r>
      <w:r w:rsidRPr="00F42DFB">
        <w:rPr>
          <w:rFonts w:ascii="Arial" w:hAnsi="Arial" w:cs="Arial"/>
          <w:i/>
          <w:iCs/>
          <w:color w:val="5B9BD5" w:themeColor="accent5"/>
          <w:sz w:val="28"/>
          <w:szCs w:val="24"/>
        </w:rPr>
        <w:t>Rhodobacter sphaeroides</w:t>
      </w:r>
    </w:p>
    <w:p w14:paraId="691AC2DE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42B2BA0E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 w:rsidRPr="00A3260A">
        <w:rPr>
          <w:rFonts w:ascii="Arial" w:hAnsi="Arial" w:cs="Arial"/>
          <w:sz w:val="24"/>
          <w:szCs w:val="24"/>
        </w:rPr>
        <w:t>Enrico Orsi</w:t>
      </w:r>
      <w:r w:rsidRPr="00A3260A">
        <w:rPr>
          <w:rFonts w:ascii="Arial" w:hAnsi="Arial" w:cs="Arial"/>
          <w:sz w:val="24"/>
          <w:szCs w:val="24"/>
          <w:vertAlign w:val="superscript"/>
        </w:rPr>
        <w:t>1,</w:t>
      </w:r>
      <w:r>
        <w:rPr>
          <w:rFonts w:ascii="Arial" w:hAnsi="Arial" w:cs="Arial"/>
          <w:sz w:val="24"/>
          <w:szCs w:val="24"/>
          <w:vertAlign w:val="superscript"/>
        </w:rPr>
        <w:t>6</w:t>
      </w:r>
      <w:r w:rsidRPr="00A3260A">
        <w:rPr>
          <w:rFonts w:ascii="Arial" w:hAnsi="Arial" w:cs="Arial"/>
          <w:sz w:val="24"/>
          <w:szCs w:val="24"/>
          <w:vertAlign w:val="superscript"/>
        </w:rPr>
        <w:t>*</w:t>
      </w:r>
      <w:r w:rsidRPr="00A3260A">
        <w:rPr>
          <w:rFonts w:ascii="Arial" w:hAnsi="Arial" w:cs="Arial"/>
          <w:sz w:val="24"/>
          <w:szCs w:val="24"/>
        </w:rPr>
        <w:t>, Ioannis Mougiakos</w:t>
      </w:r>
      <w:r w:rsidRPr="00A3260A">
        <w:rPr>
          <w:rFonts w:ascii="Arial" w:hAnsi="Arial" w:cs="Arial"/>
          <w:sz w:val="24"/>
          <w:szCs w:val="24"/>
          <w:vertAlign w:val="superscript"/>
        </w:rPr>
        <w:t>2,</w:t>
      </w:r>
      <w:r>
        <w:rPr>
          <w:rFonts w:ascii="Arial" w:hAnsi="Arial" w:cs="Arial"/>
          <w:sz w:val="24"/>
          <w:szCs w:val="24"/>
          <w:vertAlign w:val="superscript"/>
        </w:rPr>
        <w:t>7</w:t>
      </w:r>
      <w:r w:rsidRPr="00A3260A">
        <w:rPr>
          <w:rFonts w:ascii="Arial" w:hAnsi="Arial" w:cs="Arial"/>
          <w:sz w:val="24"/>
          <w:szCs w:val="24"/>
          <w:vertAlign w:val="superscript"/>
        </w:rPr>
        <w:t>*</w:t>
      </w:r>
      <w:r w:rsidRPr="00A3260A">
        <w:rPr>
          <w:rFonts w:ascii="Arial" w:hAnsi="Arial" w:cs="Arial"/>
          <w:sz w:val="24"/>
          <w:szCs w:val="24"/>
        </w:rPr>
        <w:t>, Wilbert Post</w:t>
      </w:r>
      <w:r w:rsidRPr="00A3260A">
        <w:rPr>
          <w:rFonts w:ascii="Arial" w:hAnsi="Arial" w:cs="Arial"/>
          <w:sz w:val="24"/>
          <w:szCs w:val="24"/>
          <w:vertAlign w:val="superscript"/>
        </w:rPr>
        <w:t>1,2</w:t>
      </w:r>
      <w:r w:rsidRPr="00A3260A">
        <w:rPr>
          <w:rFonts w:ascii="Arial" w:hAnsi="Arial" w:cs="Arial"/>
          <w:sz w:val="24"/>
          <w:szCs w:val="24"/>
        </w:rPr>
        <w:t>, Jules Beekwilder</w:t>
      </w:r>
      <w:r w:rsidRPr="00A3260A">
        <w:rPr>
          <w:rFonts w:ascii="Arial" w:hAnsi="Arial" w:cs="Arial"/>
          <w:sz w:val="24"/>
          <w:szCs w:val="24"/>
          <w:vertAlign w:val="superscript"/>
        </w:rPr>
        <w:t>3</w:t>
      </w:r>
      <w:r w:rsidRPr="00A3260A">
        <w:rPr>
          <w:rFonts w:ascii="Arial" w:hAnsi="Arial" w:cs="Arial"/>
          <w:sz w:val="24"/>
          <w:szCs w:val="24"/>
        </w:rPr>
        <w:t>, Marco Domp</w:t>
      </w:r>
      <w:r w:rsidRPr="00A3260A">
        <w:rPr>
          <w:rFonts w:ascii="Arial" w:hAnsi="Arial" w:cs="Arial"/>
          <w:color w:val="333333"/>
          <w:sz w:val="24"/>
          <w:szCs w:val="24"/>
          <w:shd w:val="clear" w:color="auto" w:fill="FFFFFF"/>
        </w:rPr>
        <w:t>è</w:t>
      </w:r>
      <w:r w:rsidRPr="00A3260A">
        <w:rPr>
          <w:rFonts w:ascii="Arial" w:hAnsi="Arial" w:cs="Arial"/>
          <w:sz w:val="24"/>
          <w:szCs w:val="24"/>
          <w:vertAlign w:val="superscript"/>
        </w:rPr>
        <w:t>4</w:t>
      </w:r>
      <w:r w:rsidRPr="00A3260A">
        <w:rPr>
          <w:rFonts w:ascii="Arial" w:hAnsi="Arial" w:cs="Arial"/>
          <w:sz w:val="24"/>
          <w:szCs w:val="24"/>
        </w:rPr>
        <w:t>, Gerrit Eggink</w:t>
      </w:r>
      <w:r w:rsidRPr="00A3260A">
        <w:rPr>
          <w:rFonts w:ascii="Arial" w:hAnsi="Arial" w:cs="Arial"/>
          <w:sz w:val="24"/>
          <w:szCs w:val="24"/>
          <w:vertAlign w:val="superscript"/>
        </w:rPr>
        <w:t>1,5</w:t>
      </w:r>
      <w:r w:rsidRPr="00A3260A">
        <w:rPr>
          <w:rFonts w:ascii="Arial" w:hAnsi="Arial" w:cs="Arial"/>
          <w:sz w:val="24"/>
          <w:szCs w:val="24"/>
        </w:rPr>
        <w:t>, John van der Oost</w:t>
      </w:r>
      <w:r w:rsidRPr="00A3260A">
        <w:rPr>
          <w:rFonts w:ascii="Arial" w:hAnsi="Arial" w:cs="Arial"/>
          <w:sz w:val="24"/>
          <w:szCs w:val="24"/>
          <w:vertAlign w:val="superscript"/>
        </w:rPr>
        <w:t>2</w:t>
      </w:r>
      <w:r w:rsidRPr="00A3260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3260A">
        <w:rPr>
          <w:rFonts w:ascii="Arial" w:hAnsi="Arial" w:cs="Arial"/>
          <w:sz w:val="24"/>
          <w:szCs w:val="24"/>
        </w:rPr>
        <w:t>Serv</w:t>
      </w:r>
      <w:r w:rsidRPr="00A3260A">
        <w:rPr>
          <w:rFonts w:ascii="Arial" w:hAnsi="Arial" w:cs="Arial"/>
          <w:sz w:val="24"/>
          <w:szCs w:val="24"/>
          <w:shd w:val="clear" w:color="auto" w:fill="FFFFFF"/>
        </w:rPr>
        <w:t>é</w:t>
      </w:r>
      <w:proofErr w:type="spellEnd"/>
      <w:r w:rsidRPr="00A3260A">
        <w:rPr>
          <w:rFonts w:ascii="Arial" w:hAnsi="Arial" w:cs="Arial"/>
          <w:sz w:val="24"/>
          <w:szCs w:val="24"/>
        </w:rPr>
        <w:t xml:space="preserve"> W. M. Kengen</w:t>
      </w:r>
      <w:r w:rsidRPr="00A3260A">
        <w:rPr>
          <w:rFonts w:ascii="Arial" w:hAnsi="Arial" w:cs="Arial"/>
          <w:sz w:val="24"/>
          <w:szCs w:val="24"/>
          <w:vertAlign w:val="superscript"/>
        </w:rPr>
        <w:t>2</w:t>
      </w:r>
      <w:r w:rsidRPr="00A3260A">
        <w:rPr>
          <w:rFonts w:ascii="Arial" w:hAnsi="Arial" w:cs="Arial"/>
          <w:sz w:val="24"/>
          <w:szCs w:val="24"/>
        </w:rPr>
        <w:t>, Ruud A. Weusthuis</w:t>
      </w:r>
      <w:r w:rsidRPr="00A3260A">
        <w:rPr>
          <w:rFonts w:ascii="Arial" w:hAnsi="Arial" w:cs="Arial"/>
          <w:sz w:val="24"/>
          <w:szCs w:val="24"/>
          <w:vertAlign w:val="superscript"/>
        </w:rPr>
        <w:t>1,**</w:t>
      </w:r>
    </w:p>
    <w:p w14:paraId="5D988B24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3260A">
        <w:rPr>
          <w:rFonts w:ascii="Arial" w:hAnsi="Arial" w:cs="Arial"/>
          <w:sz w:val="24"/>
          <w:szCs w:val="24"/>
          <w:vertAlign w:val="superscript"/>
        </w:rPr>
        <w:t>1</w:t>
      </w:r>
      <w:r w:rsidRPr="00A3260A">
        <w:rPr>
          <w:rFonts w:ascii="Arial" w:hAnsi="Arial" w:cs="Arial"/>
          <w:sz w:val="24"/>
          <w:szCs w:val="24"/>
        </w:rPr>
        <w:t xml:space="preserve">Bioprocess Engineering, Wageningen University, </w:t>
      </w:r>
      <w:proofErr w:type="spellStart"/>
      <w:r w:rsidRPr="00A3260A">
        <w:rPr>
          <w:rFonts w:ascii="Arial" w:hAnsi="Arial" w:cs="Arial"/>
          <w:sz w:val="24"/>
          <w:szCs w:val="24"/>
        </w:rPr>
        <w:t>Droevendaalsesteeg</w:t>
      </w:r>
      <w:proofErr w:type="spellEnd"/>
      <w:r w:rsidRPr="00A3260A">
        <w:rPr>
          <w:rFonts w:ascii="Arial" w:hAnsi="Arial" w:cs="Arial"/>
          <w:sz w:val="24"/>
          <w:szCs w:val="24"/>
        </w:rPr>
        <w:t xml:space="preserve"> 1, 6708 PB Wageningen, The Netherlands</w:t>
      </w:r>
    </w:p>
    <w:p w14:paraId="401EDF09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3260A">
        <w:rPr>
          <w:rFonts w:ascii="Arial" w:hAnsi="Arial" w:cs="Arial"/>
          <w:sz w:val="24"/>
          <w:szCs w:val="24"/>
          <w:vertAlign w:val="superscript"/>
        </w:rPr>
        <w:t>2</w:t>
      </w:r>
      <w:r w:rsidRPr="00A3260A">
        <w:rPr>
          <w:rFonts w:ascii="Arial" w:hAnsi="Arial" w:cs="Arial"/>
          <w:sz w:val="24"/>
          <w:szCs w:val="24"/>
        </w:rPr>
        <w:t xml:space="preserve">Laboratory of Microbiology, Wageningen University, </w:t>
      </w:r>
      <w:proofErr w:type="spellStart"/>
      <w:r w:rsidRPr="00A3260A">
        <w:rPr>
          <w:rFonts w:ascii="Arial" w:hAnsi="Arial" w:cs="Arial"/>
          <w:sz w:val="24"/>
          <w:szCs w:val="24"/>
        </w:rPr>
        <w:t>Stippeneng</w:t>
      </w:r>
      <w:proofErr w:type="spellEnd"/>
      <w:r w:rsidRPr="00A3260A">
        <w:rPr>
          <w:rFonts w:ascii="Arial" w:hAnsi="Arial" w:cs="Arial"/>
          <w:sz w:val="24"/>
          <w:szCs w:val="24"/>
        </w:rPr>
        <w:t xml:space="preserve"> 4, 6708 WE Wageningen, The Netherlands</w:t>
      </w:r>
    </w:p>
    <w:p w14:paraId="7B5F38E1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A3260A">
        <w:rPr>
          <w:rFonts w:ascii="Arial" w:hAnsi="Arial" w:cs="Arial"/>
          <w:sz w:val="24"/>
          <w:szCs w:val="24"/>
          <w:vertAlign w:val="superscript"/>
          <w:lang w:val="en-US"/>
        </w:rPr>
        <w:t>3</w:t>
      </w:r>
      <w:r w:rsidRPr="00A3260A">
        <w:rPr>
          <w:rFonts w:ascii="Arial" w:hAnsi="Arial" w:cs="Arial"/>
          <w:sz w:val="24"/>
          <w:szCs w:val="24"/>
          <w:lang w:val="en-US"/>
        </w:rPr>
        <w:t>Wageningen Plant Research, 6700AA Wageningen, The Netherlands</w:t>
      </w:r>
    </w:p>
    <w:p w14:paraId="0F15FD10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3260A">
        <w:rPr>
          <w:rFonts w:ascii="Arial" w:hAnsi="Arial" w:cs="Arial"/>
          <w:sz w:val="24"/>
          <w:szCs w:val="24"/>
          <w:vertAlign w:val="superscript"/>
        </w:rPr>
        <w:t>4</w:t>
      </w:r>
      <w:r w:rsidRPr="00A3260A">
        <w:rPr>
          <w:rFonts w:ascii="Arial" w:hAnsi="Arial" w:cs="Arial"/>
          <w:sz w:val="24"/>
          <w:szCs w:val="24"/>
        </w:rPr>
        <w:t xml:space="preserve">Physical Chemistry and Soft Matter, Wageningen University, </w:t>
      </w:r>
      <w:proofErr w:type="spellStart"/>
      <w:r w:rsidRPr="00A3260A">
        <w:rPr>
          <w:rFonts w:ascii="Arial" w:hAnsi="Arial" w:cs="Arial"/>
          <w:sz w:val="24"/>
          <w:szCs w:val="24"/>
        </w:rPr>
        <w:t>Stippeneng</w:t>
      </w:r>
      <w:proofErr w:type="spellEnd"/>
      <w:r w:rsidRPr="00A3260A">
        <w:rPr>
          <w:rFonts w:ascii="Arial" w:hAnsi="Arial" w:cs="Arial"/>
          <w:sz w:val="24"/>
          <w:szCs w:val="24"/>
        </w:rPr>
        <w:t xml:space="preserve"> 4, 6708 WE Wageningen, The Netherlands</w:t>
      </w:r>
    </w:p>
    <w:p w14:paraId="599A02E3" w14:textId="77777777" w:rsidR="00E15F4E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A3260A">
        <w:rPr>
          <w:rFonts w:ascii="Arial" w:hAnsi="Arial" w:cs="Arial"/>
          <w:sz w:val="24"/>
          <w:szCs w:val="24"/>
          <w:vertAlign w:val="superscript"/>
          <w:lang w:val="en-US"/>
        </w:rPr>
        <w:t>5</w:t>
      </w:r>
      <w:r w:rsidRPr="00A3260A">
        <w:rPr>
          <w:rFonts w:ascii="Arial" w:hAnsi="Arial" w:cs="Arial"/>
          <w:sz w:val="24"/>
          <w:szCs w:val="24"/>
          <w:lang w:val="en-US"/>
        </w:rPr>
        <w:t>Wageningen Food &amp; Biobased Research, 6708WG Wageningen, The Netherlands</w:t>
      </w:r>
    </w:p>
    <w:p w14:paraId="046DA186" w14:textId="77777777" w:rsidR="00E15F4E" w:rsidRPr="00B736A2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4C3ABD">
        <w:rPr>
          <w:rFonts w:ascii="Arial" w:hAnsi="Arial" w:cs="Arial"/>
          <w:sz w:val="24"/>
          <w:szCs w:val="24"/>
          <w:vertAlign w:val="superscript"/>
          <w:lang w:val="en-US"/>
        </w:rPr>
        <w:t>6</w:t>
      </w:r>
      <w:r w:rsidRPr="004C3ABD">
        <w:rPr>
          <w:rFonts w:ascii="Arial" w:hAnsi="Arial" w:cs="Arial"/>
          <w:sz w:val="24"/>
          <w:szCs w:val="24"/>
          <w:lang w:val="en-US"/>
        </w:rPr>
        <w:t>Present address</w:t>
      </w:r>
      <w:r>
        <w:rPr>
          <w:rFonts w:ascii="Arial" w:hAnsi="Arial" w:cs="Arial"/>
          <w:sz w:val="24"/>
          <w:szCs w:val="24"/>
          <w:lang w:val="en-US"/>
        </w:rPr>
        <w:t xml:space="preserve">: </w:t>
      </w:r>
      <w:r w:rsidRPr="00B736A2">
        <w:rPr>
          <w:rFonts w:ascii="Arial" w:hAnsi="Arial" w:cs="Arial"/>
          <w:sz w:val="24"/>
          <w:szCs w:val="24"/>
          <w:lang w:val="en-US"/>
        </w:rPr>
        <w:t xml:space="preserve">Systems and Synthetic Metabolism Group, Max Planck Institute of Molecular Plant Physiology, Am </w:t>
      </w:r>
      <w:proofErr w:type="spellStart"/>
      <w:r w:rsidRPr="00B736A2">
        <w:rPr>
          <w:rFonts w:ascii="Arial" w:hAnsi="Arial" w:cs="Arial"/>
          <w:sz w:val="24"/>
          <w:szCs w:val="24"/>
          <w:lang w:val="en-US"/>
        </w:rPr>
        <w:t>Mühlenberg</w:t>
      </w:r>
      <w:proofErr w:type="spellEnd"/>
      <w:r w:rsidRPr="00B736A2">
        <w:rPr>
          <w:rFonts w:ascii="Arial" w:hAnsi="Arial" w:cs="Arial"/>
          <w:sz w:val="24"/>
          <w:szCs w:val="24"/>
          <w:lang w:val="en-US"/>
        </w:rPr>
        <w:t xml:space="preserve"> 1, 14476 Potsdam, Germany.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7</w:t>
      </w:r>
      <w:r w:rsidRPr="004C3ABD">
        <w:rPr>
          <w:rFonts w:ascii="Arial" w:hAnsi="Arial" w:cs="Arial"/>
          <w:sz w:val="24"/>
          <w:szCs w:val="24"/>
          <w:lang w:val="en-US"/>
        </w:rPr>
        <w:t>Present address</w:t>
      </w:r>
      <w:r>
        <w:rPr>
          <w:rFonts w:ascii="Arial" w:hAnsi="Arial" w:cs="Arial"/>
          <w:sz w:val="24"/>
          <w:szCs w:val="24"/>
          <w:lang w:val="en-US"/>
        </w:rPr>
        <w:t>: Helmholtz Institute for RNA-based Infection Research (HIRI), Helmholtz-Centre for Infection Research (HZI), 97080 Würzburg, Germany</w:t>
      </w:r>
      <w:r w:rsidRPr="00B736A2">
        <w:rPr>
          <w:rFonts w:ascii="Arial" w:hAnsi="Arial" w:cs="Arial"/>
          <w:sz w:val="24"/>
          <w:szCs w:val="24"/>
          <w:lang w:val="en-US"/>
        </w:rPr>
        <w:t>.</w:t>
      </w:r>
    </w:p>
    <w:p w14:paraId="7CDA4A19" w14:textId="77777777" w:rsidR="00E15F4E" w:rsidRPr="00A3260A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A3260A">
        <w:rPr>
          <w:rFonts w:ascii="Arial" w:hAnsi="Arial" w:cs="Arial"/>
          <w:sz w:val="24"/>
          <w:szCs w:val="24"/>
          <w:vertAlign w:val="superscript"/>
          <w:lang w:val="en-US"/>
        </w:rPr>
        <w:t>*</w:t>
      </w:r>
      <w:r w:rsidRPr="00A3260A">
        <w:rPr>
          <w:rFonts w:ascii="Arial" w:hAnsi="Arial" w:cs="Arial"/>
          <w:sz w:val="24"/>
          <w:szCs w:val="24"/>
          <w:lang w:val="en-US"/>
        </w:rPr>
        <w:t>contributed equally</w:t>
      </w:r>
    </w:p>
    <w:p w14:paraId="5D5998AB" w14:textId="77777777" w:rsidR="00E15F4E" w:rsidRDefault="00E15F4E" w:rsidP="00E15F4E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A3260A">
        <w:rPr>
          <w:rFonts w:ascii="Arial" w:hAnsi="Arial" w:cs="Arial"/>
          <w:sz w:val="24"/>
          <w:szCs w:val="24"/>
          <w:vertAlign w:val="superscript"/>
          <w:lang w:val="en-US"/>
        </w:rPr>
        <w:t>**</w:t>
      </w:r>
      <w:r w:rsidRPr="00A3260A">
        <w:rPr>
          <w:rFonts w:ascii="Arial" w:hAnsi="Arial" w:cs="Arial"/>
          <w:sz w:val="24"/>
          <w:szCs w:val="24"/>
          <w:lang w:val="en-US"/>
        </w:rPr>
        <w:t>corresponding author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hyperlink r:id="rId4" w:history="1">
        <w:r w:rsidRPr="00324C3C">
          <w:rPr>
            <w:rStyle w:val="Hyperlink"/>
            <w:rFonts w:ascii="Arial" w:hAnsi="Arial" w:cs="Arial"/>
            <w:sz w:val="24"/>
            <w:szCs w:val="24"/>
            <w:lang w:val="en-US"/>
          </w:rPr>
          <w:t>ruud.weusthuis@wur.nl</w:t>
        </w:r>
      </w:hyperlink>
    </w:p>
    <w:p w14:paraId="71B898E8" w14:textId="77777777" w:rsidR="00CE310E" w:rsidRDefault="00CE310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</w:pPr>
      <w:r>
        <w:rPr>
          <w:lang w:val="en-US"/>
        </w:rPr>
        <w:br w:type="page"/>
      </w:r>
    </w:p>
    <w:p w14:paraId="51CEF836" w14:textId="77777777" w:rsidR="00AC530D" w:rsidRDefault="00A90EE6" w:rsidP="00CE310E">
      <w:pPr>
        <w:pStyle w:val="Heading1"/>
        <w:jc w:val="both"/>
        <w:rPr>
          <w:lang w:val="en-US"/>
        </w:rPr>
      </w:pPr>
      <w:r>
        <w:rPr>
          <w:lang w:val="en-US"/>
        </w:rPr>
        <w:lastRenderedPageBreak/>
        <w:t xml:space="preserve">Additional </w:t>
      </w:r>
      <w:r w:rsidR="00CE310E">
        <w:rPr>
          <w:lang w:val="en-US"/>
        </w:rPr>
        <w:t>information</w:t>
      </w:r>
    </w:p>
    <w:p w14:paraId="0C151A3E" w14:textId="406DA746" w:rsidR="00D5293F" w:rsidRDefault="00D133BD" w:rsidP="00671B8F">
      <w:pPr>
        <w:jc w:val="both"/>
        <w:rPr>
          <w:lang w:val="en-US"/>
        </w:rPr>
      </w:pPr>
      <w:r w:rsidRPr="00D133BD">
        <w:rPr>
          <w:b/>
          <w:lang w:val="en-US"/>
        </w:rPr>
        <w:t>Table S1.</w:t>
      </w:r>
      <w:r>
        <w:rPr>
          <w:lang w:val="en-US"/>
        </w:rPr>
        <w:t xml:space="preserve"> Primers used in this study.</w:t>
      </w:r>
    </w:p>
    <w:tbl>
      <w:tblPr>
        <w:tblW w:w="97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1073"/>
        <w:gridCol w:w="1009"/>
        <w:gridCol w:w="5594"/>
        <w:gridCol w:w="1433"/>
      </w:tblGrid>
      <w:tr w:rsidR="00C92482" w:rsidRPr="00D133BD" w14:paraId="75DD1B6F" w14:textId="77777777" w:rsidTr="00E15F4E">
        <w:trPr>
          <w:trHeight w:val="300"/>
        </w:trPr>
        <w:tc>
          <w:tcPr>
            <w:tcW w:w="684" w:type="dxa"/>
            <w:shd w:val="clear" w:color="auto" w:fill="auto"/>
            <w:noWrap/>
            <w:vAlign w:val="bottom"/>
            <w:hideMark/>
          </w:tcPr>
          <w:p w14:paraId="0A861DC5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Scope</w:t>
            </w:r>
          </w:p>
        </w:tc>
        <w:tc>
          <w:tcPr>
            <w:tcW w:w="1073" w:type="dxa"/>
          </w:tcPr>
          <w:p w14:paraId="0C9A3F82" w14:textId="79DE2F0A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Assembly fragments</w:t>
            </w:r>
          </w:p>
        </w:tc>
        <w:tc>
          <w:tcPr>
            <w:tcW w:w="1009" w:type="dxa"/>
            <w:shd w:val="clear" w:color="auto" w:fill="auto"/>
            <w:noWrap/>
            <w:vAlign w:val="bottom"/>
            <w:hideMark/>
          </w:tcPr>
          <w:p w14:paraId="5630D2E6" w14:textId="27373934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Primer #</w:t>
            </w:r>
          </w:p>
        </w:tc>
        <w:tc>
          <w:tcPr>
            <w:tcW w:w="5594" w:type="dxa"/>
            <w:shd w:val="clear" w:color="auto" w:fill="auto"/>
            <w:noWrap/>
            <w:vAlign w:val="bottom"/>
            <w:hideMark/>
          </w:tcPr>
          <w:p w14:paraId="2A17B492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Sequence</w:t>
            </w:r>
          </w:p>
        </w:tc>
        <w:tc>
          <w:tcPr>
            <w:tcW w:w="1433" w:type="dxa"/>
            <w:shd w:val="clear" w:color="auto" w:fill="auto"/>
            <w:noWrap/>
            <w:vAlign w:val="bottom"/>
            <w:hideMark/>
          </w:tcPr>
          <w:p w14:paraId="6A7717E8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Description</w:t>
            </w:r>
          </w:p>
        </w:tc>
      </w:tr>
      <w:tr w:rsidR="00C92482" w:rsidRPr="00D133BD" w14:paraId="74C2F69E" w14:textId="77777777" w:rsidTr="00E15F4E">
        <w:trPr>
          <w:trHeight w:val="1475"/>
        </w:trPr>
        <w:tc>
          <w:tcPr>
            <w:tcW w:w="684" w:type="dxa"/>
            <w:vMerge w:val="restart"/>
            <w:shd w:val="clear" w:color="auto" w:fill="auto"/>
            <w:textDirection w:val="btLr"/>
            <w:vAlign w:val="center"/>
            <w:hideMark/>
          </w:tcPr>
          <w:p w14:paraId="3E7270B4" w14:textId="77777777" w:rsidR="00C92482" w:rsidRPr="00D133BD" w:rsidRDefault="00C92482" w:rsidP="000C1E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nl-NL" w:eastAsia="nl-NL"/>
              </w:rPr>
            </w:pP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knock-out</w:t>
            </w: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116B5A38" w14:textId="0D0D091B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  <w:t>#1</w:t>
            </w: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475A7B23" w14:textId="62166D48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</w:p>
          <w:p w14:paraId="7532CE12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P383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39187902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</w:p>
          <w:p w14:paraId="7AE70DED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GACCTACAAATGGTCCGTCG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GTTTTAGAGCTAGAAATAGCAAGTTAAAATAAGGCTAGTC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D0E32E3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Forward primer for PCR amplification of the sgRNA scaffold and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hcas9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from the 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vector, with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targeting spacer 1 sequence (bold) as overhung </w:t>
            </w:r>
          </w:p>
        </w:tc>
      </w:tr>
      <w:tr w:rsidR="00C92482" w:rsidRPr="00D133BD" w14:paraId="59A149BE" w14:textId="77777777" w:rsidTr="00E15F4E">
        <w:trPr>
          <w:trHeight w:val="900"/>
        </w:trPr>
        <w:tc>
          <w:tcPr>
            <w:tcW w:w="684" w:type="dxa"/>
            <w:vMerge/>
            <w:shd w:val="clear" w:color="auto" w:fill="auto"/>
            <w:textDirection w:val="btLr"/>
            <w:vAlign w:val="center"/>
          </w:tcPr>
          <w:p w14:paraId="767C0887" w14:textId="77777777" w:rsidR="00C92482" w:rsidRPr="00D133BD" w:rsidRDefault="00C92482" w:rsidP="000C1E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73" w:type="dxa"/>
            <w:vMerge/>
          </w:tcPr>
          <w:p w14:paraId="1ED3CDCB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0F600A13" w14:textId="355BD3A9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P385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726F2516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CGGGCAGGCGAACTATTCGG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GTTTTAGAGCTAGAAATAGCAAGTTAAAATAAGGCTAGTC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2CEEA0F3" w14:textId="77777777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Forward primer for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PCR amplification of the sgRNA scaffold and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hcas9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from the 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vector, with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targeting spacer 2 sequence (bold) as overhung</w:t>
            </w:r>
          </w:p>
        </w:tc>
      </w:tr>
      <w:tr w:rsidR="00C92482" w:rsidRPr="00D133BD" w14:paraId="7B13ADB5" w14:textId="77777777" w:rsidTr="00E15F4E">
        <w:trPr>
          <w:trHeight w:val="900"/>
        </w:trPr>
        <w:tc>
          <w:tcPr>
            <w:tcW w:w="684" w:type="dxa"/>
            <w:vMerge/>
            <w:shd w:val="clear" w:color="auto" w:fill="auto"/>
            <w:textDirection w:val="btLr"/>
            <w:vAlign w:val="center"/>
          </w:tcPr>
          <w:p w14:paraId="1B96D218" w14:textId="77777777" w:rsidR="00C92482" w:rsidRPr="00D133BD" w:rsidRDefault="00C92482" w:rsidP="000C1E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73" w:type="dxa"/>
            <w:vMerge/>
          </w:tcPr>
          <w:p w14:paraId="11205DF4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0406B4EB" w14:textId="0FF04F56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P387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105758D1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CAATCTCCTCCGGTTCGCCG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GTTTTAGAGCTAGAAATAGCAAGTTAAAATAAGGCTAGTC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1F6FB4F" w14:textId="77777777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Forward primer for PCR amplification of the sgRNA scaffold and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hcas9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from the 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vector, with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targeting spacer 3 sequence (bold) as overhung</w:t>
            </w:r>
          </w:p>
        </w:tc>
      </w:tr>
      <w:tr w:rsidR="00C92482" w:rsidRPr="00D133BD" w14:paraId="4397A14E" w14:textId="77777777" w:rsidTr="00E15F4E">
        <w:trPr>
          <w:trHeight w:val="900"/>
        </w:trPr>
        <w:tc>
          <w:tcPr>
            <w:tcW w:w="684" w:type="dxa"/>
            <w:vMerge/>
            <w:shd w:val="clear" w:color="auto" w:fill="auto"/>
            <w:textDirection w:val="btLr"/>
            <w:vAlign w:val="center"/>
          </w:tcPr>
          <w:p w14:paraId="3CFBF8CF" w14:textId="77777777" w:rsidR="00C92482" w:rsidRPr="00D133BD" w:rsidRDefault="00C92482" w:rsidP="000C1E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73" w:type="dxa"/>
            <w:vMerge/>
          </w:tcPr>
          <w:p w14:paraId="69FCAB8B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2984F7F0" w14:textId="428B02F1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P301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6D288AC0" w14:textId="77777777" w:rsidR="00C92482" w:rsidRPr="000C1E8E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CCATGTCGGCAGAATGCTTAATG 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475FDC6A" w14:textId="77777777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Reverse primer for PCR amplification of the sgRNA scaffold and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hcas9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from the 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vector.</w:t>
            </w:r>
          </w:p>
        </w:tc>
      </w:tr>
      <w:tr w:rsidR="00C92482" w:rsidRPr="00D133BD" w14:paraId="40559A32" w14:textId="77777777" w:rsidTr="00E15F4E">
        <w:trPr>
          <w:trHeight w:val="692"/>
        </w:trPr>
        <w:tc>
          <w:tcPr>
            <w:tcW w:w="684" w:type="dxa"/>
            <w:vMerge/>
            <w:vAlign w:val="center"/>
            <w:hideMark/>
          </w:tcPr>
          <w:p w14:paraId="2B13FC29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0C7EBE8F" w14:textId="5E998FFB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#2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8BD8E08" w14:textId="36DE62BD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P302</w:t>
            </w:r>
          </w:p>
        </w:tc>
        <w:tc>
          <w:tcPr>
            <w:tcW w:w="5594" w:type="dxa"/>
            <w:shd w:val="clear" w:color="auto" w:fill="auto"/>
            <w:noWrap/>
            <w:vAlign w:val="center"/>
            <w:hideMark/>
          </w:tcPr>
          <w:p w14:paraId="5AFE9A47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CATTAAGCATTCTGCCGACATGG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747179AB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Forward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backbone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(reverse complement of primer P301).</w:t>
            </w:r>
          </w:p>
        </w:tc>
      </w:tr>
      <w:tr w:rsidR="00C92482" w:rsidRPr="00D133BD" w14:paraId="39A123C4" w14:textId="77777777" w:rsidTr="00E15F4E">
        <w:trPr>
          <w:trHeight w:val="305"/>
        </w:trPr>
        <w:tc>
          <w:tcPr>
            <w:tcW w:w="684" w:type="dxa"/>
            <w:vMerge/>
            <w:vAlign w:val="center"/>
            <w:hideMark/>
          </w:tcPr>
          <w:p w14:paraId="2F093A6B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271B8FF5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1012F4F0" w14:textId="5DA1E6AE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P303</w:t>
            </w:r>
          </w:p>
        </w:tc>
        <w:tc>
          <w:tcPr>
            <w:tcW w:w="5594" w:type="dxa"/>
            <w:shd w:val="clear" w:color="auto" w:fill="auto"/>
            <w:noWrap/>
            <w:vAlign w:val="center"/>
            <w:hideMark/>
          </w:tcPr>
          <w:p w14:paraId="424B5B67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GCCTGAATGGCGAATGGAAATTGTAA</w:t>
            </w:r>
          </w:p>
        </w:tc>
        <w:tc>
          <w:tcPr>
            <w:tcW w:w="1433" w:type="dxa"/>
            <w:shd w:val="clear" w:color="auto" w:fill="auto"/>
            <w:noWrap/>
            <w:vAlign w:val="center"/>
            <w:hideMark/>
          </w:tcPr>
          <w:p w14:paraId="5FFE4B71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Reverse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backbone</w:t>
            </w:r>
          </w:p>
        </w:tc>
      </w:tr>
      <w:tr w:rsidR="00C92482" w:rsidRPr="00D133BD" w14:paraId="5D13562B" w14:textId="77777777" w:rsidTr="00E15F4E">
        <w:trPr>
          <w:trHeight w:val="1365"/>
        </w:trPr>
        <w:tc>
          <w:tcPr>
            <w:tcW w:w="684" w:type="dxa"/>
            <w:vMerge/>
            <w:vAlign w:val="center"/>
          </w:tcPr>
          <w:p w14:paraId="75E5D763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75B0B742" w14:textId="43AD126F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#3</w:t>
            </w: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0D84F238" w14:textId="31BB336D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P382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404D0E8F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TTACAATTTCCATTCGCCATTCAGGC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GAGCCTCTGTCTCGC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673450F9" w14:textId="77777777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Forward primer for PCR amplification of the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1  from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genome.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overhang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(bold) is reverse complement of primer P303.</w:t>
            </w:r>
          </w:p>
        </w:tc>
      </w:tr>
      <w:tr w:rsidR="00C92482" w:rsidRPr="00D133BD" w14:paraId="4739F68F" w14:textId="77777777" w:rsidTr="00E15F4E">
        <w:trPr>
          <w:trHeight w:val="170"/>
        </w:trPr>
        <w:tc>
          <w:tcPr>
            <w:tcW w:w="684" w:type="dxa"/>
            <w:vMerge/>
            <w:vAlign w:val="center"/>
          </w:tcPr>
          <w:p w14:paraId="49DD972C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0C2FFB17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54FD4DDF" w14:textId="73C29DE3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P381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14A14A84" w14:textId="77777777" w:rsidR="00C92482" w:rsidRPr="00677B98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GGATATTTGAAGGAGGGATC</w:t>
            </w:r>
            <w:r w:rsidRPr="00D133BD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GGATCTTCTCATCCTGAAAACCA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AB47004" w14:textId="1D6CC51E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Reverse primer for PCR amplification of the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lastRenderedPageBreak/>
              <w:t xml:space="preserve">recombination flank 1  from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genome.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overhang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is reverse complement of the non-overhung part of primer P380, while the whole primer is reverse complement of primer P380.</w:t>
            </w:r>
          </w:p>
        </w:tc>
      </w:tr>
      <w:tr w:rsidR="00C92482" w:rsidRPr="00D133BD" w14:paraId="3199AE4B" w14:textId="77777777" w:rsidTr="00E15F4E">
        <w:trPr>
          <w:trHeight w:val="1115"/>
        </w:trPr>
        <w:tc>
          <w:tcPr>
            <w:tcW w:w="684" w:type="dxa"/>
            <w:vMerge/>
            <w:vAlign w:val="center"/>
          </w:tcPr>
          <w:p w14:paraId="15B4B321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136AF100" w14:textId="0293410C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#4</w:t>
            </w: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5048B109" w14:textId="2214CF8C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P380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0FBC7B04" w14:textId="77777777" w:rsidR="00C92482" w:rsidRPr="00677B98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TTTTCAGGATGAGAAGATCC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GATCCCTCCTTCAAATATCCGC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4CC80CA3" w14:textId="65317259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Forward primer for PCR amplification of the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2  from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genome.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overhang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is reverse complement of the non-overhung part of primer P381, while the whole primer is reverse complement of primer P381.</w:t>
            </w:r>
          </w:p>
        </w:tc>
      </w:tr>
      <w:tr w:rsidR="00C92482" w:rsidRPr="00D133BD" w14:paraId="580BCED2" w14:textId="77777777" w:rsidTr="00E15F4E">
        <w:trPr>
          <w:trHeight w:val="60"/>
        </w:trPr>
        <w:tc>
          <w:tcPr>
            <w:tcW w:w="684" w:type="dxa"/>
            <w:vMerge/>
            <w:vAlign w:val="center"/>
            <w:hideMark/>
          </w:tcPr>
          <w:p w14:paraId="6FC04E5B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4A4FB407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3F8AF477" w14:textId="2A7E4CA9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P379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50D1595D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TAATAGCGAAGAGGCCCGCAC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ATGTCCAGCTGGGCGAC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A5E205A" w14:textId="15BA0C31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Reverse primer for PCR amplification of the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2  from the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genome.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overhang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(bold) is reverse complement of primer P304.</w:t>
            </w:r>
          </w:p>
        </w:tc>
      </w:tr>
      <w:tr w:rsidR="00C92482" w:rsidRPr="00D133BD" w14:paraId="1FE3496D" w14:textId="77777777" w:rsidTr="00E15F4E">
        <w:trPr>
          <w:trHeight w:val="60"/>
        </w:trPr>
        <w:tc>
          <w:tcPr>
            <w:tcW w:w="684" w:type="dxa"/>
            <w:vMerge/>
            <w:vAlign w:val="center"/>
          </w:tcPr>
          <w:p w14:paraId="580A3BFC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77266712" w14:textId="4541F3DA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#5</w:t>
            </w: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1BAC0964" w14:textId="260A608A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P304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31F108D0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GTGCGGGCCTCTTCGCTATTA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6EBD1FB" w14:textId="22CB347D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Forward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backbone region between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homologous recombination flank 2 and the J95023 promoter of the sgRNA module</w:t>
            </w:r>
          </w:p>
        </w:tc>
      </w:tr>
      <w:tr w:rsidR="00C92482" w:rsidRPr="00D133BD" w14:paraId="5926028E" w14:textId="77777777" w:rsidTr="00E15F4E">
        <w:trPr>
          <w:trHeight w:val="60"/>
        </w:trPr>
        <w:tc>
          <w:tcPr>
            <w:tcW w:w="684" w:type="dxa"/>
            <w:vMerge/>
            <w:vAlign w:val="center"/>
          </w:tcPr>
          <w:p w14:paraId="6D8499C2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3B271B57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130BAC67" w14:textId="61D4C8C5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P384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41E1A7E3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CGACGGACCATTTGTAGGTC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AACCAGCGATCCCGTCCG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8F27959" w14:textId="77777777" w:rsidR="00C92482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 w:rsidRPr="00E15F4E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  <w:t>Reverse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backbone region between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2 and the J95023 promoter of the sgRNA module, with the reverse complement of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targeting spacer 1 sequence (bold) as overhung (the overhung is reverse complement of the overhung of primer P383)</w:t>
            </w:r>
          </w:p>
        </w:tc>
      </w:tr>
      <w:tr w:rsidR="00C92482" w:rsidRPr="00D133BD" w14:paraId="3053EFF7" w14:textId="77777777" w:rsidTr="00E15F4E">
        <w:trPr>
          <w:trHeight w:val="60"/>
        </w:trPr>
        <w:tc>
          <w:tcPr>
            <w:tcW w:w="684" w:type="dxa"/>
            <w:vMerge/>
            <w:vAlign w:val="center"/>
            <w:hideMark/>
          </w:tcPr>
          <w:p w14:paraId="223CD668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57D02901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12FA1EF0" w14:textId="222DF301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P386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208197C9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CCGAATAGTTCGCCTGCCCG</w:t>
            </w:r>
            <w:r w:rsidRPr="000C1E8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AACCAGCGATCCCGTCCG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26A8AF25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Reverse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backbone region between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2 and the J95023 promoter of the sgRNA module, with the reverse complement of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targeting spacer 2 sequence (bold) as overhung (the overhung is reverse complement of the overhung of primer P385)</w:t>
            </w:r>
          </w:p>
        </w:tc>
      </w:tr>
      <w:tr w:rsidR="00C92482" w:rsidRPr="00D133BD" w14:paraId="6A06AD0B" w14:textId="77777777" w:rsidTr="00E15F4E">
        <w:trPr>
          <w:trHeight w:val="1590"/>
        </w:trPr>
        <w:tc>
          <w:tcPr>
            <w:tcW w:w="684" w:type="dxa"/>
            <w:vMerge/>
            <w:vAlign w:val="center"/>
            <w:hideMark/>
          </w:tcPr>
          <w:p w14:paraId="1F29A230" w14:textId="77777777" w:rsidR="00C92482" w:rsidRPr="00D133BD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0F515273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1B3FBB8B" w14:textId="3398FDE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P388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770A8E7F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0C1E8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nl-NL"/>
              </w:rPr>
              <w:t>CGGCGAACCGGAGGAGATTG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AACCAGCGATCCCGTCCG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6B099785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Reverse primer for PCR amplification of the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pBBR_Cas9NT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backbone region between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homologous recombination flank 2 and the J95023 promoter of the sgRNA module, with the reverse complement of the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targeting spacer 2 sequence (bold) as overhung (the overhung is reverse complement of the overhung of primer P387)</w:t>
            </w:r>
          </w:p>
        </w:tc>
      </w:tr>
      <w:tr w:rsidR="00C92482" w:rsidRPr="00D133BD" w14:paraId="4DDDB80E" w14:textId="77777777" w:rsidTr="00E15F4E">
        <w:trPr>
          <w:trHeight w:val="915"/>
        </w:trPr>
        <w:tc>
          <w:tcPr>
            <w:tcW w:w="684" w:type="dxa"/>
            <w:vMerge w:val="restart"/>
            <w:shd w:val="clear" w:color="auto" w:fill="auto"/>
            <w:textDirection w:val="btLr"/>
            <w:vAlign w:val="center"/>
            <w:hideMark/>
          </w:tcPr>
          <w:p w14:paraId="1D297636" w14:textId="77777777" w:rsidR="00C92482" w:rsidRPr="00D133BD" w:rsidRDefault="00C92482" w:rsidP="000C1E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sequencing</w:t>
            </w:r>
          </w:p>
        </w:tc>
        <w:tc>
          <w:tcPr>
            <w:tcW w:w="1073" w:type="dxa"/>
            <w:vMerge w:val="restart"/>
            <w:textDirection w:val="btLr"/>
            <w:vAlign w:val="center"/>
          </w:tcPr>
          <w:p w14:paraId="16F1AB9B" w14:textId="2E4237C4" w:rsidR="00C92482" w:rsidRPr="00D133BD" w:rsidRDefault="00C92482" w:rsidP="00E15F4E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-</w:t>
            </w: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5AA8A8B8" w14:textId="1851D8AA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P409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135D700A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AGCATCAACCAGGTCTGCGG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29FF745" w14:textId="77777777" w:rsidR="00C92482" w:rsidRPr="00E15F4E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 specific primer for screening of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deletion mutants</w:t>
            </w:r>
          </w:p>
        </w:tc>
      </w:tr>
      <w:tr w:rsidR="00C92482" w:rsidRPr="00D133BD" w14:paraId="6CD50DC7" w14:textId="77777777" w:rsidTr="00E15F4E">
        <w:trPr>
          <w:trHeight w:val="915"/>
        </w:trPr>
        <w:tc>
          <w:tcPr>
            <w:tcW w:w="684" w:type="dxa"/>
            <w:vMerge/>
            <w:vAlign w:val="center"/>
            <w:hideMark/>
          </w:tcPr>
          <w:p w14:paraId="4DEACE73" w14:textId="77777777" w:rsidR="00C92482" w:rsidRPr="00E15F4E" w:rsidRDefault="00C92482" w:rsidP="000C1E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</w:p>
        </w:tc>
        <w:tc>
          <w:tcPr>
            <w:tcW w:w="1073" w:type="dxa"/>
            <w:vMerge/>
          </w:tcPr>
          <w:p w14:paraId="2DFEDB0C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</w:pPr>
          </w:p>
        </w:tc>
        <w:tc>
          <w:tcPr>
            <w:tcW w:w="1009" w:type="dxa"/>
            <w:shd w:val="clear" w:color="auto" w:fill="auto"/>
            <w:noWrap/>
            <w:vAlign w:val="center"/>
          </w:tcPr>
          <w:p w14:paraId="43FEE8B2" w14:textId="2AC6F702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P410</w:t>
            </w:r>
          </w:p>
        </w:tc>
        <w:tc>
          <w:tcPr>
            <w:tcW w:w="5594" w:type="dxa"/>
            <w:shd w:val="clear" w:color="auto" w:fill="auto"/>
            <w:noWrap/>
            <w:vAlign w:val="center"/>
          </w:tcPr>
          <w:p w14:paraId="2531C31E" w14:textId="77777777" w:rsidR="00C92482" w:rsidRPr="00D133BD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l-NL" w:eastAsia="nl-NL"/>
              </w:rPr>
            </w:pP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ACAACGGCATCCCGACGA</w:t>
            </w:r>
          </w:p>
        </w:tc>
        <w:tc>
          <w:tcPr>
            <w:tcW w:w="1433" w:type="dxa"/>
            <w:shd w:val="clear" w:color="auto" w:fill="auto"/>
            <w:noWrap/>
            <w:vAlign w:val="center"/>
          </w:tcPr>
          <w:p w14:paraId="01171032" w14:textId="77777777" w:rsidR="00C92482" w:rsidRPr="00E15F4E" w:rsidRDefault="00C92482" w:rsidP="000C1E8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>Genome specific primer for screening of</w:t>
            </w:r>
            <w:r w:rsidRPr="00D133B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 xml:space="preserve">R. sphaeroides </w:t>
            </w:r>
            <w:proofErr w:type="spellStart"/>
            <w:r w:rsidRPr="00D133BD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nl-NL"/>
              </w:rPr>
              <w:t>phaB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nl-NL"/>
              </w:rPr>
              <w:t xml:space="preserve"> deletion mutants</w:t>
            </w:r>
          </w:p>
        </w:tc>
      </w:tr>
    </w:tbl>
    <w:p w14:paraId="49B6F29C" w14:textId="77777777" w:rsidR="00DD38F1" w:rsidRPr="00E15F4E" w:rsidRDefault="00DD38F1" w:rsidP="00671B8F">
      <w:pPr>
        <w:jc w:val="both"/>
      </w:pPr>
    </w:p>
    <w:p w14:paraId="554519A9" w14:textId="77777777" w:rsidR="00D133BD" w:rsidRDefault="00D133BD" w:rsidP="00671B8F">
      <w:pPr>
        <w:jc w:val="both"/>
        <w:rPr>
          <w:lang w:val="en-US"/>
        </w:rPr>
      </w:pPr>
    </w:p>
    <w:p w14:paraId="56F65C75" w14:textId="77777777" w:rsidR="00D133BD" w:rsidRDefault="00D133BD" w:rsidP="00671B8F">
      <w:pPr>
        <w:jc w:val="both"/>
        <w:rPr>
          <w:b/>
          <w:lang w:val="en-US"/>
        </w:rPr>
      </w:pPr>
    </w:p>
    <w:p w14:paraId="4445E7AB" w14:textId="77777777" w:rsidR="00DA56B7" w:rsidRDefault="00DA56B7" w:rsidP="00671B8F">
      <w:pPr>
        <w:jc w:val="both"/>
        <w:rPr>
          <w:lang w:val="en-US"/>
        </w:rPr>
      </w:pPr>
      <w:r w:rsidRPr="00A90EE6">
        <w:rPr>
          <w:b/>
          <w:lang w:val="en-US"/>
        </w:rPr>
        <w:t>Table S</w:t>
      </w:r>
      <w:r w:rsidR="002A63BE">
        <w:rPr>
          <w:b/>
          <w:lang w:val="en-US"/>
        </w:rPr>
        <w:t>2</w:t>
      </w:r>
      <w:r w:rsidRPr="00A90EE6">
        <w:rPr>
          <w:b/>
          <w:lang w:val="en-US"/>
        </w:rPr>
        <w:t>.</w:t>
      </w:r>
      <w:r>
        <w:rPr>
          <w:lang w:val="en-US"/>
        </w:rPr>
        <w:t xml:space="preserve"> Yield of amorphadiene on biomass calculated during resting cells condition in nitrogen free medium.</w:t>
      </w:r>
    </w:p>
    <w:tbl>
      <w:tblPr>
        <w:tblW w:w="6794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7"/>
        <w:gridCol w:w="1188"/>
        <w:gridCol w:w="1220"/>
        <w:gridCol w:w="1506"/>
        <w:gridCol w:w="1493"/>
      </w:tblGrid>
      <w:tr w:rsidR="002A63BE" w:rsidRPr="00DA56B7" w14:paraId="0458F2DB" w14:textId="77777777" w:rsidTr="00D133BD">
        <w:trPr>
          <w:trHeight w:val="315"/>
        </w:trPr>
        <w:tc>
          <w:tcPr>
            <w:tcW w:w="138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8D56BEE" w14:textId="77777777" w:rsidR="002A63BE" w:rsidRPr="00DA56B7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Plasmid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9A5703" w14:textId="77777777" w:rsidR="002A63BE" w:rsidRPr="00DA56B7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Cultivation condition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208E7DB" w14:textId="77777777" w:rsidR="002A63BE" w:rsidRPr="00DA56B7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Genomic background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AB38743" w14:textId="77777777" w:rsidR="002A63BE" w:rsidRPr="00D7347F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Amorphadiene on biomass, </w:t>
            </w:r>
            <w:r w:rsidRPr="002A63BE">
              <w:rPr>
                <w:rFonts w:ascii="Calibri" w:eastAsia="Times New Roman" w:hAnsi="Calibri" w:cs="Calibri"/>
                <w:b/>
                <w:bCs/>
                <w:i/>
                <w:color w:val="000000"/>
                <w:sz w:val="22"/>
                <w:lang w:val="en-US" w:eastAsia="nl-NL"/>
              </w:rPr>
              <w:t>Y</w:t>
            </w:r>
            <w:r w:rsidRPr="002A63BE">
              <w:rPr>
                <w:rFonts w:ascii="Calibri" w:eastAsia="Times New Roman" w:hAnsi="Calibri" w:cs="Calibri"/>
                <w:b/>
                <w:bCs/>
                <w:i/>
                <w:color w:val="000000"/>
                <w:sz w:val="22"/>
                <w:vertAlign w:val="subscript"/>
                <w:lang w:val="en-US" w:eastAsia="nl-NL"/>
              </w:rPr>
              <w:t>P/X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 </w:t>
            </w: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(mg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 ∙ </w:t>
            </w: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g</w:t>
            </w:r>
            <w:r w:rsidRPr="002A63BE">
              <w:rPr>
                <w:rFonts w:ascii="Calibri" w:eastAsia="Times New Roman" w:hAnsi="Calibri" w:cs="Calibri"/>
                <w:b/>
                <w:bCs/>
                <w:color w:val="000000"/>
                <w:sz w:val="22"/>
                <w:vertAlign w:val="superscript"/>
                <w:lang w:val="en-US" w:eastAsia="nl-NL"/>
              </w:rPr>
              <w:t>-1</w:t>
            </w: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)</w:t>
            </w:r>
          </w:p>
        </w:tc>
      </w:tr>
      <w:tr w:rsidR="002A63BE" w:rsidRPr="00DA56B7" w14:paraId="54B68B4E" w14:textId="77777777" w:rsidTr="00D133BD">
        <w:trPr>
          <w:trHeight w:val="315"/>
        </w:trPr>
        <w:tc>
          <w:tcPr>
            <w:tcW w:w="138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69630B" w14:textId="77777777" w:rsidR="002A63BE" w:rsidRPr="00D7347F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</w:p>
        </w:tc>
        <w:tc>
          <w:tcPr>
            <w:tcW w:w="118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D0992A2" w14:textId="77777777" w:rsidR="002A63BE" w:rsidRPr="00D7347F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</w:p>
        </w:tc>
        <w:tc>
          <w:tcPr>
            <w:tcW w:w="122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4B316F" w14:textId="77777777" w:rsidR="002A63BE" w:rsidRPr="00D7347F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</w:p>
        </w:tc>
        <w:tc>
          <w:tcPr>
            <w:tcW w:w="15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B44E56" w14:textId="77777777" w:rsidR="002A63BE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Value</w:t>
            </w:r>
          </w:p>
        </w:tc>
        <w:tc>
          <w:tcPr>
            <w:tcW w:w="149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2DF901" w14:textId="77777777" w:rsidR="002A63BE" w:rsidRPr="002A63BE" w:rsidRDefault="002A63BE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St.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dev.</w:t>
            </w:r>
          </w:p>
        </w:tc>
      </w:tr>
      <w:tr w:rsidR="00DA56B7" w:rsidRPr="00DA56B7" w14:paraId="59CC27F6" w14:textId="77777777" w:rsidTr="00D133BD">
        <w:trPr>
          <w:trHeight w:val="300"/>
        </w:trPr>
        <w:tc>
          <w:tcPr>
            <w:tcW w:w="138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1768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proofErr w:type="spellStart"/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pBBR</w:t>
            </w:r>
            <w:proofErr w:type="spellEnd"/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-MVA-ads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FC73" w14:textId="77777777" w:rsidR="00DA56B7" w:rsidRPr="002A63BE" w:rsidRDefault="005043B5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Resting cell</w:t>
            </w:r>
          </w:p>
        </w:tc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A916E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</w:pPr>
            <w:proofErr w:type="spellStart"/>
            <w:r w:rsidRPr="002A63BE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  <w:t>wt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1800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4.7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BF8C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0.5</w:t>
            </w:r>
          </w:p>
        </w:tc>
      </w:tr>
      <w:tr w:rsidR="00DA56B7" w:rsidRPr="00DA56B7" w14:paraId="7AFF4849" w14:textId="77777777" w:rsidTr="00D133BD">
        <w:trPr>
          <w:trHeight w:val="300"/>
        </w:trPr>
        <w:tc>
          <w:tcPr>
            <w:tcW w:w="1387" w:type="dxa"/>
            <w:vMerge/>
            <w:vAlign w:val="center"/>
            <w:hideMark/>
          </w:tcPr>
          <w:p w14:paraId="0825FADD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188" w:type="dxa"/>
            <w:vMerge/>
            <w:vAlign w:val="center"/>
            <w:hideMark/>
          </w:tcPr>
          <w:p w14:paraId="34159261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3A9D5F84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</w:pPr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</w:t>
            </w:r>
            <w:proofErr w:type="spellStart"/>
            <w:r w:rsidRPr="002A63BE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  <w:t>phaB</w:t>
            </w:r>
            <w:proofErr w:type="spellEnd"/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2662158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9.6</w:t>
            </w:r>
          </w:p>
        </w:tc>
        <w:tc>
          <w:tcPr>
            <w:tcW w:w="1493" w:type="dxa"/>
            <w:shd w:val="clear" w:color="auto" w:fill="auto"/>
            <w:noWrap/>
            <w:vAlign w:val="bottom"/>
            <w:hideMark/>
          </w:tcPr>
          <w:p w14:paraId="631A175D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1.4</w:t>
            </w:r>
          </w:p>
        </w:tc>
      </w:tr>
      <w:tr w:rsidR="00DA56B7" w:rsidRPr="00DA56B7" w14:paraId="6B769421" w14:textId="77777777" w:rsidTr="00D133BD">
        <w:trPr>
          <w:trHeight w:val="300"/>
        </w:trPr>
        <w:tc>
          <w:tcPr>
            <w:tcW w:w="1387" w:type="dxa"/>
            <w:vMerge/>
            <w:vAlign w:val="center"/>
            <w:hideMark/>
          </w:tcPr>
          <w:p w14:paraId="2E85223D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188" w:type="dxa"/>
            <w:vMerge/>
            <w:vAlign w:val="center"/>
            <w:hideMark/>
          </w:tcPr>
          <w:p w14:paraId="447F529B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6390D2FB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</w:pPr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</w:t>
            </w:r>
            <w:proofErr w:type="spellStart"/>
            <w:r w:rsidRPr="002A63BE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  <w:t>dxr</w:t>
            </w:r>
            <w:proofErr w:type="spellEnd"/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45FADCBF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7.6</w:t>
            </w:r>
          </w:p>
        </w:tc>
        <w:tc>
          <w:tcPr>
            <w:tcW w:w="1493" w:type="dxa"/>
            <w:shd w:val="clear" w:color="auto" w:fill="auto"/>
            <w:noWrap/>
            <w:vAlign w:val="bottom"/>
            <w:hideMark/>
          </w:tcPr>
          <w:p w14:paraId="43F36500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1.6</w:t>
            </w:r>
          </w:p>
        </w:tc>
      </w:tr>
      <w:tr w:rsidR="00DA56B7" w:rsidRPr="00DA56B7" w14:paraId="78C3DCE9" w14:textId="77777777" w:rsidTr="00D133BD">
        <w:trPr>
          <w:trHeight w:val="315"/>
        </w:trPr>
        <w:tc>
          <w:tcPr>
            <w:tcW w:w="1387" w:type="dxa"/>
            <w:vMerge/>
            <w:vAlign w:val="center"/>
            <w:hideMark/>
          </w:tcPr>
          <w:p w14:paraId="3F1D9BBE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188" w:type="dxa"/>
            <w:vMerge/>
            <w:vAlign w:val="center"/>
            <w:hideMark/>
          </w:tcPr>
          <w:p w14:paraId="6DEC9546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</w:p>
        </w:tc>
        <w:tc>
          <w:tcPr>
            <w:tcW w:w="1220" w:type="dxa"/>
            <w:shd w:val="clear" w:color="auto" w:fill="auto"/>
            <w:noWrap/>
            <w:vAlign w:val="bottom"/>
            <w:hideMark/>
          </w:tcPr>
          <w:p w14:paraId="282782AF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</w:pPr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</w:t>
            </w:r>
            <w:proofErr w:type="spellStart"/>
            <w:r w:rsidRPr="002A63BE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  <w:t>dxr</w:t>
            </w:r>
            <w:proofErr w:type="spellEnd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</w:t>
            </w:r>
            <w:proofErr w:type="spellStart"/>
            <w:r w:rsidRPr="002A63BE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en-US" w:eastAsia="nl-NL"/>
              </w:rPr>
              <w:t>phaB</w:t>
            </w:r>
            <w:proofErr w:type="spellEnd"/>
          </w:p>
        </w:tc>
        <w:tc>
          <w:tcPr>
            <w:tcW w:w="1506" w:type="dxa"/>
            <w:shd w:val="clear" w:color="auto" w:fill="auto"/>
            <w:noWrap/>
            <w:vAlign w:val="bottom"/>
            <w:hideMark/>
          </w:tcPr>
          <w:p w14:paraId="0ECD4EEA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12.4</w:t>
            </w:r>
          </w:p>
        </w:tc>
        <w:tc>
          <w:tcPr>
            <w:tcW w:w="1493" w:type="dxa"/>
            <w:shd w:val="clear" w:color="auto" w:fill="auto"/>
            <w:noWrap/>
            <w:vAlign w:val="bottom"/>
            <w:hideMark/>
          </w:tcPr>
          <w:p w14:paraId="75592A97" w14:textId="77777777" w:rsidR="00DA56B7" w:rsidRPr="002A63BE" w:rsidRDefault="00DA56B7" w:rsidP="002A63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</w:pPr>
            <w:r w:rsidRPr="002A63BE">
              <w:rPr>
                <w:rFonts w:ascii="Calibri" w:eastAsia="Times New Roman" w:hAnsi="Calibri" w:cs="Calibri"/>
                <w:color w:val="000000"/>
                <w:sz w:val="22"/>
                <w:lang w:val="en-US" w:eastAsia="nl-NL"/>
              </w:rPr>
              <w:t>0.5</w:t>
            </w:r>
          </w:p>
        </w:tc>
      </w:tr>
    </w:tbl>
    <w:p w14:paraId="0CFED2CE" w14:textId="77777777" w:rsidR="00DA56B7" w:rsidRDefault="00DA56B7" w:rsidP="00671B8F">
      <w:pPr>
        <w:jc w:val="both"/>
        <w:rPr>
          <w:lang w:val="en-US"/>
        </w:rPr>
      </w:pPr>
    </w:p>
    <w:p w14:paraId="26E9DB90" w14:textId="77777777" w:rsidR="00D5293F" w:rsidRDefault="00D5293F" w:rsidP="00671B8F">
      <w:pPr>
        <w:jc w:val="both"/>
        <w:rPr>
          <w:lang w:val="en-US"/>
        </w:rPr>
      </w:pPr>
      <w:r>
        <w:rPr>
          <w:lang w:val="en-US"/>
        </w:rPr>
        <w:br w:type="page"/>
      </w:r>
    </w:p>
    <w:p w14:paraId="7498FC06" w14:textId="77777777" w:rsidR="00AC530D" w:rsidRDefault="00D5293F" w:rsidP="00671B8F">
      <w:pPr>
        <w:pStyle w:val="Heading1"/>
        <w:jc w:val="both"/>
        <w:rPr>
          <w:lang w:val="en-US"/>
        </w:rPr>
      </w:pPr>
      <w:r>
        <w:rPr>
          <w:lang w:val="en-US"/>
        </w:rPr>
        <w:lastRenderedPageBreak/>
        <w:t>Figures</w:t>
      </w:r>
    </w:p>
    <w:p w14:paraId="2C0974C8" w14:textId="77777777" w:rsidR="0064341C" w:rsidRDefault="0064341C" w:rsidP="00671B8F">
      <w:pPr>
        <w:jc w:val="both"/>
        <w:rPr>
          <w:lang w:val="en-US"/>
        </w:rPr>
      </w:pPr>
    </w:p>
    <w:p w14:paraId="01D1E737" w14:textId="77777777" w:rsidR="00671B8F" w:rsidRDefault="00671B8F" w:rsidP="00671B8F">
      <w:pPr>
        <w:jc w:val="both"/>
        <w:rPr>
          <w:lang w:val="en-US"/>
        </w:rPr>
      </w:pPr>
      <w:r w:rsidRPr="00671B8F">
        <w:rPr>
          <w:noProof/>
        </w:rPr>
        <w:drawing>
          <wp:inline distT="0" distB="0" distL="0" distR="0" wp14:anchorId="58A825DE" wp14:editId="45C1A990">
            <wp:extent cx="5756910" cy="40074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00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FD230" w14:textId="77777777" w:rsidR="002A63BE" w:rsidRDefault="00671B8F" w:rsidP="00671B8F">
      <w:pPr>
        <w:jc w:val="both"/>
        <w:rPr>
          <w:szCs w:val="17"/>
        </w:rPr>
      </w:pPr>
      <w:r w:rsidRPr="00671B8F">
        <w:rPr>
          <w:b/>
          <w:lang w:val="en-US"/>
        </w:rPr>
        <w:t>Fig. S</w:t>
      </w:r>
      <w:r w:rsidR="002A63BE">
        <w:rPr>
          <w:b/>
          <w:lang w:val="en-US"/>
        </w:rPr>
        <w:t>1</w:t>
      </w:r>
      <w:r w:rsidRPr="00671B8F">
        <w:rPr>
          <w:b/>
          <w:lang w:val="en-US"/>
        </w:rPr>
        <w:t>. NMR analysis of the spent medium</w:t>
      </w:r>
      <w:r>
        <w:rPr>
          <w:b/>
          <w:lang w:val="en-US"/>
        </w:rPr>
        <w:t xml:space="preserve"> for </w:t>
      </w:r>
      <w:r w:rsidR="002A63BE">
        <w:rPr>
          <w:b/>
          <w:lang w:val="en-US"/>
        </w:rPr>
        <w:t>3-hydroxybutyrate (</w:t>
      </w:r>
      <w:r>
        <w:rPr>
          <w:b/>
          <w:lang w:val="en-US"/>
        </w:rPr>
        <w:t>3HB</w:t>
      </w:r>
      <w:r w:rsidR="002A63BE">
        <w:rPr>
          <w:b/>
          <w:lang w:val="en-US"/>
        </w:rPr>
        <w:t>)</w:t>
      </w:r>
      <w:r>
        <w:rPr>
          <w:b/>
          <w:lang w:val="en-US"/>
        </w:rPr>
        <w:t xml:space="preserve"> determination</w:t>
      </w:r>
      <w:r w:rsidRPr="00671B8F">
        <w:rPr>
          <w:b/>
          <w:lang w:val="en-US"/>
        </w:rPr>
        <w:t>.</w:t>
      </w:r>
      <w:r>
        <w:rPr>
          <w:lang w:val="en-US"/>
        </w:rPr>
        <w:t xml:space="preserve"> </w:t>
      </w:r>
      <w:r w:rsidRPr="00671B8F">
        <w:rPr>
          <w:szCs w:val="17"/>
        </w:rPr>
        <w:t xml:space="preserve">The presence of the two hydrogen </w:t>
      </w:r>
      <w:proofErr w:type="spellStart"/>
      <w:r w:rsidRPr="00671B8F">
        <w:rPr>
          <w:szCs w:val="17"/>
        </w:rPr>
        <w:t>a,b</w:t>
      </w:r>
      <w:proofErr w:type="spellEnd"/>
      <w:r w:rsidRPr="00671B8F">
        <w:rPr>
          <w:szCs w:val="17"/>
        </w:rPr>
        <w:t xml:space="preserve"> close to the carboxylic groups was detected at 2.34 and 2.44 (both </w:t>
      </w:r>
      <w:proofErr w:type="spellStart"/>
      <w:r w:rsidRPr="00671B8F">
        <w:rPr>
          <w:szCs w:val="17"/>
        </w:rPr>
        <w:t>multiplets</w:t>
      </w:r>
      <w:proofErr w:type="spellEnd"/>
      <w:r w:rsidRPr="00671B8F">
        <w:rPr>
          <w:szCs w:val="17"/>
        </w:rPr>
        <w:t>). The hydrogen c close to the hydroxyl group has been identified at 4.10 (</w:t>
      </w:r>
      <w:proofErr w:type="spellStart"/>
      <w:r w:rsidRPr="00671B8F">
        <w:rPr>
          <w:szCs w:val="17"/>
        </w:rPr>
        <w:t>multiplet</w:t>
      </w:r>
      <w:proofErr w:type="spellEnd"/>
      <w:r w:rsidRPr="00671B8F">
        <w:rPr>
          <w:szCs w:val="17"/>
        </w:rPr>
        <w:t>). The three hydrogen belonging to the methyl group have been identified at 1.10 (doublet). The ratio among the hydrogen a:c:d is 1:1:3 as expected from the structure of the molecule. The hydrogen b at 2.44 is overlapping with the signal from other groups so it cannot be used for quantification. The results are in line with literature data.</w:t>
      </w:r>
    </w:p>
    <w:p w14:paraId="4A4F77E5" w14:textId="77777777" w:rsidR="00F35298" w:rsidRDefault="00F35298" w:rsidP="00671B8F">
      <w:pPr>
        <w:jc w:val="both"/>
        <w:rPr>
          <w:szCs w:val="17"/>
        </w:rPr>
      </w:pPr>
    </w:p>
    <w:p w14:paraId="65B771B8" w14:textId="77777777" w:rsidR="00D7347F" w:rsidRDefault="00D7347F" w:rsidP="00671B8F">
      <w:pPr>
        <w:jc w:val="both"/>
        <w:rPr>
          <w:szCs w:val="17"/>
        </w:rPr>
      </w:pPr>
    </w:p>
    <w:p w14:paraId="49927E67" w14:textId="77777777" w:rsidR="00D7347F" w:rsidRDefault="00D7347F" w:rsidP="00671B8F">
      <w:pPr>
        <w:jc w:val="both"/>
        <w:rPr>
          <w:szCs w:val="17"/>
        </w:rPr>
      </w:pPr>
    </w:p>
    <w:p w14:paraId="1408181A" w14:textId="77777777" w:rsidR="002A63BE" w:rsidRDefault="002A63BE" w:rsidP="002A63BE">
      <w:pPr>
        <w:jc w:val="both"/>
        <w:rPr>
          <w:lang w:val="en-US"/>
        </w:rPr>
      </w:pPr>
      <w:r w:rsidRPr="00E534B0">
        <w:rPr>
          <w:noProof/>
        </w:rPr>
        <w:lastRenderedPageBreak/>
        <w:drawing>
          <wp:inline distT="0" distB="0" distL="0" distR="0" wp14:anchorId="6172538B" wp14:editId="79FBD9D4">
            <wp:extent cx="2470150" cy="2146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15964" w14:textId="77777777" w:rsidR="002A63BE" w:rsidRDefault="002A63BE" w:rsidP="002A63BE">
      <w:pPr>
        <w:jc w:val="both"/>
        <w:rPr>
          <w:lang w:val="en-US"/>
        </w:rPr>
      </w:pPr>
      <w:r w:rsidRPr="004C5C99">
        <w:rPr>
          <w:b/>
          <w:lang w:val="en-US"/>
        </w:rPr>
        <w:t>Figure S</w:t>
      </w:r>
      <w:r>
        <w:rPr>
          <w:b/>
          <w:lang w:val="en-US"/>
        </w:rPr>
        <w:t>2</w:t>
      </w:r>
      <w:r w:rsidRPr="004C5C99">
        <w:rPr>
          <w:b/>
          <w:lang w:val="en-US"/>
        </w:rPr>
        <w:t xml:space="preserve">. </w:t>
      </w:r>
      <w:r>
        <w:rPr>
          <w:b/>
          <w:lang w:val="en-US"/>
        </w:rPr>
        <w:t>Glucose consumption rates</w:t>
      </w:r>
      <w:r w:rsidRPr="004C5C99">
        <w:rPr>
          <w:b/>
          <w:lang w:val="en-US"/>
        </w:rPr>
        <w:t xml:space="preserve"> during resting cells conditions.</w:t>
      </w:r>
      <w:r w:rsidRPr="00F706E9">
        <w:rPr>
          <w:lang w:val="en-US"/>
        </w:rPr>
        <w:t xml:space="preserve"> All strains harbored the </w:t>
      </w:r>
      <w:proofErr w:type="spellStart"/>
      <w:r w:rsidRPr="00F706E9">
        <w:rPr>
          <w:lang w:val="en-US"/>
        </w:rPr>
        <w:t>pBBR</w:t>
      </w:r>
      <w:proofErr w:type="spellEnd"/>
      <w:r w:rsidRPr="00F706E9">
        <w:rPr>
          <w:lang w:val="en-US"/>
        </w:rPr>
        <w:t>-MVA-</w:t>
      </w:r>
      <w:r w:rsidRPr="00F706E9">
        <w:rPr>
          <w:i/>
          <w:lang w:val="en-US"/>
        </w:rPr>
        <w:t>ads</w:t>
      </w:r>
      <w:r w:rsidRPr="00F706E9">
        <w:rPr>
          <w:lang w:val="en-US"/>
        </w:rPr>
        <w:t xml:space="preserve"> plasmid. Colors refer to different strains tested: gray (wild-type), blue (</w:t>
      </w:r>
      <w:r w:rsidRPr="00F706E9">
        <w:rPr>
          <w:rFonts w:cs="Calibri"/>
        </w:rPr>
        <w:t>∆</w:t>
      </w:r>
      <w:proofErr w:type="spellStart"/>
      <w:r w:rsidRPr="00F706E9">
        <w:rPr>
          <w:i/>
        </w:rPr>
        <w:t>phaB</w:t>
      </w:r>
      <w:proofErr w:type="spellEnd"/>
      <w:r w:rsidRPr="00F706E9">
        <w:t>), yellow (</w:t>
      </w:r>
      <w:r w:rsidRPr="00F706E9">
        <w:rPr>
          <w:rFonts w:cs="Calibri"/>
        </w:rPr>
        <w:t>∆</w:t>
      </w:r>
      <w:proofErr w:type="spellStart"/>
      <w:r w:rsidRPr="00F706E9">
        <w:rPr>
          <w:i/>
        </w:rPr>
        <w:t>dxr</w:t>
      </w:r>
      <w:proofErr w:type="spellEnd"/>
      <w:r w:rsidRPr="00F706E9">
        <w:rPr>
          <w:rFonts w:cs="Calibri"/>
        </w:rPr>
        <w:t>), red (∆</w:t>
      </w:r>
      <w:proofErr w:type="spellStart"/>
      <w:r w:rsidRPr="00F706E9">
        <w:rPr>
          <w:i/>
        </w:rPr>
        <w:t>dxr</w:t>
      </w:r>
      <w:r w:rsidRPr="00F706E9">
        <w:rPr>
          <w:rFonts w:cs="Calibri"/>
        </w:rPr>
        <w:t>∆</w:t>
      </w:r>
      <w:r w:rsidRPr="00F706E9">
        <w:rPr>
          <w:i/>
        </w:rPr>
        <w:t>phaB</w:t>
      </w:r>
      <w:proofErr w:type="spellEnd"/>
      <w:r w:rsidRPr="00F706E9">
        <w:t>)</w:t>
      </w:r>
      <w:r w:rsidRPr="00F706E9">
        <w:rPr>
          <w:lang w:val="en-US"/>
        </w:rPr>
        <w:t>.</w:t>
      </w:r>
    </w:p>
    <w:p w14:paraId="041F10CC" w14:textId="77777777" w:rsidR="002A63BE" w:rsidRPr="002A63BE" w:rsidRDefault="002A63BE" w:rsidP="00671B8F">
      <w:pPr>
        <w:jc w:val="both"/>
        <w:rPr>
          <w:szCs w:val="17"/>
          <w:lang w:val="en-US"/>
        </w:rPr>
      </w:pPr>
    </w:p>
    <w:sectPr w:rsidR="002A63BE" w:rsidRPr="002A63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30D"/>
    <w:rsid w:val="00046DDB"/>
    <w:rsid w:val="00173A49"/>
    <w:rsid w:val="002212BB"/>
    <w:rsid w:val="002A63BE"/>
    <w:rsid w:val="002C1403"/>
    <w:rsid w:val="002E3341"/>
    <w:rsid w:val="002F7B81"/>
    <w:rsid w:val="00405D7A"/>
    <w:rsid w:val="004672BC"/>
    <w:rsid w:val="004C5C99"/>
    <w:rsid w:val="005043B5"/>
    <w:rsid w:val="0064341C"/>
    <w:rsid w:val="00671B8F"/>
    <w:rsid w:val="00677B98"/>
    <w:rsid w:val="00693F70"/>
    <w:rsid w:val="008C6CD8"/>
    <w:rsid w:val="009106ED"/>
    <w:rsid w:val="009E007E"/>
    <w:rsid w:val="00A90EE6"/>
    <w:rsid w:val="00AC530D"/>
    <w:rsid w:val="00B3490E"/>
    <w:rsid w:val="00B607BB"/>
    <w:rsid w:val="00BD0F1A"/>
    <w:rsid w:val="00C0248E"/>
    <w:rsid w:val="00C92482"/>
    <w:rsid w:val="00CE310E"/>
    <w:rsid w:val="00D133BD"/>
    <w:rsid w:val="00D25CD9"/>
    <w:rsid w:val="00D5293F"/>
    <w:rsid w:val="00D7347F"/>
    <w:rsid w:val="00DA56B7"/>
    <w:rsid w:val="00DB5774"/>
    <w:rsid w:val="00DD38F1"/>
    <w:rsid w:val="00E02926"/>
    <w:rsid w:val="00E15F4E"/>
    <w:rsid w:val="00E51353"/>
    <w:rsid w:val="00E534B0"/>
    <w:rsid w:val="00F35298"/>
    <w:rsid w:val="00F534B9"/>
    <w:rsid w:val="00F7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E2D74"/>
  <w15:chartTrackingRefBased/>
  <w15:docId w15:val="{9EEE753A-38D0-40B3-8D18-FF5AD7926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3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53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3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C530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D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DD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15F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46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ruud.weusthuis@wur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BA2D9AD2.dotm</Template>
  <TotalTime>1</TotalTime>
  <Pages>7</Pages>
  <Words>937</Words>
  <Characters>5157</Characters>
  <Application>Microsoft Office Word</Application>
  <DocSecurity>4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Orsi, Enrico</dc:creator>
  <cp:keywords/>
  <dc:description/>
  <cp:lastModifiedBy>Orsi, Enrico</cp:lastModifiedBy>
  <cp:revision>2</cp:revision>
  <dcterms:created xsi:type="dcterms:W3CDTF">2020-06-07T13:34:00Z</dcterms:created>
  <dcterms:modified xsi:type="dcterms:W3CDTF">2020-06-07T13:34:00Z</dcterms:modified>
</cp:coreProperties>
</file>