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310" w:rsidRPr="002E47D5" w:rsidRDefault="00EC1310" w:rsidP="00EC1310">
      <w:pPr>
        <w:autoSpaceDE w:val="0"/>
        <w:autoSpaceDN w:val="0"/>
        <w:adjustRightInd w:val="0"/>
        <w:spacing w:line="360" w:lineRule="auto"/>
        <w:jc w:val="both"/>
        <w:rPr>
          <w:rFonts w:asciiTheme="minorHAnsi" w:eastAsiaTheme="minorEastAsia" w:hAnsiTheme="minorHAnsi" w:cstheme="minorBidi"/>
          <w:lang w:val="en-US"/>
        </w:rPr>
      </w:pPr>
      <w:r w:rsidRPr="002E47D5">
        <w:rPr>
          <w:rFonts w:asciiTheme="minorHAnsi" w:hAnsiTheme="minorHAnsi" w:cstheme="minorHAnsi"/>
          <w:lang w:val="en-US"/>
        </w:rPr>
        <w:t xml:space="preserve">Table 3. </w:t>
      </w:r>
      <w:r w:rsidRPr="002E47D5">
        <w:rPr>
          <w:rFonts w:asciiTheme="minorHAnsi" w:hAnsiTheme="minorHAnsi" w:cstheme="minorHAnsi"/>
          <w:color w:val="000000"/>
          <w:lang w:val="en-US"/>
        </w:rPr>
        <w:t>Performance of selected models stratified by age and sex</w:t>
      </w:r>
    </w:p>
    <w:tbl>
      <w:tblPr>
        <w:tblStyle w:val="PlainTable1"/>
        <w:tblpPr w:leftFromText="141" w:rightFromText="141" w:vertAnchor="text" w:horzAnchor="margin" w:tblpY="323"/>
        <w:tblW w:w="22372" w:type="dxa"/>
        <w:tblLayout w:type="fixed"/>
        <w:tblLook w:val="04A0" w:firstRow="1" w:lastRow="0" w:firstColumn="1" w:lastColumn="0" w:noHBand="0" w:noVBand="1"/>
      </w:tblPr>
      <w:tblGrid>
        <w:gridCol w:w="1531"/>
        <w:gridCol w:w="650"/>
        <w:gridCol w:w="802"/>
        <w:gridCol w:w="597"/>
        <w:gridCol w:w="553"/>
        <w:gridCol w:w="649"/>
        <w:gridCol w:w="791"/>
        <w:gridCol w:w="599"/>
        <w:gridCol w:w="561"/>
        <w:gridCol w:w="651"/>
        <w:gridCol w:w="785"/>
        <w:gridCol w:w="599"/>
        <w:gridCol w:w="570"/>
        <w:gridCol w:w="651"/>
        <w:gridCol w:w="777"/>
        <w:gridCol w:w="599"/>
        <w:gridCol w:w="579"/>
        <w:gridCol w:w="622"/>
        <w:gridCol w:w="799"/>
        <w:gridCol w:w="599"/>
        <w:gridCol w:w="584"/>
        <w:gridCol w:w="613"/>
        <w:gridCol w:w="799"/>
        <w:gridCol w:w="600"/>
        <w:gridCol w:w="591"/>
        <w:gridCol w:w="607"/>
        <w:gridCol w:w="799"/>
        <w:gridCol w:w="599"/>
        <w:gridCol w:w="600"/>
        <w:gridCol w:w="600"/>
        <w:gridCol w:w="799"/>
        <w:gridCol w:w="553"/>
        <w:gridCol w:w="651"/>
        <w:gridCol w:w="13"/>
      </w:tblGrid>
      <w:tr w:rsidR="00EC1310" w:rsidTr="00EC13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:rsidR="00EC1310" w:rsidRPr="00B97651" w:rsidRDefault="00EC1310" w:rsidP="00EC1310">
            <w:pPr>
              <w:rPr>
                <w:rFonts w:asciiTheme="minorHAnsi" w:hAnsiTheme="minorHAnsi" w:cstheme="minorHAnsi"/>
                <w:sz w:val="17"/>
                <w:szCs w:val="17"/>
                <w:lang w:val="en-US"/>
              </w:rPr>
            </w:pPr>
          </w:p>
        </w:tc>
        <w:tc>
          <w:tcPr>
            <w:tcW w:w="10413" w:type="dxa"/>
            <w:gridSpan w:val="1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Males</w:t>
            </w:r>
          </w:p>
        </w:tc>
        <w:tc>
          <w:tcPr>
            <w:tcW w:w="10428" w:type="dxa"/>
            <w:gridSpan w:val="17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Females</w:t>
            </w:r>
          </w:p>
        </w:tc>
      </w:tr>
      <w:tr w:rsidR="00EC1310" w:rsidTr="00EC1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72" w:type="dxa"/>
            <w:gridSpan w:val="3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7"/>
                <w:szCs w:val="17"/>
              </w:rPr>
              <w:t>Prior Equations in CE</w:t>
            </w:r>
          </w:p>
        </w:tc>
      </w:tr>
      <w:tr w:rsidR="00EC1310" w:rsidTr="00EC1310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EC1310" w:rsidRDefault="00EC1310" w:rsidP="00EC131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Validated subgroup</w:t>
            </w:r>
          </w:p>
        </w:tc>
        <w:tc>
          <w:tcPr>
            <w:tcW w:w="2602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18-30 [n=228]</w:t>
            </w:r>
          </w:p>
        </w:tc>
        <w:tc>
          <w:tcPr>
            <w:tcW w:w="260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31-45 [n=733]</w:t>
            </w:r>
          </w:p>
        </w:tc>
        <w:tc>
          <w:tcPr>
            <w:tcW w:w="2605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46-60 [n=154]</w:t>
            </w:r>
          </w:p>
        </w:tc>
        <w:tc>
          <w:tcPr>
            <w:tcW w:w="2606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Age </w:t>
            </w:r>
            <w:r>
              <w:rPr>
                <w:rFonts w:asciiTheme="minorHAnsi" w:hAnsiTheme="minorHAnsi" w:cstheme="minorHAnsi"/>
                <w:b/>
                <w:color w:val="4D5156"/>
                <w:sz w:val="17"/>
                <w:szCs w:val="17"/>
                <w:shd w:val="clear" w:color="auto" w:fill="FFFFFF"/>
              </w:rPr>
              <w:t>≥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61</w:t>
            </w:r>
            <w:r>
              <w:rPr>
                <w:rFonts w:asciiTheme="minorHAnsi" w:hAnsiTheme="minorHAnsi" w:cstheme="minorHAnsi"/>
                <w:b/>
                <w:color w:val="1C1D1E"/>
                <w:sz w:val="17"/>
                <w:szCs w:val="17"/>
                <w:shd w:val="clear" w:color="auto" w:fill="FFFFFF"/>
              </w:rPr>
              <w:t>‡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 [n=14]</w:t>
            </w:r>
          </w:p>
        </w:tc>
        <w:tc>
          <w:tcPr>
            <w:tcW w:w="2604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18-30</w:t>
            </w:r>
            <w:r>
              <w:rPr>
                <w:rFonts w:asciiTheme="minorHAnsi" w:hAnsiTheme="minorHAnsi" w:cstheme="minorHAnsi"/>
                <w:b/>
                <w:color w:val="1C1D1E"/>
                <w:sz w:val="17"/>
                <w:szCs w:val="17"/>
                <w:shd w:val="clear" w:color="auto" w:fill="FFFFFF"/>
              </w:rPr>
              <w:t>‡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 [n=48]</w:t>
            </w:r>
          </w:p>
        </w:tc>
        <w:tc>
          <w:tcPr>
            <w:tcW w:w="260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31-45</w:t>
            </w:r>
            <w:r>
              <w:rPr>
                <w:rFonts w:asciiTheme="minorHAnsi" w:hAnsiTheme="minorHAnsi" w:cstheme="minorHAnsi"/>
                <w:b/>
                <w:color w:val="1C1D1E"/>
                <w:sz w:val="17"/>
                <w:szCs w:val="17"/>
                <w:shd w:val="clear" w:color="auto" w:fill="FFFFFF"/>
              </w:rPr>
              <w:t>‡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 [n=77]</w:t>
            </w:r>
          </w:p>
        </w:tc>
        <w:tc>
          <w:tcPr>
            <w:tcW w:w="2605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46-60</w:t>
            </w:r>
            <w:r>
              <w:rPr>
                <w:rFonts w:asciiTheme="minorHAnsi" w:hAnsiTheme="minorHAnsi" w:cstheme="minorHAnsi"/>
                <w:b/>
                <w:color w:val="1C1D1E"/>
                <w:sz w:val="17"/>
                <w:szCs w:val="17"/>
                <w:shd w:val="clear" w:color="auto" w:fill="FFFFFF"/>
              </w:rPr>
              <w:t>‡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 [n=5]</w:t>
            </w:r>
          </w:p>
        </w:tc>
        <w:tc>
          <w:tcPr>
            <w:tcW w:w="261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Age </w:t>
            </w:r>
            <w:r>
              <w:rPr>
                <w:rFonts w:asciiTheme="minorHAnsi" w:hAnsiTheme="minorHAnsi" w:cstheme="minorHAnsi"/>
                <w:b/>
                <w:color w:val="4D5156"/>
                <w:sz w:val="17"/>
                <w:szCs w:val="17"/>
                <w:shd w:val="clear" w:color="auto" w:fill="FFFFFF"/>
              </w:rPr>
              <w:t>≥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61</w:t>
            </w:r>
            <w:r>
              <w:rPr>
                <w:rFonts w:asciiTheme="minorHAnsi" w:hAnsiTheme="minorHAnsi" w:cstheme="minorHAnsi"/>
                <w:b/>
                <w:color w:val="1C1D1E"/>
                <w:sz w:val="17"/>
                <w:szCs w:val="17"/>
                <w:shd w:val="clear" w:color="auto" w:fill="FFFFFF"/>
              </w:rPr>
              <w:t>‡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 [n=0]</w:t>
            </w:r>
          </w:p>
        </w:tc>
      </w:tr>
      <w:tr w:rsidR="00EC1310" w:rsidTr="00EC131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EC1310" w:rsidRDefault="00EC1310" w:rsidP="00EC1310">
            <w:pPr>
              <w:rPr>
                <w:rFonts w:asciiTheme="minorHAnsi" w:hAnsiTheme="minorHAnsi" w:cstheme="minorHAnsi"/>
                <w:sz w:val="17"/>
                <w:szCs w:val="17"/>
                <w:lang w:val="en-US" w:eastAsia="en-US"/>
              </w:rPr>
            </w:pP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</w:tr>
      <w:tr w:rsidR="00EC1310" w:rsidTr="00EC1310">
        <w:trPr>
          <w:gridAfter w:val="1"/>
          <w:wAfter w:w="13" w:type="dxa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Bidi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Bidi"/>
                <w:sz w:val="17"/>
                <w:szCs w:val="17"/>
                <w:lang w:val="en-US"/>
              </w:rPr>
              <w:t>Wilson et al.</w:t>
            </w:r>
            <w:r w:rsidRPr="002E47D5">
              <w:rPr>
                <w:rFonts w:asciiTheme="minorHAnsi" w:hAnsiTheme="minorHAnsi" w:cstheme="minorBidi"/>
                <w:color w:val="000000" w:themeColor="text1"/>
                <w:sz w:val="17"/>
                <w:szCs w:val="17"/>
                <w:lang w:val="en-US"/>
              </w:rPr>
              <w:t xml:space="preserve">† </w:t>
            </w:r>
            <w:r w:rsidRPr="002E47D5">
              <w:rPr>
                <w:rFonts w:asciiTheme="minorHAnsi" w:hAnsiTheme="minorHAnsi" w:cstheme="minorBidi"/>
                <w:sz w:val="17"/>
                <w:szCs w:val="17"/>
                <w:lang w:val="en-US"/>
              </w:rPr>
              <w:t>(mL·min</w:t>
            </w:r>
            <w:r w:rsidRPr="002E47D5">
              <w:rPr>
                <w:rFonts w:asciiTheme="minorHAnsi" w:hAnsiTheme="minorHAnsi" w:cstheme="minorBid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Bidi"/>
                <w:sz w:val="17"/>
                <w:szCs w:val="17"/>
                <w:lang w:val="en-US"/>
              </w:rPr>
              <w:t>·kg</w:t>
            </w:r>
            <w:r w:rsidRPr="002E47D5">
              <w:rPr>
                <w:rFonts w:asciiTheme="minorHAnsi" w:hAnsiTheme="minorHAnsi" w:cstheme="minorBid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Bid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8.49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–5.11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7.18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11.87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</w:t>
            </w:r>
            <w:r>
              <w:rPr>
                <w:rFonts w:asciiTheme="minorHAnsi" w:hAnsiTheme="minorHAnsi" w:cstheme="minorHAnsi"/>
                <w:sz w:val="17"/>
                <w:szCs w:val="17"/>
              </w:rPr>
              <w:t>0.01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6.96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44.47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0.07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0.07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6.71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</w:t>
            </w:r>
            <w:r>
              <w:rPr>
                <w:rFonts w:asciiTheme="minorHAnsi" w:hAnsiTheme="minorHAnsi" w:cstheme="minorHAnsi"/>
                <w:sz w:val="17"/>
                <w:szCs w:val="17"/>
              </w:rPr>
              <w:t>41.71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1.79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Fitzgerald et al.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 xml:space="preserve">† 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(mL·min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·kg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–0.02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6.14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40.64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0.18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6.77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21.06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0.52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0.54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3.52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135.49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–2.01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wAfter w:w="13" w:type="dxa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Wasserman et al. (mL·min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591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2276.75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482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2648.22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476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2566.64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537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–24.81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1.63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0.04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609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844.10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1.12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0.31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402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26.71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1.70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–0.08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578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–6556.75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6.40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b w:val="0"/>
                <w:bCs w:val="0"/>
                <w:color w:val="000000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 xml:space="preserve">Kokkinos 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>et al. (1 for males/ 2 for females)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§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 xml:space="preserve"> </w:t>
            </w:r>
          </w:p>
          <w:p w:rsidR="00EC1310" w:rsidRDefault="00EC1310" w:rsidP="00EC131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(mL·min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-1</w:t>
            </w:r>
            <w:r>
              <w:rPr>
                <w:rFonts w:asciiTheme="minorHAnsi" w:hAnsiTheme="minorHAnsi" w:cstheme="minorHAnsi"/>
                <w:sz w:val="17"/>
                <w:szCs w:val="17"/>
              </w:rPr>
              <w:t>·kg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-1</w:t>
            </w:r>
            <w:r>
              <w:rPr>
                <w:rFonts w:asciiTheme="minorHAnsi" w:hAnsiTheme="minorHAnsi" w:cstheme="minorHAnsi"/>
                <w:sz w:val="17"/>
                <w:szCs w:val="17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4.94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14.78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4.66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15.81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4.30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11.86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4.25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2.72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1.04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4.68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23.18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4.36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11.95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1.35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–34.12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1.94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wAfter w:w="13" w:type="dxa"/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 xml:space="preserve">Kokkinos </w:t>
            </w:r>
            <w:r w:rsidRPr="002E47D5">
              <w:rPr>
                <w:rFonts w:asciiTheme="minorHAnsi" w:hAnsiTheme="minorHAnsi" w:cstheme="minorBidi"/>
                <w:color w:val="000000" w:themeColor="text1"/>
                <w:sz w:val="17"/>
                <w:szCs w:val="17"/>
                <w:lang w:val="en-US"/>
              </w:rPr>
              <w:t>et al. (3)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 xml:space="preserve"> §</w:t>
            </w:r>
            <w:r w:rsidRPr="002E47D5">
              <w:rPr>
                <w:rFonts w:asciiTheme="minorHAnsi" w:hAnsiTheme="minorHAnsi" w:cstheme="minorBidi"/>
                <w:color w:val="000000" w:themeColor="text1"/>
                <w:sz w:val="17"/>
                <w:szCs w:val="17"/>
                <w:lang w:val="en-US"/>
              </w:rPr>
              <w:t xml:space="preserve"> 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(mL·min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·kg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4.94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14.62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4.66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15.67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4.30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11.70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4.25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2.52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1.09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4.68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23.05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0.61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4.36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11.76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1.35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–34.57</w:t>
            </w:r>
            <w:r>
              <w:rPr>
                <w:rFonts w:asciiTheme="minorHAnsi" w:eastAsia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2.07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Mylius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 xml:space="preserve"> et al. 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(mL·min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578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709.52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1.08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473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1136.18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465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1265.37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431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–820.83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1.94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600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10.93.61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424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1001.66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1.66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–0.29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631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4281.22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–1.01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wAfter w:w="13" w:type="dxa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 xml:space="preserve">Petek 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 xml:space="preserve">et al. 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(L·min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0.59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1.23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0.48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1.57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0.15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0.46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1.31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0.44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–1.80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1.53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0.03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0.61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1.42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0.53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0.46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1.35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–0.26</w:t>
            </w:r>
            <w:r>
              <w:rPr>
                <w:rFonts w:asciiTheme="minorHAnsi" w:eastAsia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0.62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4.35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–0.67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72" w:type="dxa"/>
            <w:gridSpan w:val="3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7"/>
                <w:szCs w:val="17"/>
              </w:rPr>
              <w:t>Prior Equations in TE</w:t>
            </w:r>
          </w:p>
        </w:tc>
      </w:tr>
      <w:tr w:rsidR="00EC1310" w:rsidTr="00EC1310">
        <w:trPr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EC1310" w:rsidRDefault="00EC1310" w:rsidP="00EC131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Validated subgroup</w:t>
            </w:r>
          </w:p>
        </w:tc>
        <w:tc>
          <w:tcPr>
            <w:tcW w:w="2602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18-30 [n=871]</w:t>
            </w:r>
          </w:p>
        </w:tc>
        <w:tc>
          <w:tcPr>
            <w:tcW w:w="260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31-45 [n=2109]</w:t>
            </w:r>
          </w:p>
        </w:tc>
        <w:tc>
          <w:tcPr>
            <w:tcW w:w="2605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46-60 [n=333]</w:t>
            </w:r>
          </w:p>
        </w:tc>
        <w:tc>
          <w:tcPr>
            <w:tcW w:w="2606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Age </w:t>
            </w:r>
            <w:r>
              <w:rPr>
                <w:rFonts w:asciiTheme="minorHAnsi" w:hAnsiTheme="minorHAnsi" w:cstheme="minorHAnsi"/>
                <w:b/>
                <w:color w:val="4D5156"/>
                <w:sz w:val="17"/>
                <w:szCs w:val="17"/>
                <w:shd w:val="clear" w:color="auto" w:fill="FFFFFF"/>
              </w:rPr>
              <w:t>≥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61</w:t>
            </w:r>
            <w:r>
              <w:rPr>
                <w:rFonts w:asciiTheme="minorHAnsi" w:hAnsiTheme="minorHAnsi" w:cstheme="minorHAnsi"/>
                <w:b/>
                <w:color w:val="1C1D1E"/>
                <w:sz w:val="17"/>
                <w:szCs w:val="17"/>
                <w:shd w:val="clear" w:color="auto" w:fill="FFFFFF"/>
              </w:rPr>
              <w:t>‡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 [n=17]</w:t>
            </w:r>
          </w:p>
        </w:tc>
        <w:tc>
          <w:tcPr>
            <w:tcW w:w="2604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18-30 [n=233]</w:t>
            </w:r>
          </w:p>
        </w:tc>
        <w:tc>
          <w:tcPr>
            <w:tcW w:w="260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31-45 [n=391]</w:t>
            </w:r>
          </w:p>
        </w:tc>
        <w:tc>
          <w:tcPr>
            <w:tcW w:w="2605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Age 46-60</w:t>
            </w:r>
            <w:r>
              <w:rPr>
                <w:rFonts w:asciiTheme="minorHAnsi" w:hAnsiTheme="minorHAnsi" w:cstheme="minorHAnsi"/>
                <w:b/>
                <w:color w:val="1C1D1E"/>
                <w:sz w:val="17"/>
                <w:szCs w:val="17"/>
                <w:shd w:val="clear" w:color="auto" w:fill="FFFFFF"/>
              </w:rPr>
              <w:t>‡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 [n=46]</w:t>
            </w:r>
          </w:p>
        </w:tc>
        <w:tc>
          <w:tcPr>
            <w:tcW w:w="261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Age </w:t>
            </w:r>
            <w:r>
              <w:rPr>
                <w:rFonts w:asciiTheme="minorHAnsi" w:hAnsiTheme="minorHAnsi" w:cstheme="minorHAnsi"/>
                <w:b/>
                <w:color w:val="4D5156"/>
                <w:sz w:val="17"/>
                <w:szCs w:val="17"/>
                <w:shd w:val="clear" w:color="auto" w:fill="FFFFFF"/>
              </w:rPr>
              <w:t>≥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>61</w:t>
            </w:r>
            <w:r>
              <w:rPr>
                <w:rFonts w:asciiTheme="minorHAnsi" w:hAnsiTheme="minorHAnsi" w:cstheme="minorHAnsi"/>
                <w:b/>
                <w:color w:val="1C1D1E"/>
                <w:sz w:val="17"/>
                <w:szCs w:val="17"/>
                <w:shd w:val="clear" w:color="auto" w:fill="FFFFFF"/>
              </w:rPr>
              <w:t>‡</w:t>
            </w:r>
            <w:r>
              <w:rPr>
                <w:rFonts w:asciiTheme="minorHAnsi" w:hAnsiTheme="minorHAnsi" w:cstheme="minorHAnsi"/>
                <w:b/>
                <w:sz w:val="17"/>
                <w:szCs w:val="17"/>
              </w:rPr>
              <w:t xml:space="preserve"> [n=1]</w:t>
            </w:r>
          </w:p>
        </w:tc>
      </w:tr>
      <w:tr w:rsidR="00EC1310" w:rsidTr="00EC131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EC1310" w:rsidRDefault="00EC1310" w:rsidP="00EC1310">
            <w:pPr>
              <w:rPr>
                <w:rFonts w:asciiTheme="minorHAnsi" w:hAnsiTheme="minorHAnsi" w:cstheme="minorHAnsi"/>
                <w:sz w:val="17"/>
                <w:szCs w:val="17"/>
                <w:lang w:val="en-US" w:eastAsia="en-US"/>
              </w:rPr>
            </w:pP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RMSE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C1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C2</w:t>
            </w:r>
          </w:p>
        </w:tc>
      </w:tr>
      <w:tr w:rsidR="00EC1310" w:rsidTr="00EC1310">
        <w:trPr>
          <w:gridAfter w:val="1"/>
          <w:wAfter w:w="13" w:type="dxa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 xml:space="preserve">Wilson 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 xml:space="preserve">et al.† 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(mL·min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·kg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6.93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32.80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0.37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6.53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27.76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6.01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9.90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–0.02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5.38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16.07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0.62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Fitzgerald et al.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 xml:space="preserve">† 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(mL·min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·kg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0.004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6.61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48.96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0.02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6.19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8.61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–0.02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6.73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34.98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0.22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wAfter w:w="13" w:type="dxa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Wasserman et al. (mL·min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492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1895.40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456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2124.75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415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1290.87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422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247.52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1.58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393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40.58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1.56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370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–739.77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2.14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0.03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372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1356.77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0.91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Myers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 xml:space="preserve"> et al. 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(mL·min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·kg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41.72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16.51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34.33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12.14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28.34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7.78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1.10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–0.05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29.57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36.94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0.26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40.62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21.89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35.41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19.33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46.60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12.95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1.06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wAfter w:w="13" w:type="dxa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 xml:space="preserve">Nevill 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>et al. (1)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 xml:space="preserve"> §§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 xml:space="preserve"> 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(mL·min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·kg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6.56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34.03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5.87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22.92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5.30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16.34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0.07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5.13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21.43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0.74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6.29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27.86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5.84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22.77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5.91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9.20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1.21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 xml:space="preserve">Nevill 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>et al. (2)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 xml:space="preserve"> §§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 xml:space="preserve"> (mL·min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·kg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6.57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19.78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5.86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9.26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1.01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5.29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4.58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1.18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0.06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5.15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17.86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0.82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0.05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6.42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23.03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5.89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14.81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6.06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7.62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1.22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  <w:tr w:rsidR="00EC1310" w:rsidTr="00EC1310">
        <w:trPr>
          <w:gridAfter w:val="1"/>
          <w:wAfter w:w="13" w:type="dxa"/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Pr="002E47D5" w:rsidRDefault="00EC1310" w:rsidP="00EC1310">
            <w:pPr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</w:pP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 xml:space="preserve">Petek </w:t>
            </w:r>
            <w:r w:rsidRPr="002E47D5">
              <w:rPr>
                <w:rFonts w:asciiTheme="minorHAnsi" w:hAnsiTheme="minorHAnsi" w:cstheme="minorHAnsi"/>
                <w:color w:val="000000"/>
                <w:sz w:val="17"/>
                <w:szCs w:val="17"/>
                <w:lang w:val="en-US"/>
              </w:rPr>
              <w:t xml:space="preserve">et al. 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(L·min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vertAlign w:val="superscript"/>
                <w:lang w:val="en-US"/>
              </w:rPr>
              <w:t>-1</w:t>
            </w:r>
            <w:r w:rsidRPr="002E47D5">
              <w:rPr>
                <w:rFonts w:asciiTheme="minorHAnsi" w:hAnsiTheme="minorHAnsi" w:cstheme="minorHAnsi"/>
                <w:sz w:val="17"/>
                <w:szCs w:val="17"/>
                <w:lang w:val="en-US"/>
              </w:rPr>
              <w:t>)</w:t>
            </w:r>
          </w:p>
        </w:tc>
        <w:tc>
          <w:tcPr>
            <w:tcW w:w="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80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0.55</w:t>
            </w:r>
          </w:p>
        </w:tc>
        <w:tc>
          <w:tcPr>
            <w:tcW w:w="59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1.03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0.76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0.17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0.48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0.07</w:t>
            </w:r>
          </w:p>
        </w:tc>
        <w:tc>
          <w:tcPr>
            <w:tcW w:w="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0.99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0.20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0.43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0.10</w:t>
            </w:r>
          </w:p>
        </w:tc>
        <w:tc>
          <w:tcPr>
            <w:tcW w:w="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0.98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0.50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0.35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–5.01</w:t>
            </w:r>
            <w:r>
              <w:rPr>
                <w:rFonts w:asciiTheme="minorHAnsi" w:eastAsia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2.36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0.18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0.42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0.45</w:t>
            </w:r>
          </w:p>
        </w:tc>
        <w:tc>
          <w:tcPr>
            <w:tcW w:w="5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0.81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0.32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0.43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eastAsiaTheme="minorHAnsi" w:hAnsiTheme="minorHAnsi" w:cstheme="minorHAnsi"/>
                <w:sz w:val="17"/>
                <w:szCs w:val="17"/>
              </w:rPr>
              <w:t>–0.37</w:t>
            </w:r>
          </w:p>
        </w:tc>
        <w:tc>
          <w:tcPr>
            <w:tcW w:w="5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1.14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0.10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0.36</w:t>
            </w:r>
          </w:p>
        </w:tc>
        <w:tc>
          <w:tcPr>
            <w:tcW w:w="5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0.61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0.80</w:t>
            </w:r>
            <w:r>
              <w:rPr>
                <w:rFonts w:asciiTheme="minorHAnsi" w:hAnsiTheme="minorHAnsi" w:cstheme="minorHAnsi"/>
                <w:sz w:val="17"/>
                <w:szCs w:val="17"/>
                <w:vertAlign w:val="superscript"/>
              </w:rPr>
              <w:t>*</w:t>
            </w:r>
          </w:p>
        </w:tc>
        <w:tc>
          <w:tcPr>
            <w:tcW w:w="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79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55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  <w:tc>
          <w:tcPr>
            <w:tcW w:w="6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:rsidR="00EC1310" w:rsidRDefault="00EC1310" w:rsidP="00EC1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n/a</w:t>
            </w:r>
          </w:p>
        </w:tc>
      </w:tr>
    </w:tbl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  <w:bookmarkStart w:id="0" w:name="_GoBack"/>
      <w:bookmarkEnd w:id="0"/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hAnsiTheme="minorHAnsi" w:cstheme="minorHAnsi"/>
          <w:lang w:val="en-US"/>
        </w:rPr>
      </w:pPr>
    </w:p>
    <w:p w:rsidR="00EC1310" w:rsidRDefault="00EC1310" w:rsidP="00EC1310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en-US" w:eastAsia="en-US"/>
        </w:rPr>
      </w:pPr>
      <w:r w:rsidRPr="002E47D5">
        <w:rPr>
          <w:rFonts w:asciiTheme="minorHAnsi" w:hAnsiTheme="minorHAnsi" w:cstheme="minorHAnsi"/>
          <w:lang w:val="en-US"/>
        </w:rPr>
        <w:t xml:space="preserve">Abbreviations: CE, cycle ergometry; </w:t>
      </w:r>
      <w:r w:rsidRPr="002E47D5">
        <w:rPr>
          <w:rFonts w:asciiTheme="minorHAnsi" w:hAnsiTheme="minorHAnsi" w:cstheme="minorHAnsi"/>
          <w:color w:val="333333"/>
          <w:lang w:val="en-US"/>
        </w:rPr>
        <w:t>R</w:t>
      </w:r>
      <w:r w:rsidRPr="002E47D5">
        <w:rPr>
          <w:rFonts w:asciiTheme="minorHAnsi" w:hAnsiTheme="minorHAnsi" w:cstheme="minorHAnsi"/>
          <w:color w:val="333333"/>
          <w:vertAlign w:val="superscript"/>
          <w:lang w:val="en-US"/>
        </w:rPr>
        <w:t>2</w:t>
      </w:r>
      <w:r w:rsidRPr="002E47D5">
        <w:rPr>
          <w:rFonts w:asciiTheme="minorHAnsi" w:hAnsiTheme="minorHAnsi" w:cstheme="minorHAnsi"/>
          <w:color w:val="333333"/>
          <w:lang w:val="en-US"/>
        </w:rPr>
        <w:t>, adjusted R</w:t>
      </w:r>
      <w:r w:rsidRPr="002E47D5">
        <w:rPr>
          <w:rFonts w:asciiTheme="minorHAnsi" w:hAnsiTheme="minorHAnsi" w:cstheme="minorHAnsi"/>
          <w:color w:val="333333"/>
          <w:vertAlign w:val="superscript"/>
          <w:lang w:val="en-US"/>
        </w:rPr>
        <w:t>2</w:t>
      </w:r>
      <w:r w:rsidRPr="002E47D5">
        <w:rPr>
          <w:rFonts w:asciiTheme="minorHAnsi" w:hAnsiTheme="minorHAnsi" w:cstheme="minorHAnsi"/>
          <w:color w:val="333333"/>
          <w:lang w:val="en-US"/>
        </w:rPr>
        <w:t xml:space="preserve">; RMSE, </w:t>
      </w:r>
      <w:r w:rsidRPr="002E47D5">
        <w:rPr>
          <w:rFonts w:asciiTheme="minorHAnsi" w:eastAsiaTheme="minorHAnsi" w:hAnsiTheme="minorHAnsi" w:cstheme="minorHAnsi"/>
          <w:lang w:val="en-US"/>
        </w:rPr>
        <w:t>root mean square error; C1, calibration-in-the-large; C2, calibration slope; n/a, not applicable; TE, treadmill</w:t>
      </w:r>
      <w:r w:rsidRPr="002E47D5">
        <w:rPr>
          <w:rFonts w:asciiTheme="minorHAnsi" w:hAnsiTheme="minorHAnsi" w:cstheme="minorHAnsi"/>
          <w:color w:val="333333"/>
          <w:lang w:val="en-US"/>
        </w:rPr>
        <w:t xml:space="preserve">. </w:t>
      </w:r>
      <w:r w:rsidRPr="002E47D5">
        <w:rPr>
          <w:rFonts w:asciiTheme="minorHAnsi" w:eastAsiaTheme="minorHAnsi" w:hAnsiTheme="minorHAnsi" w:cstheme="minorHAnsi"/>
          <w:color w:val="000000" w:themeColor="text1"/>
          <w:lang w:val="en-US"/>
        </w:rPr>
        <w:t>Comparisons between subgroups (</w:t>
      </w:r>
      <w:r w:rsidRPr="002E47D5">
        <w:rPr>
          <w:rFonts w:asciiTheme="minorHAnsi" w:eastAsiaTheme="minorHAnsi" w:hAnsiTheme="minorHAnsi" w:cstheme="minorHAnsi"/>
          <w:i/>
          <w:iCs/>
          <w:color w:val="000000" w:themeColor="text1"/>
          <w:lang w:val="en-US"/>
        </w:rPr>
        <w:t>p</w:t>
      </w:r>
      <w:r w:rsidRPr="002E47D5">
        <w:rPr>
          <w:rFonts w:asciiTheme="minorHAnsi" w:eastAsiaTheme="minorHAnsi" w:hAnsiTheme="minorHAnsi" w:cstheme="minorHAnsi"/>
          <w:color w:val="000000" w:themeColor="text1"/>
          <w:lang w:val="en-US"/>
        </w:rPr>
        <w:t xml:space="preserve"> value) were obtained by one-way ANOVA, Student’s t-test, and </w:t>
      </w:r>
      <w:r w:rsidRPr="002E47D5">
        <w:rPr>
          <w:rFonts w:asciiTheme="minorHAnsi" w:hAnsiTheme="minorHAnsi"/>
          <w:color w:val="000000" w:themeColor="text1"/>
          <w:shd w:val="clear" w:color="auto" w:fill="FCFCFC"/>
          <w:lang w:val="en-US"/>
        </w:rPr>
        <w:t>post-hoc HSD Tukey test</w:t>
      </w:r>
      <w:r w:rsidRPr="002E47D5">
        <w:rPr>
          <w:rFonts w:asciiTheme="minorHAnsi" w:eastAsiaTheme="minorHAnsi" w:hAnsiTheme="minorHAnsi" w:cstheme="minorHAnsi"/>
          <w:color w:val="000000" w:themeColor="text1"/>
          <w:lang w:val="en-US"/>
        </w:rPr>
        <w:t xml:space="preserve">. </w:t>
      </w:r>
      <w:r w:rsidRPr="002E47D5">
        <w:rPr>
          <w:rFonts w:asciiTheme="minorHAnsi" w:eastAsiaTheme="minorEastAsia" w:hAnsiTheme="minorHAnsi" w:cstheme="minorBidi"/>
          <w:color w:val="000000" w:themeColor="text1"/>
          <w:lang w:val="en-US"/>
        </w:rPr>
        <w:t>Significant values (</w:t>
      </w:r>
      <w:r w:rsidRPr="002E47D5">
        <w:rPr>
          <w:rFonts w:asciiTheme="minorHAnsi" w:eastAsiaTheme="minorEastAsia" w:hAnsiTheme="minorHAnsi" w:cstheme="minorBidi"/>
          <w:i/>
          <w:iCs/>
          <w:color w:val="000000" w:themeColor="text1"/>
          <w:lang w:val="en-US"/>
        </w:rPr>
        <w:t>p&lt;0.05</w:t>
      </w:r>
      <w:r w:rsidRPr="002E47D5">
        <w:rPr>
          <w:rFonts w:asciiTheme="minorHAnsi" w:eastAsiaTheme="minorEastAsia" w:hAnsiTheme="minorHAnsi" w:cstheme="minorBidi"/>
          <w:color w:val="000000" w:themeColor="text1"/>
          <w:lang w:val="en-US"/>
        </w:rPr>
        <w:t>) were marked as [</w:t>
      </w:r>
      <w:r w:rsidRPr="002E47D5">
        <w:rPr>
          <w:rFonts w:asciiTheme="minorHAnsi" w:hAnsiTheme="minorHAnsi" w:cstheme="minorBidi"/>
          <w:color w:val="000000" w:themeColor="text1"/>
          <w:vertAlign w:val="superscript"/>
          <w:lang w:val="en-US"/>
        </w:rPr>
        <w:t>*</w:t>
      </w:r>
      <w:r w:rsidRPr="002E47D5">
        <w:rPr>
          <w:rFonts w:asciiTheme="minorHAnsi" w:eastAsiaTheme="minorEastAsia" w:hAnsiTheme="minorHAnsi" w:cstheme="minorBidi"/>
          <w:color w:val="000000" w:themeColor="text1"/>
          <w:lang w:val="en-US"/>
        </w:rPr>
        <w:t>].</w:t>
      </w:r>
      <w:r w:rsidRPr="002E47D5">
        <w:rPr>
          <w:rFonts w:asciiTheme="minorHAnsi" w:hAnsiTheme="minorHAnsi" w:cstheme="minorHAnsi"/>
          <w:color w:val="333333"/>
          <w:lang w:val="en-US"/>
        </w:rPr>
        <w:t xml:space="preserve"> </w:t>
      </w:r>
      <w:r w:rsidRPr="002E47D5">
        <w:rPr>
          <w:rFonts w:asciiTheme="minorHAnsi" w:eastAsiaTheme="minorEastAsia" w:hAnsiTheme="minorHAnsi" w:cstheme="minorHAnsi"/>
          <w:color w:val="000000" w:themeColor="text1"/>
          <w:lang w:val="en-US"/>
        </w:rPr>
        <w:t xml:space="preserve">All values are presented in originally derived units for each model (original unit was added in bracket). </w:t>
      </w:r>
      <w:r w:rsidRPr="002E47D5">
        <w:rPr>
          <w:rFonts w:asciiTheme="minorHAnsi" w:hAnsiTheme="minorHAnsi" w:cstheme="minorHAnsi"/>
          <w:color w:val="000000"/>
          <w:lang w:val="en-US"/>
        </w:rPr>
        <w:t>†</w:t>
      </w:r>
      <w:r w:rsidRPr="002E47D5">
        <w:rPr>
          <w:rFonts w:asciiTheme="minorHAnsi" w:hAnsiTheme="minorHAnsi" w:cstheme="minorHAnsi"/>
          <w:lang w:val="en-US"/>
        </w:rPr>
        <w:t xml:space="preserve">Fitzgerald et al. and Wilson et al. are meta-analyses exclusively for one sex. </w:t>
      </w:r>
      <w:r w:rsidRPr="002E47D5">
        <w:rPr>
          <w:rFonts w:asciiTheme="minorHAnsi" w:hAnsiTheme="minorHAnsi" w:cstheme="minorHAnsi"/>
          <w:vertAlign w:val="superscript"/>
          <w:lang w:val="en-US"/>
        </w:rPr>
        <w:t>§</w:t>
      </w:r>
      <w:r w:rsidRPr="002E47D5">
        <w:rPr>
          <w:rFonts w:asciiTheme="minorHAnsi" w:hAnsiTheme="minorHAnsi" w:cstheme="minorHAnsi"/>
          <w:lang w:val="en-US"/>
        </w:rPr>
        <w:t xml:space="preserve">Kokkinos </w:t>
      </w:r>
      <w:r w:rsidRPr="002E47D5">
        <w:rPr>
          <w:rFonts w:asciiTheme="minorHAnsi" w:hAnsiTheme="minorHAnsi" w:cstheme="minorHAnsi"/>
          <w:color w:val="000000"/>
          <w:lang w:val="en-US"/>
        </w:rPr>
        <w:t xml:space="preserve">et al. presents 3 equations for cycle ergometry: (1) only for males, (2) only for females, (3) for both males and females. </w:t>
      </w:r>
      <w:r w:rsidRPr="002E47D5">
        <w:rPr>
          <w:rFonts w:asciiTheme="minorHAnsi" w:hAnsiTheme="minorHAnsi" w:cstheme="minorHAnsi"/>
          <w:vertAlign w:val="superscript"/>
          <w:lang w:val="en-US"/>
        </w:rPr>
        <w:t>§§</w:t>
      </w:r>
      <w:r w:rsidRPr="002E47D5">
        <w:rPr>
          <w:rFonts w:asciiTheme="minorHAnsi" w:hAnsiTheme="minorHAnsi" w:cstheme="minorHAnsi"/>
          <w:color w:val="000000"/>
          <w:lang w:val="en-US"/>
        </w:rPr>
        <w:t xml:space="preserve">Nevill et al. presents 2 equations for treadmill: (1) allometric model, (2) additive model. </w:t>
      </w:r>
      <w:r w:rsidRPr="002E47D5">
        <w:rPr>
          <w:rFonts w:asciiTheme="minorHAnsi" w:eastAsiaTheme="minorHAnsi" w:hAnsiTheme="minorHAnsi" w:cstheme="minorHAnsi"/>
          <w:lang w:val="en-US"/>
        </w:rPr>
        <w:t>Subgroups that did not meet the TRIPOD guidelines to consider their validation results as reliable (i.e n</w:t>
      </w:r>
      <w:r w:rsidRPr="002E47D5">
        <w:rPr>
          <w:rFonts w:asciiTheme="minorHAnsi" w:hAnsiTheme="minorHAnsi" w:cstheme="minorBidi"/>
          <w:lang w:val="en-US"/>
        </w:rPr>
        <w:t>≥100)</w:t>
      </w:r>
      <w:r w:rsidRPr="002E47D5">
        <w:rPr>
          <w:rFonts w:asciiTheme="minorHAnsi" w:eastAsiaTheme="minorHAnsi" w:hAnsiTheme="minorHAnsi" w:cstheme="minorHAnsi"/>
          <w:lang w:val="en-US"/>
        </w:rPr>
        <w:t xml:space="preserve"> were marked with [</w:t>
      </w:r>
      <w:r w:rsidRPr="002E47D5">
        <w:rPr>
          <w:rFonts w:asciiTheme="minorHAnsi" w:hAnsiTheme="minorHAnsi" w:cstheme="minorHAnsi"/>
          <w:color w:val="1C1D1E"/>
          <w:shd w:val="clear" w:color="auto" w:fill="FFFFFF"/>
          <w:lang w:val="en-US"/>
        </w:rPr>
        <w:t>‡].</w:t>
      </w:r>
    </w:p>
    <w:p w:rsidR="00EC1310" w:rsidRPr="002E47D5" w:rsidRDefault="00EC1310" w:rsidP="00EC1310">
      <w:pPr>
        <w:rPr>
          <w:rFonts w:asciiTheme="minorHAnsi" w:hAnsiTheme="minorHAnsi" w:cstheme="minorHAnsi"/>
          <w:sz w:val="17"/>
          <w:szCs w:val="17"/>
          <w:lang w:val="en-US"/>
        </w:rPr>
      </w:pPr>
    </w:p>
    <w:p w:rsidR="00342BD7" w:rsidRDefault="00342BD7"/>
    <w:sectPr w:rsidR="00342BD7" w:rsidSect="00EC1310">
      <w:pgSz w:w="28350" w:h="15842" w:orient="landscape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310"/>
    <w:rsid w:val="00342BD7"/>
    <w:rsid w:val="00EC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9FAE3"/>
  <w15:chartTrackingRefBased/>
  <w15:docId w15:val="{C1BF8E73-E722-473D-AF34-90A36FE5D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13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EC1310"/>
    <w:pPr>
      <w:spacing w:after="0" w:line="240" w:lineRule="auto"/>
    </w:pPr>
    <w:rPr>
      <w:sz w:val="24"/>
      <w:szCs w:val="24"/>
      <w:lang w:val="pl-P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668</Words>
  <Characters>3809</Characters>
  <Application>Microsoft Office Word</Application>
  <DocSecurity>0</DocSecurity>
  <Lines>31</Lines>
  <Paragraphs>8</Paragraphs>
  <ScaleCrop>false</ScaleCrop>
  <Company>Springer Nature IT</Company>
  <LinksUpToDate>false</LinksUpToDate>
  <CharactersWithSpaces>4469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2022-04-19T15:40:00Z</dcterms:created>
  <dcterms:modified xsi:type="dcterms:W3CDTF">2022-04-19T15:42:00Z</dcterms:modified>
</cp:coreProperties>
</file>