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A7DCC" w14:textId="77777777" w:rsidR="00B05B24" w:rsidRPr="006E495A" w:rsidRDefault="005A6949">
      <w:pPr>
        <w:numPr>
          <w:ilvl w:val="0"/>
          <w:numId w:val="1"/>
        </w:numPr>
        <w:spacing w:line="480" w:lineRule="auto"/>
        <w:rPr>
          <w:rFonts w:ascii="Arial" w:hAnsi="Arial" w:cs="Arial"/>
          <w:b/>
          <w:bCs/>
          <w:szCs w:val="21"/>
        </w:rPr>
      </w:pPr>
      <w:r w:rsidRPr="006E495A">
        <w:rPr>
          <w:rFonts w:ascii="Arial" w:hAnsi="Arial" w:cs="Arial"/>
          <w:b/>
          <w:bCs/>
          <w:szCs w:val="21"/>
        </w:rPr>
        <w:t>Extraction of radiomic features</w:t>
      </w:r>
    </w:p>
    <w:p w14:paraId="58E8E1D6" w14:textId="77777777" w:rsidR="00B05B24" w:rsidRPr="006E495A" w:rsidRDefault="005A6949">
      <w:pPr>
        <w:numPr>
          <w:ilvl w:val="1"/>
          <w:numId w:val="1"/>
        </w:numPr>
        <w:tabs>
          <w:tab w:val="left" w:pos="312"/>
        </w:tabs>
        <w:spacing w:line="480" w:lineRule="auto"/>
        <w:rPr>
          <w:rFonts w:ascii="Arial" w:hAnsi="Arial" w:cs="Arial"/>
          <w:b/>
          <w:bCs/>
          <w:szCs w:val="21"/>
        </w:rPr>
      </w:pPr>
      <w:r w:rsidRPr="006E495A">
        <w:rPr>
          <w:rFonts w:ascii="Arial" w:hAnsi="Arial" w:cs="Arial"/>
          <w:b/>
          <w:bCs/>
          <w:szCs w:val="21"/>
        </w:rPr>
        <w:t>Pre-processing methods</w:t>
      </w:r>
    </w:p>
    <w:p w14:paraId="792CA9B4" w14:textId="77777777" w:rsidR="00B05B24" w:rsidRPr="006E495A" w:rsidRDefault="005A6949">
      <w:pPr>
        <w:rPr>
          <w:rFonts w:ascii="Arial" w:hAnsi="Arial" w:cs="Arial"/>
          <w:color w:val="000000"/>
          <w:szCs w:val="21"/>
        </w:rPr>
      </w:pPr>
      <w:r w:rsidRPr="006E495A">
        <w:rPr>
          <w:rFonts w:ascii="Arial" w:hAnsi="Arial" w:cs="Arial"/>
          <w:color w:val="000000"/>
          <w:szCs w:val="21"/>
        </w:rPr>
        <w:t>In this study, two filtering processes were performed to give additional first-order and textural characteristics. For the wavelet filter, a discrete, one-level and “</w:t>
      </w:r>
      <w:proofErr w:type="spellStart"/>
      <w:r w:rsidRPr="006E495A">
        <w:rPr>
          <w:rFonts w:ascii="Arial" w:hAnsi="Arial" w:cs="Arial"/>
          <w:color w:val="000000"/>
          <w:szCs w:val="21"/>
        </w:rPr>
        <w:t>Coiflet</w:t>
      </w:r>
      <w:proofErr w:type="spellEnd"/>
      <w:r w:rsidRPr="006E495A">
        <w:rPr>
          <w:rFonts w:ascii="Arial" w:hAnsi="Arial" w:cs="Arial"/>
          <w:color w:val="000000"/>
          <w:szCs w:val="21"/>
        </w:rPr>
        <w:t xml:space="preserve"> 1” three dimensional wavelet transformation was applied to each CT image, which de</w:t>
      </w:r>
      <w:r w:rsidRPr="006E495A">
        <w:rPr>
          <w:rFonts w:ascii="Arial" w:hAnsi="Arial" w:cs="Arial"/>
          <w:color w:val="000000"/>
          <w:szCs w:val="21"/>
        </w:rPr>
        <w:t xml:space="preserve">composed the original image X into 8 decompositions. Consider H and L to be a high-pass function and low-pass function respectively, and the decomposition of X can be labeled as </w:t>
      </w:r>
      <m:oMath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LLL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 xml:space="preserve">, </w:t>
      </w:r>
      <m:oMath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LLH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>,</w:t>
      </w:r>
      <m:oMath>
        <m:r>
          <m:rPr>
            <m:sty m:val="p"/>
          </m:rPr>
          <w:rPr>
            <w:rFonts w:ascii="Cambria Math" w:hAnsi="Cambria Math" w:cs="Arial"/>
            <w:color w:val="000000"/>
            <w:szCs w:val="21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LHL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>,</w:t>
      </w:r>
      <m:oMath>
        <m:r>
          <m:rPr>
            <m:sty m:val="p"/>
          </m:rPr>
          <w:rPr>
            <w:rFonts w:ascii="Cambria Math" w:hAnsi="Cambria Math" w:cs="Arial"/>
            <w:color w:val="000000"/>
            <w:szCs w:val="21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LHH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>,</w:t>
      </w:r>
      <m:oMath>
        <m:r>
          <m:rPr>
            <m:sty m:val="p"/>
          </m:rPr>
          <w:rPr>
            <w:rFonts w:ascii="Cambria Math" w:hAnsi="Cambria Math" w:cs="Arial"/>
            <w:color w:val="000000"/>
            <w:szCs w:val="21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HLL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>,</w:t>
      </w:r>
      <m:oMath>
        <m:r>
          <m:rPr>
            <m:sty m:val="p"/>
          </m:rPr>
          <w:rPr>
            <w:rFonts w:ascii="Cambria Math" w:hAnsi="Cambria Math" w:cs="Arial"/>
            <w:color w:val="000000"/>
            <w:szCs w:val="21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HLH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 xml:space="preserve">, </w:t>
      </w:r>
      <m:oMath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HHL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 xml:space="preserve"> and</w:t>
      </w:r>
      <m:oMath>
        <m:r>
          <m:rPr>
            <m:sty m:val="p"/>
          </m:rPr>
          <w:rPr>
            <w:rFonts w:ascii="Cambria Math" w:hAnsi="Cambria Math" w:cs="Arial"/>
            <w:color w:val="000000"/>
            <w:szCs w:val="21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/>
                <w:szCs w:val="21"/>
              </w:rPr>
            </m:ctrlPr>
          </m:sSubPr>
          <m:e>
            <m:r>
              <w:rPr>
                <w:rFonts w:ascii="Cambria Math" w:hAnsi="Cambria Math" w:cs="Arial"/>
                <w:color w:val="000000"/>
                <w:szCs w:val="21"/>
              </w:rPr>
              <m:t>X</m:t>
            </m:r>
          </m:e>
          <m:sub>
            <m:r>
              <w:rPr>
                <w:rFonts w:ascii="Cambria Math" w:hAnsi="Cambria Math" w:cs="Arial"/>
                <w:color w:val="000000"/>
                <w:szCs w:val="21"/>
              </w:rPr>
              <m:t>H</m:t>
            </m:r>
            <m:r>
              <w:rPr>
                <w:rFonts w:ascii="Cambria Math" w:hAnsi="Cambria Math" w:cs="Arial"/>
                <w:color w:val="000000"/>
                <w:szCs w:val="21"/>
              </w:rPr>
              <m:t>H</m:t>
            </m:r>
            <m:r>
              <w:rPr>
                <w:rFonts w:ascii="Cambria Math" w:hAnsi="Cambria Math" w:cs="Arial"/>
                <w:color w:val="000000"/>
                <w:szCs w:val="21"/>
              </w:rPr>
              <m:t>H</m:t>
            </m:r>
          </m:sub>
        </m:sSub>
      </m:oMath>
      <w:r w:rsidRPr="006E495A">
        <w:rPr>
          <w:rFonts w:ascii="Arial" w:hAnsi="Arial" w:cs="Arial"/>
          <w:color w:val="000000"/>
          <w:szCs w:val="21"/>
        </w:rPr>
        <w:t xml:space="preserve">. The subscripts denoted the type of filters that were applied along x, y, and z direction. </w:t>
      </w:r>
    </w:p>
    <w:p w14:paraId="41774BDC" w14:textId="77777777" w:rsidR="00B05B24" w:rsidRPr="006E495A" w:rsidRDefault="005A6949">
      <w:pPr>
        <w:pStyle w:val="1"/>
        <w:spacing w:line="360" w:lineRule="auto"/>
        <w:ind w:firstLine="720"/>
        <w:rPr>
          <w:rFonts w:ascii="Arial" w:hAnsi="Arial" w:cs="Arial"/>
          <w:sz w:val="21"/>
          <w:szCs w:val="21"/>
        </w:rPr>
      </w:pPr>
      <w:r w:rsidRPr="006E495A">
        <w:rPr>
          <w:rFonts w:ascii="Arial" w:hAnsi="Arial" w:cs="Arial"/>
          <w:sz w:val="21"/>
          <w:szCs w:val="21"/>
        </w:rPr>
        <w:t>The LoG filter was consisted of a proceeding Gaussian filter and a Laplacian filter. The Gaussian kernel is used to smooth the image and reduce noise and the La</w:t>
      </w:r>
      <w:r w:rsidRPr="006E495A">
        <w:rPr>
          <w:rFonts w:ascii="Arial" w:hAnsi="Arial" w:cs="Arial"/>
          <w:sz w:val="21"/>
          <w:szCs w:val="21"/>
        </w:rPr>
        <w:t>placian operator is sensitive to areas with rapidly changing intensities. The LoG was often used to intensify the edge information of intrested area. The Gaussian kernel is defined as</w:t>
      </w:r>
    </w:p>
    <w:p w14:paraId="18A61F4D" w14:textId="77777777" w:rsidR="00B05B24" w:rsidRPr="006E495A" w:rsidRDefault="005A6949">
      <w:pPr>
        <w:widowControl/>
        <w:shd w:val="clear" w:color="auto" w:fill="FCFCFC"/>
        <w:spacing w:after="100" w:afterAutospacing="1" w:line="360" w:lineRule="atLeast"/>
        <w:jc w:val="left"/>
        <w:rPr>
          <w:rFonts w:ascii="Arial" w:hAnsi="Arial" w:cs="Arial"/>
          <w:kern w:val="0"/>
          <w:szCs w:val="21"/>
          <w:lang w:val="nl-NL" w:eastAsia="en-US"/>
        </w:rPr>
      </w:pPr>
      <m:oMathPara>
        <m:oMath>
          <m:r>
            <w:rPr>
              <w:rFonts w:ascii="Cambria Math" w:eastAsiaTheme="minorHAnsi" w:hAnsi="Cambria Math" w:cs="Arial"/>
              <w:kern w:val="0"/>
              <w:szCs w:val="21"/>
              <w:lang w:val="nl-NL" w:eastAsia="en-US"/>
            </w:rPr>
            <m:t>G</m:t>
          </m:r>
          <m:d>
            <m:dPr>
              <m:ctrlPr>
                <w:rPr>
                  <w:rFonts w:ascii="Cambria Math" w:eastAsiaTheme="minorHAnsi" w:hAnsi="Cambria Math" w:cs="Arial"/>
                  <w:i/>
                  <w:kern w:val="0"/>
                  <w:szCs w:val="21"/>
                  <w:lang w:val="nl-NL" w:eastAsia="en-US"/>
                </w:rPr>
              </m:ctrlPr>
            </m:dPr>
            <m:e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x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,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y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,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z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,</m:t>
              </m:r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σ</m:t>
              </m:r>
            </m:e>
          </m:d>
          <m:r>
            <w:rPr>
              <w:rFonts w:ascii="Cambria Math" w:eastAsiaTheme="minorHAnsi" w:hAnsi="Cambria Math" w:cs="Arial"/>
              <w:kern w:val="0"/>
              <w:szCs w:val="21"/>
              <w:lang w:val="nl-NL" w:eastAsia="en-US"/>
            </w:rPr>
            <m:t xml:space="preserve">= </m:t>
          </m:r>
          <m:f>
            <m:fPr>
              <m:ctrlPr>
                <w:rPr>
                  <w:rFonts w:ascii="Cambria Math" w:eastAsiaTheme="minorHAnsi" w:hAnsi="Cambria Math" w:cs="Arial"/>
                  <w:i/>
                  <w:kern w:val="0"/>
                  <w:szCs w:val="21"/>
                  <w:lang w:val="nl-NL" w:eastAsia="en-US"/>
                </w:rPr>
              </m:ctrlPr>
            </m:fPr>
            <m:num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HAnsi" w:hAnsi="Cambria Math" w:cs="Arial"/>
                      <w:i/>
                      <w:kern w:val="0"/>
                      <w:szCs w:val="21"/>
                      <w:lang w:val="nl-NL" w:eastAsia="en-US"/>
                    </w:rPr>
                  </m:ctrlPr>
                </m:sSupPr>
                <m:e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(</m:t>
                  </m:r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σ</m:t>
                  </m:r>
                  <m:rad>
                    <m:radPr>
                      <m:degHide m:val="1"/>
                      <m:ctrlPr>
                        <w:rPr>
                          <w:rFonts w:ascii="Cambria Math" w:eastAsiaTheme="minorHAnsi" w:hAnsi="Cambria Math" w:cs="Arial"/>
                          <w:i/>
                          <w:kern w:val="0"/>
                          <w:szCs w:val="21"/>
                          <w:lang w:val="nl-NL" w:eastAsia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2</m:t>
                      </m:r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π</m:t>
                      </m:r>
                    </m:e>
                  </m:rad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)</m:t>
                  </m:r>
                </m:e>
                <m:sup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3</m:t>
                  </m:r>
                </m:sup>
              </m:sSup>
            </m:den>
          </m:f>
          <m:sSup>
            <m:sSupPr>
              <m:ctrlPr>
                <w:rPr>
                  <w:rFonts w:ascii="Cambria Math" w:eastAsiaTheme="minorHAnsi" w:hAnsi="Cambria Math" w:cs="Arial"/>
                  <w:i/>
                  <w:kern w:val="0"/>
                  <w:szCs w:val="21"/>
                  <w:lang w:val="nl-NL" w:eastAsia="en-US"/>
                </w:rPr>
              </m:ctrlPr>
            </m:sSupPr>
            <m:e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e</m:t>
              </m:r>
            </m:e>
            <m:sup>
              <m:r>
                <w:rPr>
                  <w:rFonts w:ascii="Cambria Math" w:eastAsiaTheme="minorHAnsi" w:hAnsi="Cambria Math" w:cs="Arial"/>
                  <w:kern w:val="0"/>
                  <w:szCs w:val="21"/>
                  <w:lang w:val="nl-NL" w:eastAsia="en-US"/>
                </w:rPr>
                <m:t>-</m:t>
              </m:r>
              <m:f>
                <m:fPr>
                  <m:ctrlPr>
                    <w:rPr>
                      <w:rFonts w:ascii="Cambria Math" w:eastAsiaTheme="minorHAnsi" w:hAnsi="Cambria Math" w:cs="Arial"/>
                      <w:i/>
                      <w:kern w:val="0"/>
                      <w:szCs w:val="21"/>
                      <w:lang w:val="nl-NL" w:eastAsia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HAnsi" w:hAnsi="Cambria Math" w:cs="Arial"/>
                          <w:i/>
                          <w:kern w:val="0"/>
                          <w:szCs w:val="21"/>
                          <w:lang w:val="nl-NL" w:eastAsia="en-US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HAnsi" w:hAnsi="Cambria Math" w:cs="Arial"/>
                          <w:i/>
                          <w:kern w:val="0"/>
                          <w:szCs w:val="21"/>
                          <w:lang w:val="nl-NL" w:eastAsia="en-US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Theme="minorHAnsi" w:hAnsi="Cambria Math" w:cs="Arial"/>
                          <w:i/>
                          <w:kern w:val="0"/>
                          <w:szCs w:val="21"/>
                          <w:lang w:val="nl-NL" w:eastAsia="en-US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z</m:t>
                      </m:r>
                    </m:e>
                    <m:sup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HAnsi" w:hAnsi="Cambria Math" w:cs="Arial"/>
                      <w:kern w:val="0"/>
                      <w:szCs w:val="21"/>
                      <w:lang w:val="nl-NL" w:eastAsia="en-US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HAnsi" w:hAnsi="Cambria Math" w:cs="Arial"/>
                          <w:i/>
                          <w:kern w:val="0"/>
                          <w:szCs w:val="21"/>
                          <w:lang w:val="nl-NL" w:eastAsia="en-US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Theme="minorHAnsi" w:hAnsi="Cambria Math" w:cs="Arial"/>
                          <w:kern w:val="0"/>
                          <w:szCs w:val="21"/>
                          <w:lang w:val="nl-NL" w:eastAsia="en-US"/>
                        </w:rPr>
                        <m:t>2</m:t>
                      </m:r>
                    </m:sup>
                  </m:sSup>
                </m:den>
              </m:f>
            </m:sup>
          </m:sSup>
        </m:oMath>
      </m:oMathPara>
    </w:p>
    <w:p w14:paraId="380B816C" w14:textId="77777777" w:rsidR="00B05B24" w:rsidRPr="006E495A" w:rsidRDefault="005A6949">
      <w:pPr>
        <w:widowControl/>
        <w:shd w:val="clear" w:color="auto" w:fill="FCFCFC"/>
        <w:spacing w:after="100" w:afterAutospacing="1" w:line="360" w:lineRule="auto"/>
        <w:jc w:val="left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hAnsi="Arial" w:cs="Arial"/>
          <w:kern w:val="0"/>
          <w:szCs w:val="21"/>
          <w:lang w:val="nl-NL" w:eastAsia="en-US"/>
        </w:rPr>
        <w:t>which is then convolved by th</w:t>
      </w:r>
      <w:r w:rsidRPr="006E495A">
        <w:rPr>
          <w:rFonts w:ascii="Arial" w:hAnsi="Arial" w:cs="Arial"/>
          <w:kern w:val="0"/>
          <w:szCs w:val="21"/>
          <w:lang w:val="nl-NL" w:eastAsia="en-US"/>
        </w:rPr>
        <w:t>e laplacian kernel </w:t>
      </w:r>
      <m:oMath>
        <m:sSup>
          <m:sSupPr>
            <m:ctrlPr>
              <w:rPr>
                <w:rFonts w:ascii="Cambria Math" w:hAnsi="Cambria Math" w:cs="Arial"/>
                <w:i/>
                <w:kern w:val="0"/>
                <w:szCs w:val="21"/>
                <w:lang w:val="nl-NL"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kern w:val="0"/>
                <w:szCs w:val="21"/>
                <w:lang w:val="nl-NL" w:eastAsia="en-US"/>
              </w:rPr>
              <m:t>∇</m:t>
            </m:r>
          </m:e>
          <m:sup>
            <m:r>
              <w:rPr>
                <w:rFonts w:ascii="Cambria Math" w:hAnsi="Cambria Math" w:cs="Arial"/>
                <w:kern w:val="0"/>
                <w:szCs w:val="21"/>
                <w:lang w:val="nl-NL" w:eastAsia="en-US"/>
              </w:rPr>
              <m:t>2</m:t>
            </m:r>
          </m:sup>
        </m:sSup>
        <m:r>
          <w:rPr>
            <w:rFonts w:ascii="Cambria Math" w:hAnsi="Cambria Math" w:cs="Arial"/>
            <w:kern w:val="0"/>
            <w:szCs w:val="21"/>
            <w:lang w:val="nl-NL" w:eastAsia="en-US"/>
          </w:rPr>
          <m:t>G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(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x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,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y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,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z</m:t>
        </m:r>
        <m:r>
          <w:rPr>
            <w:rFonts w:ascii="Cambria Math" w:hAnsi="Cambria Math" w:cs="Arial"/>
            <w:kern w:val="0"/>
            <w:szCs w:val="21"/>
            <w:lang w:val="nl-NL" w:eastAsia="en-US"/>
          </w:rPr>
          <m:t>)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>.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The width of the filter in the Gaussian kernel is determined by σ and was set at 1, 2, 3, 4, and 5 in this study. Lowere value is associated with more fine texture and higher value is associated with more coarse textures. </w:t>
      </w:r>
    </w:p>
    <w:p w14:paraId="2C70EBC5" w14:textId="77777777" w:rsidR="00B05B24" w:rsidRPr="006E495A" w:rsidRDefault="005A6949">
      <w:pPr>
        <w:numPr>
          <w:ilvl w:val="1"/>
          <w:numId w:val="1"/>
        </w:numPr>
        <w:spacing w:line="360" w:lineRule="auto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 Radiomic features</w:t>
      </w:r>
    </w:p>
    <w:p w14:paraId="0311AEC0" w14:textId="77777777" w:rsidR="00B05B24" w:rsidRPr="006E495A" w:rsidRDefault="005A6949">
      <w:pPr>
        <w:spacing w:line="360" w:lineRule="auto"/>
        <w:ind w:firstLineChars="150" w:firstLine="315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Radiomic feat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ures were divided into six groups according to different types: (1) first-order features, (2) shape-based features, (3) gray level co-occurrence matrix (GLCM) features, (4) gray level size zone matrix (GLSZM) features, (5) gray level run-length matrix (GLR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LM) features and (6) gray level dependency matrix (GLDM) features. GLCM, GLSZM, GLRLM and GLDM are essentially all textural features. </w:t>
      </w:r>
    </w:p>
    <w:p w14:paraId="5869A87B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First-order features, also known as histogram features, include 18 features, which describe the distribution of voxel int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ensties within the VOI. </w:t>
      </w:r>
    </w:p>
    <w:p w14:paraId="68716162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Shape features include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4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features, which describe the morphological property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of the tumor’s outline. </w:t>
      </w:r>
    </w:p>
    <w:p w14:paraId="60B1D041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GLCM features include 22 features, which describe the the spatial dependence of each pixel in the tumor region. </w:t>
      </w:r>
    </w:p>
    <w:p w14:paraId="208F3DC8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lastRenderedPageBreak/>
        <w:t>GL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SZM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features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i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nclude 1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6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features, which quantify the gray level zone in the tumor region. It is an advanced statistical matrix for textural feature characterization. </w:t>
      </w:r>
    </w:p>
    <w:p w14:paraId="3241F846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GLRLM features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include 1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6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features, which quantify gray level runs and describe the textural characteri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stics of the tumor region .  </w:t>
      </w:r>
    </w:p>
    <w:p w14:paraId="27DE6E5F" w14:textId="77777777" w:rsidR="00B05B24" w:rsidRPr="006E495A" w:rsidRDefault="005A6949">
      <w:pPr>
        <w:numPr>
          <w:ilvl w:val="0"/>
          <w:numId w:val="2"/>
        </w:num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GL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DM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features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include 14 features, which describe the complex texutral characteristics in the tumor region. This algorithm is insensitive to monotonic gray level transformation. </w:t>
      </w:r>
    </w:p>
    <w:p w14:paraId="1B3CFD4B" w14:textId="77777777" w:rsidR="00B05B24" w:rsidRPr="006E495A" w:rsidRDefault="005A6949">
      <w:pPr>
        <w:spacing w:line="360" w:lineRule="auto"/>
        <w:ind w:firstLine="720"/>
        <w:rPr>
          <w:rFonts w:ascii="Arial" w:hAnsi="Arial" w:cs="Arial"/>
          <w:szCs w:val="21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First-order features and textural features were obtained from original CT images, 8 wavelet filtered images and 5 LoG filtered images. Shape-based features were only obtained from the original images for that filtered images no longer reflect the true morp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hology of tumors. For each VOI, a total of 1218 quantitative imaging features were extracted. Among them, there were 252 (18 types of features </w:t>
      </w:r>
      <m:oMath>
        <m:r>
          <w:rPr>
            <w:rFonts w:ascii="Cambria Math" w:eastAsiaTheme="minorHAnsi" w:hAnsi="Cambria Math" w:cs="Arial"/>
            <w:kern w:val="0"/>
            <w:szCs w:val="21"/>
            <w:lang w:val="nl-NL" w:eastAsia="en-US"/>
          </w:rPr>
          <m:t>×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 xml:space="preserve">14 types of images)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first-order features, 14 were shape based features, 308 (22 types of features </w:t>
      </w:r>
      <m:oMath>
        <m:r>
          <w:rPr>
            <w:rFonts w:ascii="Cambria Math" w:eastAsiaTheme="minorHAnsi" w:hAnsi="Cambria Math" w:cs="Arial"/>
            <w:kern w:val="0"/>
            <w:szCs w:val="21"/>
            <w:lang w:val="nl-NL" w:eastAsia="en-US"/>
          </w:rPr>
          <m:t>×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>14 types of i</w:t>
      </w:r>
      <w:r w:rsidRPr="006E495A">
        <w:rPr>
          <w:rFonts w:ascii="Arial" w:hAnsi="Arial" w:cs="Arial"/>
          <w:kern w:val="0"/>
          <w:szCs w:val="21"/>
          <w:lang w:val="nl-NL" w:eastAsia="en-US"/>
        </w:rPr>
        <w:t>mages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) GLCM features, 224 (16 types of features </w:t>
      </w:r>
      <m:oMath>
        <m:r>
          <w:rPr>
            <w:rFonts w:ascii="Cambria Math" w:eastAsiaTheme="minorHAnsi" w:hAnsi="Cambria Math" w:cs="Arial"/>
            <w:kern w:val="0"/>
            <w:szCs w:val="21"/>
            <w:lang w:val="nl-NL" w:eastAsia="en-US"/>
          </w:rPr>
          <m:t>×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>14 types of images)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GLSZM features, 224 (16 types of features </w:t>
      </w:r>
      <m:oMath>
        <m:r>
          <w:rPr>
            <w:rFonts w:ascii="Cambria Math" w:eastAsiaTheme="minorHAnsi" w:hAnsi="Cambria Math" w:cs="Arial"/>
            <w:kern w:val="0"/>
            <w:szCs w:val="21"/>
            <w:lang w:val="nl-NL" w:eastAsia="en-US"/>
          </w:rPr>
          <m:t>×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>14 types of images)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GLRLM features and 196 (14 types of features </w:t>
      </w:r>
      <m:oMath>
        <m:r>
          <w:rPr>
            <w:rFonts w:ascii="Cambria Math" w:eastAsiaTheme="minorHAnsi" w:hAnsi="Cambria Math" w:cs="Arial"/>
            <w:kern w:val="0"/>
            <w:szCs w:val="21"/>
            <w:lang w:val="nl-NL" w:eastAsia="en-US"/>
          </w:rPr>
          <m:t>×</m:t>
        </m:r>
      </m:oMath>
      <w:r w:rsidRPr="006E495A">
        <w:rPr>
          <w:rFonts w:ascii="Arial" w:hAnsi="Arial" w:cs="Arial"/>
          <w:kern w:val="0"/>
          <w:szCs w:val="21"/>
          <w:lang w:val="nl-NL" w:eastAsia="en-US"/>
        </w:rPr>
        <w:t>14 types of images)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GLDM features. The features in each group were listed  bel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ow.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For formulas of each feature, please refer to the PyRadiomics official webstie: </w:t>
      </w:r>
      <w:r w:rsidRPr="006E495A">
        <w:rPr>
          <w:rFonts w:ascii="Arial" w:hAnsi="Arial" w:cs="Arial"/>
          <w:szCs w:val="21"/>
        </w:rPr>
        <w:fldChar w:fldCharType="begin"/>
      </w:r>
      <w:r w:rsidRPr="006E495A">
        <w:rPr>
          <w:rFonts w:ascii="Arial" w:hAnsi="Arial" w:cs="Arial"/>
          <w:szCs w:val="21"/>
        </w:rPr>
        <w:instrText xml:space="preserve"> HYPERLINK "https://pyradiomics.readthedocs.io/en/latest/features.html" </w:instrText>
      </w:r>
      <w:r w:rsidRPr="006E495A">
        <w:rPr>
          <w:rFonts w:ascii="Arial" w:hAnsi="Arial" w:cs="Arial"/>
          <w:szCs w:val="21"/>
        </w:rPr>
        <w:fldChar w:fldCharType="separate"/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https://pyradiomics.readthedocs.io/en/latest/features.html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fldChar w:fldCharType="end"/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.</w:t>
      </w:r>
      <w:r w:rsidRPr="006E495A">
        <w:rPr>
          <w:rFonts w:ascii="Arial" w:hAnsi="Arial" w:cs="Arial"/>
          <w:szCs w:val="21"/>
        </w:rPr>
        <w:t xml:space="preserve"> </w:t>
      </w:r>
    </w:p>
    <w:p w14:paraId="0DCDE45D" w14:textId="77777777" w:rsidR="00B05B24" w:rsidRPr="006E495A" w:rsidRDefault="00B05B24">
      <w:pPr>
        <w:spacing w:line="360" w:lineRule="auto"/>
        <w:rPr>
          <w:rFonts w:ascii="Arial" w:eastAsiaTheme="minorHAnsi" w:hAnsi="Arial" w:cs="Arial"/>
          <w:kern w:val="0"/>
          <w:szCs w:val="21"/>
          <w:lang w:val="nl-NL" w:eastAsia="en-US"/>
        </w:rPr>
      </w:pPr>
    </w:p>
    <w:p w14:paraId="2EBE8D84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bookmarkStart w:id="0" w:name="OLE_LINK12"/>
      <w:r w:rsidRPr="006E495A">
        <w:rPr>
          <w:rFonts w:ascii="Arial" w:hAnsi="Arial" w:cs="Arial"/>
          <w:b/>
          <w:i/>
          <w:szCs w:val="21"/>
        </w:rPr>
        <w:t xml:space="preserve">Group 1. First-order </w:t>
      </w:r>
      <w:r w:rsidRPr="006E495A">
        <w:rPr>
          <w:rFonts w:ascii="Arial" w:hAnsi="Arial" w:cs="Arial"/>
          <w:b/>
          <w:i/>
          <w:szCs w:val="21"/>
        </w:rPr>
        <w:t>features</w:t>
      </w:r>
      <w:bookmarkEnd w:id="0"/>
    </w:p>
    <w:p w14:paraId="5F47D09A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First-order statistics describe the distribution of voxel intensities within the CT image region defined by the mask through commonly used and basic metrics. X is a set of Np voxels included in the VOI.</w:t>
      </w:r>
    </w:p>
    <w:p w14:paraId="611A8101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S1.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 xml:space="preserve">Descriptions of all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features for first-order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1594"/>
        <w:gridCol w:w="7230"/>
      </w:tblGrid>
      <w:tr w:rsidR="00B05B24" w:rsidRPr="006E495A" w14:paraId="22350BBD" w14:textId="77777777">
        <w:tc>
          <w:tcPr>
            <w:tcW w:w="526" w:type="dxa"/>
            <w:vAlign w:val="center"/>
          </w:tcPr>
          <w:p w14:paraId="50D3F42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No.</w:t>
            </w:r>
          </w:p>
        </w:tc>
        <w:tc>
          <w:tcPr>
            <w:tcW w:w="1594" w:type="dxa"/>
            <w:vAlign w:val="center"/>
          </w:tcPr>
          <w:p w14:paraId="6E497DF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Feature names</w:t>
            </w:r>
          </w:p>
        </w:tc>
        <w:tc>
          <w:tcPr>
            <w:tcW w:w="7230" w:type="dxa"/>
            <w:vAlign w:val="center"/>
          </w:tcPr>
          <w:p w14:paraId="1473313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09F1E884" w14:textId="77777777">
        <w:tc>
          <w:tcPr>
            <w:tcW w:w="526" w:type="dxa"/>
            <w:vAlign w:val="center"/>
          </w:tcPr>
          <w:p w14:paraId="681020E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1594" w:type="dxa"/>
            <w:vAlign w:val="center"/>
          </w:tcPr>
          <w:p w14:paraId="4DCC516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 Percentile</w:t>
            </w:r>
          </w:p>
        </w:tc>
        <w:tc>
          <w:tcPr>
            <w:tcW w:w="7230" w:type="dxa"/>
            <w:vAlign w:val="center"/>
          </w:tcPr>
          <w:p w14:paraId="325BE1C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10th percentile of X</w:t>
            </w:r>
          </w:p>
        </w:tc>
      </w:tr>
      <w:tr w:rsidR="00B05B24" w:rsidRPr="006E495A" w14:paraId="490E00BF" w14:textId="77777777">
        <w:tc>
          <w:tcPr>
            <w:tcW w:w="526" w:type="dxa"/>
            <w:vAlign w:val="center"/>
          </w:tcPr>
          <w:p w14:paraId="2071B32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1594" w:type="dxa"/>
            <w:vAlign w:val="center"/>
          </w:tcPr>
          <w:p w14:paraId="44F360B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90 Percentile</w:t>
            </w:r>
          </w:p>
        </w:tc>
        <w:tc>
          <w:tcPr>
            <w:tcW w:w="7230" w:type="dxa"/>
            <w:vAlign w:val="center"/>
          </w:tcPr>
          <w:p w14:paraId="47D171F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90th percentile of X</w:t>
            </w:r>
          </w:p>
        </w:tc>
      </w:tr>
      <w:tr w:rsidR="00B05B24" w:rsidRPr="006E495A" w14:paraId="534A931D" w14:textId="77777777">
        <w:tc>
          <w:tcPr>
            <w:tcW w:w="526" w:type="dxa"/>
            <w:vAlign w:val="center"/>
          </w:tcPr>
          <w:p w14:paraId="393F8E6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1594" w:type="dxa"/>
            <w:vAlign w:val="center"/>
          </w:tcPr>
          <w:p w14:paraId="5647F32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Energy</w:t>
            </w:r>
          </w:p>
        </w:tc>
        <w:tc>
          <w:tcPr>
            <w:tcW w:w="7230" w:type="dxa"/>
            <w:vAlign w:val="center"/>
          </w:tcPr>
          <w:p w14:paraId="21479C7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Energy is a measure of the magnitude of voxel values in an image. A larger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values implies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 a greater sum of the squares of these values.</w:t>
            </w:r>
          </w:p>
        </w:tc>
      </w:tr>
      <w:tr w:rsidR="00B05B24" w:rsidRPr="006E495A" w14:paraId="03E50E47" w14:textId="77777777">
        <w:tc>
          <w:tcPr>
            <w:tcW w:w="526" w:type="dxa"/>
            <w:vAlign w:val="center"/>
          </w:tcPr>
          <w:p w14:paraId="6EFAB27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4</w:t>
            </w:r>
          </w:p>
        </w:tc>
        <w:tc>
          <w:tcPr>
            <w:tcW w:w="1594" w:type="dxa"/>
            <w:vAlign w:val="center"/>
          </w:tcPr>
          <w:p w14:paraId="229DBE3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Entropy</w:t>
            </w:r>
          </w:p>
        </w:tc>
        <w:tc>
          <w:tcPr>
            <w:tcW w:w="7230" w:type="dxa"/>
            <w:vAlign w:val="center"/>
          </w:tcPr>
          <w:p w14:paraId="18976AB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Entropy specifies the uncertainty/randomness in the image values. It measures the average amount of information required to encode the image values.</w:t>
            </w:r>
          </w:p>
        </w:tc>
      </w:tr>
      <w:tr w:rsidR="00B05B24" w:rsidRPr="006E495A" w14:paraId="5BBCEE6D" w14:textId="77777777">
        <w:tc>
          <w:tcPr>
            <w:tcW w:w="526" w:type="dxa"/>
            <w:vAlign w:val="center"/>
          </w:tcPr>
          <w:p w14:paraId="0561649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1594" w:type="dxa"/>
            <w:vAlign w:val="center"/>
          </w:tcPr>
          <w:p w14:paraId="045C50B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Interquartile Range</w:t>
            </w:r>
          </w:p>
        </w:tc>
        <w:tc>
          <w:tcPr>
            <w:tcW w:w="7230" w:type="dxa"/>
            <w:vAlign w:val="center"/>
          </w:tcPr>
          <w:p w14:paraId="64924DB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Here P25 and P75 are the 25</w:t>
            </w:r>
            <w:r w:rsidRPr="006E495A">
              <w:rPr>
                <w:rFonts w:ascii="Arial" w:eastAsia="宋体" w:hAnsi="Arial" w:cs="Arial"/>
                <w:szCs w:val="21"/>
                <w:vertAlign w:val="superscript"/>
              </w:rPr>
              <w:t>th</w:t>
            </w:r>
            <w:r w:rsidRPr="006E495A">
              <w:rPr>
                <w:rFonts w:ascii="Arial" w:eastAsia="宋体" w:hAnsi="Arial" w:cs="Arial"/>
                <w:szCs w:val="21"/>
              </w:rPr>
              <w:t> and 75</w:t>
            </w:r>
            <w:r w:rsidRPr="006E495A">
              <w:rPr>
                <w:rFonts w:ascii="Arial" w:eastAsia="宋体" w:hAnsi="Arial" w:cs="Arial"/>
                <w:szCs w:val="21"/>
                <w:vertAlign w:val="superscript"/>
              </w:rPr>
              <w:t>th</w:t>
            </w:r>
            <w:r w:rsidRPr="006E495A">
              <w:rPr>
                <w:rFonts w:ascii="Arial" w:eastAsia="宋体" w:hAnsi="Arial" w:cs="Arial"/>
                <w:szCs w:val="21"/>
              </w:rPr>
              <w:t> percentile of the image array, respectively.</w:t>
            </w:r>
          </w:p>
        </w:tc>
      </w:tr>
      <w:tr w:rsidR="00B05B24" w:rsidRPr="006E495A" w14:paraId="0811D3BB" w14:textId="77777777">
        <w:tc>
          <w:tcPr>
            <w:tcW w:w="526" w:type="dxa"/>
            <w:vAlign w:val="center"/>
          </w:tcPr>
          <w:p w14:paraId="7A13B03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1594" w:type="dxa"/>
            <w:vAlign w:val="center"/>
          </w:tcPr>
          <w:p w14:paraId="605C78B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Kurtosis</w:t>
            </w:r>
          </w:p>
        </w:tc>
        <w:tc>
          <w:tcPr>
            <w:tcW w:w="7230" w:type="dxa"/>
            <w:vAlign w:val="center"/>
          </w:tcPr>
          <w:p w14:paraId="5690B23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Kurtosis is a measure of the ‘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peakedness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’ of the distribution of values in the image VOI. A higher kurtosis implies that the mass of the distribution is concent</w:t>
            </w:r>
            <w:r w:rsidRPr="006E495A">
              <w:rPr>
                <w:rFonts w:ascii="Arial" w:eastAsia="宋体" w:hAnsi="Arial" w:cs="Arial"/>
                <w:szCs w:val="21"/>
              </w:rPr>
              <w:t>rated towards the tail(s) rather than towards the mean. A lower kurtosis implies the reverse: that the mass of the distribution is concentrated towards a spike near the Mean value.</w:t>
            </w:r>
          </w:p>
        </w:tc>
      </w:tr>
      <w:tr w:rsidR="00B05B24" w:rsidRPr="006E495A" w14:paraId="5F381A68" w14:textId="77777777">
        <w:tc>
          <w:tcPr>
            <w:tcW w:w="526" w:type="dxa"/>
            <w:vAlign w:val="center"/>
          </w:tcPr>
          <w:p w14:paraId="2EF4680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7</w:t>
            </w:r>
          </w:p>
        </w:tc>
        <w:tc>
          <w:tcPr>
            <w:tcW w:w="1594" w:type="dxa"/>
            <w:vAlign w:val="center"/>
          </w:tcPr>
          <w:p w14:paraId="7148A09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</w:t>
            </w:r>
          </w:p>
        </w:tc>
        <w:tc>
          <w:tcPr>
            <w:tcW w:w="7230" w:type="dxa"/>
            <w:vAlign w:val="center"/>
          </w:tcPr>
          <w:p w14:paraId="0A46F52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maximum gray level intensity within the VOI.</w:t>
            </w:r>
          </w:p>
        </w:tc>
      </w:tr>
      <w:tr w:rsidR="00B05B24" w:rsidRPr="006E495A" w14:paraId="121C3A8C" w14:textId="77777777">
        <w:tc>
          <w:tcPr>
            <w:tcW w:w="526" w:type="dxa"/>
            <w:vAlign w:val="center"/>
          </w:tcPr>
          <w:p w14:paraId="0659F2E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1594" w:type="dxa"/>
            <w:vAlign w:val="center"/>
          </w:tcPr>
          <w:p w14:paraId="43C9648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Mean </w:t>
            </w:r>
            <w:r w:rsidRPr="006E495A">
              <w:rPr>
                <w:rFonts w:ascii="Arial" w:eastAsia="宋体" w:hAnsi="Arial" w:cs="Arial"/>
                <w:szCs w:val="21"/>
              </w:rPr>
              <w:t>Absolute Deviation</w:t>
            </w:r>
          </w:p>
        </w:tc>
        <w:tc>
          <w:tcPr>
            <w:tcW w:w="7230" w:type="dxa"/>
            <w:vAlign w:val="center"/>
          </w:tcPr>
          <w:p w14:paraId="2023A27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Mean Absolute Deviation is the mean distance of all intensity values from the Mean Value of the image array.</w:t>
            </w:r>
          </w:p>
        </w:tc>
      </w:tr>
      <w:tr w:rsidR="00B05B24" w:rsidRPr="006E495A" w14:paraId="1D94C9B0" w14:textId="77777777">
        <w:tc>
          <w:tcPr>
            <w:tcW w:w="526" w:type="dxa"/>
            <w:vAlign w:val="center"/>
          </w:tcPr>
          <w:p w14:paraId="5FFED0B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1594" w:type="dxa"/>
            <w:vAlign w:val="center"/>
          </w:tcPr>
          <w:p w14:paraId="4D9AF89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Mean</w:t>
            </w:r>
          </w:p>
        </w:tc>
        <w:tc>
          <w:tcPr>
            <w:tcW w:w="7230" w:type="dxa"/>
            <w:vAlign w:val="center"/>
          </w:tcPr>
          <w:p w14:paraId="4D3FA47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average gray level intensity within the VOI.</w:t>
            </w:r>
          </w:p>
        </w:tc>
      </w:tr>
      <w:tr w:rsidR="00B05B24" w:rsidRPr="006E495A" w14:paraId="7E9C4C7D" w14:textId="77777777">
        <w:tc>
          <w:tcPr>
            <w:tcW w:w="526" w:type="dxa"/>
            <w:vAlign w:val="center"/>
          </w:tcPr>
          <w:p w14:paraId="700A2CB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</w:t>
            </w:r>
          </w:p>
        </w:tc>
        <w:tc>
          <w:tcPr>
            <w:tcW w:w="1594" w:type="dxa"/>
            <w:vAlign w:val="center"/>
          </w:tcPr>
          <w:p w14:paraId="5162692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Median</w:t>
            </w:r>
          </w:p>
        </w:tc>
        <w:tc>
          <w:tcPr>
            <w:tcW w:w="7230" w:type="dxa"/>
            <w:vAlign w:val="center"/>
          </w:tcPr>
          <w:p w14:paraId="4768128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median gray level intensity within the VOI.</w:t>
            </w:r>
          </w:p>
        </w:tc>
      </w:tr>
      <w:tr w:rsidR="00B05B24" w:rsidRPr="006E495A" w14:paraId="03919F10" w14:textId="77777777">
        <w:tc>
          <w:tcPr>
            <w:tcW w:w="526" w:type="dxa"/>
            <w:vAlign w:val="center"/>
          </w:tcPr>
          <w:p w14:paraId="4D2F4A2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11</w:t>
            </w:r>
          </w:p>
        </w:tc>
        <w:tc>
          <w:tcPr>
            <w:tcW w:w="1594" w:type="dxa"/>
            <w:vAlign w:val="center"/>
          </w:tcPr>
          <w:p w14:paraId="2A3B8B1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Minimum</w:t>
            </w:r>
          </w:p>
        </w:tc>
        <w:tc>
          <w:tcPr>
            <w:tcW w:w="7230" w:type="dxa"/>
            <w:vAlign w:val="center"/>
          </w:tcPr>
          <w:p w14:paraId="4952ABB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minimum gray level intensity within the VOI.</w:t>
            </w:r>
          </w:p>
        </w:tc>
      </w:tr>
      <w:tr w:rsidR="00B05B24" w:rsidRPr="006E495A" w14:paraId="726AFA47" w14:textId="77777777">
        <w:tc>
          <w:tcPr>
            <w:tcW w:w="526" w:type="dxa"/>
            <w:vAlign w:val="center"/>
          </w:tcPr>
          <w:p w14:paraId="048FE2A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12</w:t>
            </w:r>
          </w:p>
        </w:tc>
        <w:tc>
          <w:tcPr>
            <w:tcW w:w="1594" w:type="dxa"/>
            <w:vAlign w:val="center"/>
          </w:tcPr>
          <w:p w14:paraId="1EF7299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Range</w:t>
            </w:r>
          </w:p>
        </w:tc>
        <w:tc>
          <w:tcPr>
            <w:tcW w:w="7230" w:type="dxa"/>
            <w:vAlign w:val="center"/>
          </w:tcPr>
          <w:p w14:paraId="0B024DA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range of gray values in the VOI.</w:t>
            </w:r>
          </w:p>
        </w:tc>
      </w:tr>
      <w:tr w:rsidR="00B05B24" w:rsidRPr="006E495A" w14:paraId="09EC7FF2" w14:textId="77777777">
        <w:tc>
          <w:tcPr>
            <w:tcW w:w="526" w:type="dxa"/>
            <w:vAlign w:val="center"/>
          </w:tcPr>
          <w:p w14:paraId="0D106F7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1594" w:type="dxa"/>
            <w:vAlign w:val="center"/>
          </w:tcPr>
          <w:p w14:paraId="4A91748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Robust Mean Absolute Deviation</w:t>
            </w:r>
          </w:p>
        </w:tc>
        <w:tc>
          <w:tcPr>
            <w:tcW w:w="7230" w:type="dxa"/>
            <w:vAlign w:val="center"/>
          </w:tcPr>
          <w:p w14:paraId="4931789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Robust Mean Absolute Deviation is the mean distance of all intensity values from the Mean Value calculated on the sub</w:t>
            </w:r>
            <w:r w:rsidRPr="006E495A">
              <w:rPr>
                <w:rFonts w:ascii="Arial" w:eastAsia="宋体" w:hAnsi="Arial" w:cs="Arial"/>
                <w:szCs w:val="21"/>
              </w:rPr>
              <w:t>set of image array with gray levels in between, or equal to the 10th and 90th percentile.</w:t>
            </w:r>
          </w:p>
        </w:tc>
      </w:tr>
      <w:tr w:rsidR="00B05B24" w:rsidRPr="006E495A" w14:paraId="54DFC803" w14:textId="77777777">
        <w:tc>
          <w:tcPr>
            <w:tcW w:w="526" w:type="dxa"/>
            <w:vAlign w:val="center"/>
          </w:tcPr>
          <w:p w14:paraId="50F50BC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1594" w:type="dxa"/>
            <w:vAlign w:val="center"/>
          </w:tcPr>
          <w:p w14:paraId="63D1B93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Root Mean Squared</w:t>
            </w:r>
          </w:p>
        </w:tc>
        <w:tc>
          <w:tcPr>
            <w:tcW w:w="7230" w:type="dxa"/>
            <w:vAlign w:val="center"/>
          </w:tcPr>
          <w:p w14:paraId="7FBB70B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RMS is the square-root of the mean of all the squared intensity values. It is another measure of the magnitude of the image values. This feature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 is volume-confounded, a larger value of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ccincreases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 xml:space="preserve"> the effect of volume-confounding.</w:t>
            </w:r>
          </w:p>
        </w:tc>
      </w:tr>
      <w:tr w:rsidR="00B05B24" w:rsidRPr="006E495A" w14:paraId="2D8BCBE2" w14:textId="77777777">
        <w:tc>
          <w:tcPr>
            <w:tcW w:w="526" w:type="dxa"/>
            <w:vAlign w:val="center"/>
          </w:tcPr>
          <w:p w14:paraId="2809097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15</w:t>
            </w:r>
          </w:p>
        </w:tc>
        <w:tc>
          <w:tcPr>
            <w:tcW w:w="1594" w:type="dxa"/>
            <w:vAlign w:val="center"/>
          </w:tcPr>
          <w:p w14:paraId="7DBCBCB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Skewness</w:t>
            </w:r>
          </w:p>
        </w:tc>
        <w:tc>
          <w:tcPr>
            <w:tcW w:w="7230" w:type="dxa"/>
            <w:vAlign w:val="center"/>
          </w:tcPr>
          <w:p w14:paraId="4C9FE7C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Skewness measures the asymmetry of the distribution of values about the Mean value. Depending on where the tail is elongated and the mass of the </w:t>
            </w:r>
            <w:r w:rsidRPr="006E495A">
              <w:rPr>
                <w:rFonts w:ascii="Arial" w:eastAsia="宋体" w:hAnsi="Arial" w:cs="Arial"/>
                <w:szCs w:val="21"/>
              </w:rPr>
              <w:t>distribution is concentrated, this value can be positive or negative.</w:t>
            </w:r>
          </w:p>
        </w:tc>
      </w:tr>
      <w:tr w:rsidR="00B05B24" w:rsidRPr="006E495A" w14:paraId="58A9A33A" w14:textId="77777777">
        <w:tc>
          <w:tcPr>
            <w:tcW w:w="526" w:type="dxa"/>
            <w:vAlign w:val="center"/>
          </w:tcPr>
          <w:p w14:paraId="671969F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16</w:t>
            </w:r>
          </w:p>
        </w:tc>
        <w:tc>
          <w:tcPr>
            <w:tcW w:w="1594" w:type="dxa"/>
            <w:vAlign w:val="center"/>
          </w:tcPr>
          <w:p w14:paraId="5503839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Total Energy</w:t>
            </w:r>
          </w:p>
        </w:tc>
        <w:tc>
          <w:tcPr>
            <w:tcW w:w="7230" w:type="dxa"/>
            <w:vAlign w:val="center"/>
          </w:tcPr>
          <w:p w14:paraId="02DC4E0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Total Energy is the value of Energy feature scaled by the volume of the voxel in cubic mm.</w:t>
            </w:r>
          </w:p>
        </w:tc>
      </w:tr>
      <w:tr w:rsidR="00B05B24" w:rsidRPr="006E495A" w14:paraId="41146EEA" w14:textId="77777777">
        <w:tc>
          <w:tcPr>
            <w:tcW w:w="526" w:type="dxa"/>
            <w:vAlign w:val="center"/>
          </w:tcPr>
          <w:p w14:paraId="7EE7D59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17</w:t>
            </w:r>
          </w:p>
        </w:tc>
        <w:tc>
          <w:tcPr>
            <w:tcW w:w="1594" w:type="dxa"/>
            <w:vAlign w:val="center"/>
          </w:tcPr>
          <w:p w14:paraId="1EFAEE4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Uniformity</w:t>
            </w:r>
          </w:p>
        </w:tc>
        <w:tc>
          <w:tcPr>
            <w:tcW w:w="7230" w:type="dxa"/>
            <w:vAlign w:val="center"/>
          </w:tcPr>
          <w:p w14:paraId="1B95135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Uniformity is a measure of the sum of the squares of each inten</w:t>
            </w:r>
            <w:r w:rsidRPr="006E495A">
              <w:rPr>
                <w:rFonts w:ascii="Arial" w:eastAsia="宋体" w:hAnsi="Arial" w:cs="Arial"/>
                <w:szCs w:val="21"/>
              </w:rPr>
              <w:t>sity value. This is a measure of the homogeneity of the image array, where a greater uniformity implies a greater homogeneity or a smaller range of discrete intensity values.</w:t>
            </w:r>
          </w:p>
        </w:tc>
      </w:tr>
      <w:tr w:rsidR="00B05B24" w:rsidRPr="006E495A" w14:paraId="444712B7" w14:textId="77777777">
        <w:tc>
          <w:tcPr>
            <w:tcW w:w="526" w:type="dxa"/>
            <w:vAlign w:val="center"/>
          </w:tcPr>
          <w:p w14:paraId="47EFCD3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18</w:t>
            </w:r>
          </w:p>
        </w:tc>
        <w:tc>
          <w:tcPr>
            <w:tcW w:w="1594" w:type="dxa"/>
            <w:vAlign w:val="center"/>
          </w:tcPr>
          <w:p w14:paraId="55A0986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Variance</w:t>
            </w:r>
          </w:p>
        </w:tc>
        <w:tc>
          <w:tcPr>
            <w:tcW w:w="7230" w:type="dxa"/>
            <w:vAlign w:val="center"/>
          </w:tcPr>
          <w:p w14:paraId="0D02ECE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Variance is the 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the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 xml:space="preserve"> mean of the squared distances of each intensity </w:t>
            </w:r>
            <w:r w:rsidRPr="006E495A">
              <w:rPr>
                <w:rFonts w:ascii="Arial" w:eastAsia="宋体" w:hAnsi="Arial" w:cs="Arial"/>
                <w:szCs w:val="21"/>
              </w:rPr>
              <w:t>value from the Mean value. This is a measure of the spread of the distribution about the mean. </w:t>
            </w:r>
          </w:p>
        </w:tc>
      </w:tr>
    </w:tbl>
    <w:p w14:paraId="75A5C42E" w14:textId="77777777" w:rsidR="00B05B24" w:rsidRPr="006E495A" w:rsidRDefault="00B05B24">
      <w:pPr>
        <w:spacing w:line="360" w:lineRule="auto"/>
        <w:jc w:val="left"/>
        <w:rPr>
          <w:rFonts w:ascii="Arial" w:eastAsiaTheme="minorHAnsi" w:hAnsi="Arial" w:cs="Arial"/>
          <w:kern w:val="0"/>
          <w:szCs w:val="21"/>
          <w:lang w:eastAsia="en-US"/>
        </w:rPr>
      </w:pPr>
    </w:p>
    <w:p w14:paraId="73640069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r w:rsidRPr="006E495A">
        <w:rPr>
          <w:rFonts w:ascii="Arial" w:hAnsi="Arial" w:cs="Arial"/>
          <w:b/>
          <w:i/>
          <w:szCs w:val="21"/>
        </w:rPr>
        <w:t>Group 2. Shape features</w:t>
      </w:r>
    </w:p>
    <w:p w14:paraId="5E70A4F8" w14:textId="77777777" w:rsidR="00B05B24" w:rsidRPr="006E495A" w:rsidRDefault="005A6949">
      <w:pPr>
        <w:spacing w:line="360" w:lineRule="auto"/>
        <w:ind w:firstLine="720"/>
        <w:rPr>
          <w:rFonts w:ascii="Arial" w:eastAsia="Calibri" w:hAnsi="Arial" w:cs="Arial"/>
          <w:kern w:val="0"/>
          <w:szCs w:val="21"/>
          <w:lang w:eastAsia="en-US"/>
        </w:rPr>
      </w:pPr>
      <w:r w:rsidRPr="006E495A">
        <w:rPr>
          <w:rFonts w:ascii="Arial" w:eastAsia="Calibri" w:hAnsi="Arial" w:cs="Arial"/>
          <w:kern w:val="0"/>
          <w:szCs w:val="21"/>
          <w:lang w:eastAsia="en-US"/>
        </w:rPr>
        <w:t>Shape features describe the morphological property</w:t>
      </w:r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</w:t>
      </w:r>
      <w:r w:rsidRPr="006E495A">
        <w:rPr>
          <w:rFonts w:ascii="Arial" w:eastAsia="Calibri" w:hAnsi="Arial" w:cs="Arial"/>
          <w:kern w:val="0"/>
          <w:szCs w:val="21"/>
          <w:lang w:eastAsia="en-US"/>
        </w:rPr>
        <w:t>of the V</w:t>
      </w:r>
      <w:bookmarkStart w:id="1" w:name="OLE_LINK11"/>
      <w:r w:rsidRPr="006E495A">
        <w:rPr>
          <w:rFonts w:ascii="Arial" w:eastAsia="Calibri" w:hAnsi="Arial" w:cs="Arial"/>
          <w:kern w:val="0"/>
          <w:szCs w:val="21"/>
          <w:lang w:eastAsia="en-US"/>
        </w:rPr>
        <w:t>OI and were generated from only the image without filtration.</w:t>
      </w:r>
      <w:bookmarkEnd w:id="1"/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</w:t>
      </w:r>
      <m:oMath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v</m:t>
            </m:r>
          </m:sub>
        </m:sSub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represent the number of voxels included in the VOI. </w:t>
      </w:r>
      <m:oMath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f</m:t>
            </m:r>
          </m:sub>
        </m:sSub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 represent the number of faces (triangles) defining the Mesh. </w:t>
      </w:r>
    </w:p>
    <w:p w14:paraId="22759C6E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S2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Descriptions of all features for shape-based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1587"/>
        <w:gridCol w:w="7237"/>
      </w:tblGrid>
      <w:tr w:rsidR="00B05B24" w:rsidRPr="006E495A" w14:paraId="7D88FBF5" w14:textId="77777777">
        <w:tc>
          <w:tcPr>
            <w:tcW w:w="526" w:type="dxa"/>
            <w:vAlign w:val="center"/>
          </w:tcPr>
          <w:p w14:paraId="14FEF5B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No.</w:t>
            </w:r>
          </w:p>
        </w:tc>
        <w:tc>
          <w:tcPr>
            <w:tcW w:w="1587" w:type="dxa"/>
            <w:vAlign w:val="center"/>
          </w:tcPr>
          <w:p w14:paraId="14261BF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Feature names</w:t>
            </w:r>
          </w:p>
        </w:tc>
        <w:tc>
          <w:tcPr>
            <w:tcW w:w="7237" w:type="dxa"/>
            <w:vAlign w:val="center"/>
          </w:tcPr>
          <w:p w14:paraId="150BB77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279AA963" w14:textId="77777777">
        <w:tc>
          <w:tcPr>
            <w:tcW w:w="526" w:type="dxa"/>
            <w:vAlign w:val="center"/>
          </w:tcPr>
          <w:p w14:paraId="0B36CFA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1587" w:type="dxa"/>
            <w:vAlign w:val="center"/>
          </w:tcPr>
          <w:p w14:paraId="50C9180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Elongation</w:t>
            </w:r>
          </w:p>
        </w:tc>
        <w:tc>
          <w:tcPr>
            <w:tcW w:w="7237" w:type="dxa"/>
            <w:vAlign w:val="center"/>
          </w:tcPr>
          <w:p w14:paraId="4DAAAC2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Elongation </w:t>
            </w:r>
            <w:r w:rsidRPr="006E495A">
              <w:rPr>
                <w:rFonts w:ascii="Arial" w:eastAsia="宋体" w:hAnsi="Arial" w:cs="Arial"/>
                <w:szCs w:val="21"/>
              </w:rPr>
              <w:t>shows the relationship between the two largest principal components in the VOI shape.</w:t>
            </w:r>
          </w:p>
        </w:tc>
      </w:tr>
      <w:tr w:rsidR="00B05B24" w:rsidRPr="006E495A" w14:paraId="02B97915" w14:textId="77777777">
        <w:tc>
          <w:tcPr>
            <w:tcW w:w="526" w:type="dxa"/>
            <w:vAlign w:val="center"/>
          </w:tcPr>
          <w:p w14:paraId="7360F94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1587" w:type="dxa"/>
            <w:vAlign w:val="center"/>
          </w:tcPr>
          <w:p w14:paraId="6A4903F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Flatness</w:t>
            </w:r>
          </w:p>
        </w:tc>
        <w:tc>
          <w:tcPr>
            <w:tcW w:w="7237" w:type="dxa"/>
            <w:vAlign w:val="center"/>
          </w:tcPr>
          <w:p w14:paraId="0E2A2AD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Flatness shows the relationship between the largest and smallest principal components in the VOI shape. </w:t>
            </w:r>
          </w:p>
        </w:tc>
      </w:tr>
      <w:tr w:rsidR="00B05B24" w:rsidRPr="006E495A" w14:paraId="5BB248BA" w14:textId="77777777">
        <w:tc>
          <w:tcPr>
            <w:tcW w:w="526" w:type="dxa"/>
            <w:vAlign w:val="center"/>
          </w:tcPr>
          <w:p w14:paraId="2066D65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1587" w:type="dxa"/>
            <w:vAlign w:val="center"/>
          </w:tcPr>
          <w:p w14:paraId="2439E54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Least Axis Length</w:t>
            </w:r>
          </w:p>
        </w:tc>
        <w:tc>
          <w:tcPr>
            <w:tcW w:w="7237" w:type="dxa"/>
            <w:vAlign w:val="center"/>
          </w:tcPr>
          <w:p w14:paraId="5C1CE60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This feature yield the smallest </w:t>
            </w:r>
            <w:r w:rsidRPr="006E495A">
              <w:rPr>
                <w:rFonts w:ascii="Arial" w:eastAsia="宋体" w:hAnsi="Arial" w:cs="Arial"/>
                <w:szCs w:val="21"/>
              </w:rPr>
              <w:t>axis length of the VOI-enclosing ellipsoid and is calculated using the largest principal component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λleast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.</w:t>
            </w:r>
          </w:p>
        </w:tc>
      </w:tr>
      <w:tr w:rsidR="00B05B24" w:rsidRPr="006E495A" w14:paraId="2FD7F471" w14:textId="77777777">
        <w:tc>
          <w:tcPr>
            <w:tcW w:w="526" w:type="dxa"/>
            <w:vAlign w:val="center"/>
          </w:tcPr>
          <w:p w14:paraId="619CF6C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1587" w:type="dxa"/>
            <w:vAlign w:val="center"/>
          </w:tcPr>
          <w:p w14:paraId="5DB385F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Major Axis Length</w:t>
            </w:r>
          </w:p>
        </w:tc>
        <w:tc>
          <w:tcPr>
            <w:tcW w:w="7237" w:type="dxa"/>
            <w:vAlign w:val="center"/>
          </w:tcPr>
          <w:p w14:paraId="4B26F02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This feature yield the largest axis length of the VOI-enclosing ellipsoid and is calculated using the largest principal componen</w:t>
            </w:r>
            <w:r w:rsidRPr="006E495A">
              <w:rPr>
                <w:rFonts w:ascii="Arial" w:eastAsia="宋体" w:hAnsi="Arial" w:cs="Arial"/>
                <w:szCs w:val="21"/>
              </w:rPr>
              <w:t>t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λmajor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.</w:t>
            </w:r>
          </w:p>
        </w:tc>
      </w:tr>
      <w:tr w:rsidR="00B05B24" w:rsidRPr="006E495A" w14:paraId="5B51951A" w14:textId="77777777">
        <w:tc>
          <w:tcPr>
            <w:tcW w:w="526" w:type="dxa"/>
            <w:vAlign w:val="center"/>
          </w:tcPr>
          <w:p w14:paraId="0AC9589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1587" w:type="dxa"/>
            <w:vAlign w:val="center"/>
          </w:tcPr>
          <w:p w14:paraId="69583B8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2D Diameter Column</w:t>
            </w:r>
          </w:p>
        </w:tc>
        <w:tc>
          <w:tcPr>
            <w:tcW w:w="7237" w:type="dxa"/>
            <w:vAlign w:val="center"/>
          </w:tcPr>
          <w:p w14:paraId="78F1478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2D diameter (Column) is defined as the largest pairwise Euclidean distance between tumor surface mesh vertices in the row-slice (usually the coronal) plane.</w:t>
            </w:r>
          </w:p>
        </w:tc>
      </w:tr>
      <w:tr w:rsidR="00B05B24" w:rsidRPr="006E495A" w14:paraId="68C4BA26" w14:textId="77777777">
        <w:tc>
          <w:tcPr>
            <w:tcW w:w="526" w:type="dxa"/>
            <w:vAlign w:val="center"/>
          </w:tcPr>
          <w:p w14:paraId="63D1F3E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1587" w:type="dxa"/>
            <w:vAlign w:val="center"/>
          </w:tcPr>
          <w:p w14:paraId="0887405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Maximum 2D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Diameter Row</w:t>
            </w:r>
          </w:p>
        </w:tc>
        <w:tc>
          <w:tcPr>
            <w:tcW w:w="7237" w:type="dxa"/>
            <w:vAlign w:val="center"/>
          </w:tcPr>
          <w:p w14:paraId="47BAEA8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 xml:space="preserve">Maximum 2D 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diameter (Row) is defined as the largest pairwise Euclidean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distance between tumor surface mesh vertices in the column-slice (usually the sagittal) plane.</w:t>
            </w:r>
          </w:p>
        </w:tc>
      </w:tr>
      <w:tr w:rsidR="00B05B24" w:rsidRPr="006E495A" w14:paraId="75E91452" w14:textId="77777777">
        <w:tc>
          <w:tcPr>
            <w:tcW w:w="526" w:type="dxa"/>
            <w:vAlign w:val="center"/>
          </w:tcPr>
          <w:p w14:paraId="5E2633F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7</w:t>
            </w:r>
          </w:p>
        </w:tc>
        <w:tc>
          <w:tcPr>
            <w:tcW w:w="1587" w:type="dxa"/>
            <w:vAlign w:val="center"/>
          </w:tcPr>
          <w:p w14:paraId="7AA4AE1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Maximum2D Diameter Slice</w:t>
            </w:r>
          </w:p>
        </w:tc>
        <w:tc>
          <w:tcPr>
            <w:tcW w:w="7237" w:type="dxa"/>
            <w:vAlign w:val="center"/>
          </w:tcPr>
          <w:p w14:paraId="1AB6E7D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Maximum 2D diameter (Slice) is defined as the largest pairwise Euclidean </w:t>
            </w:r>
            <w:r w:rsidRPr="006E495A">
              <w:rPr>
                <w:rFonts w:ascii="Arial" w:eastAsia="宋体" w:hAnsi="Arial" w:cs="Arial"/>
                <w:szCs w:val="21"/>
              </w:rPr>
              <w:t>distance between tumor surface mesh vertices in the row-column (generally the axial) plane.</w:t>
            </w:r>
          </w:p>
        </w:tc>
      </w:tr>
      <w:tr w:rsidR="00B05B24" w:rsidRPr="006E495A" w14:paraId="59237D2D" w14:textId="77777777">
        <w:tc>
          <w:tcPr>
            <w:tcW w:w="526" w:type="dxa"/>
            <w:vAlign w:val="center"/>
          </w:tcPr>
          <w:p w14:paraId="09BD793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1587" w:type="dxa"/>
            <w:vAlign w:val="center"/>
          </w:tcPr>
          <w:p w14:paraId="44E0DEE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3D Diameter</w:t>
            </w:r>
          </w:p>
        </w:tc>
        <w:tc>
          <w:tcPr>
            <w:tcW w:w="7237" w:type="dxa"/>
            <w:vAlign w:val="center"/>
          </w:tcPr>
          <w:p w14:paraId="01D4BB5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3D diameter is defined as the largest pairwise Euclidean distance between tumor surface mesh vertices.</w:t>
            </w:r>
          </w:p>
        </w:tc>
      </w:tr>
      <w:tr w:rsidR="00B05B24" w:rsidRPr="006E495A" w14:paraId="4B7C4343" w14:textId="77777777">
        <w:tc>
          <w:tcPr>
            <w:tcW w:w="526" w:type="dxa"/>
            <w:vAlign w:val="center"/>
          </w:tcPr>
          <w:p w14:paraId="4186044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1587" w:type="dxa"/>
            <w:vAlign w:val="center"/>
          </w:tcPr>
          <w:p w14:paraId="4D5E51C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Mesh Volume</w:t>
            </w:r>
          </w:p>
        </w:tc>
        <w:tc>
          <w:tcPr>
            <w:tcW w:w="7237" w:type="dxa"/>
            <w:vAlign w:val="center"/>
          </w:tcPr>
          <w:p w14:paraId="3675596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volume of t</w:t>
            </w:r>
            <w:r w:rsidRPr="006E495A">
              <w:rPr>
                <w:rFonts w:ascii="Arial" w:eastAsia="宋体" w:hAnsi="Arial" w:cs="Arial"/>
                <w:szCs w:val="21"/>
              </w:rPr>
              <w:t>he VOI V is calculated from the triangle mesh of the VOI. For each face ii in the mesh, defined by points </w:t>
            </w:r>
            <m:oMath>
              <m:sSub>
                <m:sSubPr>
                  <m:ctrlPr>
                    <w:rPr>
                      <w:rFonts w:ascii="Cambria Math" w:eastAsia="宋体" w:hAnsi="Cambria Math" w:cs="Arial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szCs w:val="21"/>
                    </w:rPr>
                    <m:t>a</m:t>
                  </m:r>
                </m:e>
                <m:sub>
                  <m:r>
                    <w:rPr>
                      <w:rFonts w:ascii="Cambria Math" w:eastAsia="宋体" w:hAnsi="Cambria Math" w:cs="Arial"/>
                      <w:szCs w:val="21"/>
                    </w:rPr>
                    <m:t>i</m:t>
                  </m:r>
                </m:sub>
              </m:sSub>
            </m:oMath>
            <w:r w:rsidRPr="006E495A">
              <w:rPr>
                <w:rFonts w:ascii="Arial" w:eastAsia="宋体" w:hAnsi="Arial" w:cs="Arial"/>
                <w:szCs w:val="21"/>
              </w:rPr>
              <w:t>,</w:t>
            </w:r>
            <m:oMath>
              <m:r>
                <w:rPr>
                  <w:rFonts w:ascii="Cambria Math" w:eastAsia="宋体" w:hAnsi="Cambria Math" w:cs="Arial"/>
                  <w:szCs w:val="21"/>
                </w:rPr>
                <m:t xml:space="preserve"> </m:t>
              </m:r>
              <m:sSub>
                <m:sSubPr>
                  <m:ctrlPr>
                    <w:rPr>
                      <w:rFonts w:ascii="Cambria Math" w:eastAsia="宋体" w:hAnsi="Cambria Math" w:cs="Arial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szCs w:val="21"/>
                    </w:rPr>
                    <m:t>b</m:t>
                  </m:r>
                </m:e>
                <m:sub>
                  <m:r>
                    <w:rPr>
                      <w:rFonts w:ascii="Cambria Math" w:eastAsia="宋体" w:hAnsi="Cambria Math" w:cs="Arial"/>
                      <w:szCs w:val="21"/>
                    </w:rPr>
                    <m:t>i</m:t>
                  </m:r>
                </m:sub>
              </m:sSub>
            </m:oMath>
            <w:r w:rsidRPr="006E495A">
              <w:rPr>
                <w:rFonts w:ascii="Arial" w:eastAsia="宋体" w:hAnsi="Arial" w:cs="Arial"/>
                <w:szCs w:val="21"/>
              </w:rPr>
              <w:t>, and </w:t>
            </w:r>
            <m:oMath>
              <m:sSub>
                <m:sSubPr>
                  <m:ctrlPr>
                    <w:rPr>
                      <w:rFonts w:ascii="Cambria Math" w:eastAsia="宋体" w:hAnsi="Cambria Math" w:cs="Arial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szCs w:val="21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Arial"/>
                      <w:szCs w:val="21"/>
                    </w:rPr>
                    <m:t>i</m:t>
                  </m:r>
                </m:sub>
              </m:sSub>
            </m:oMath>
            <w:r w:rsidRPr="006E495A">
              <w:rPr>
                <w:rFonts w:ascii="Arial" w:eastAsia="宋体" w:hAnsi="Arial" w:cs="Arial"/>
                <w:szCs w:val="21"/>
              </w:rPr>
              <w:t>, the (signed) volume </w:t>
            </w:r>
            <m:oMath>
              <m:sSub>
                <m:sSubPr>
                  <m:ctrlPr>
                    <w:rPr>
                      <w:rFonts w:ascii="Cambria Math" w:eastAsia="宋体" w:hAnsi="Cambria Math" w:cs="Arial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szCs w:val="21"/>
                    </w:rPr>
                    <m:t>V</m:t>
                  </m:r>
                </m:e>
                <m:sub>
                  <m:r>
                    <w:rPr>
                      <w:rFonts w:ascii="Cambria Math" w:eastAsia="宋体" w:hAnsi="Cambria Math" w:cs="Arial"/>
                      <w:szCs w:val="21"/>
                    </w:rPr>
                    <m:t>f</m:t>
                  </m:r>
                </m:sub>
              </m:sSub>
            </m:oMath>
            <w:r w:rsidRPr="006E495A">
              <w:rPr>
                <w:rFonts w:ascii="Arial" w:eastAsia="宋体" w:hAnsi="Arial" w:cs="Arial"/>
                <w:szCs w:val="21"/>
              </w:rPr>
              <w:t xml:space="preserve"> of the tetrahedron defined by that face and the origin of the image (O) is calculated. The sign of the </w:t>
            </w:r>
            <w:r w:rsidRPr="006E495A">
              <w:rPr>
                <w:rFonts w:ascii="Arial" w:eastAsia="宋体" w:hAnsi="Arial" w:cs="Arial"/>
                <w:szCs w:val="21"/>
              </w:rPr>
              <w:t>volume is determined by the sign of the normal, which must be consistently defined as either facing outward or inward of the VOI.</w:t>
            </w:r>
          </w:p>
          <w:p w14:paraId="4EF29649" w14:textId="77777777" w:rsidR="00B05B24" w:rsidRPr="006E495A" w:rsidRDefault="00B05B24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</w:p>
        </w:tc>
      </w:tr>
      <w:tr w:rsidR="00B05B24" w:rsidRPr="006E495A" w14:paraId="58B21096" w14:textId="77777777">
        <w:tc>
          <w:tcPr>
            <w:tcW w:w="526" w:type="dxa"/>
            <w:vAlign w:val="center"/>
          </w:tcPr>
          <w:p w14:paraId="792D4BE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</w:t>
            </w:r>
          </w:p>
        </w:tc>
        <w:tc>
          <w:tcPr>
            <w:tcW w:w="1587" w:type="dxa"/>
            <w:vAlign w:val="center"/>
          </w:tcPr>
          <w:p w14:paraId="59C5288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Minor Axis Length</w:t>
            </w:r>
          </w:p>
        </w:tc>
        <w:tc>
          <w:tcPr>
            <w:tcW w:w="7237" w:type="dxa"/>
            <w:vAlign w:val="center"/>
          </w:tcPr>
          <w:p w14:paraId="7BB137A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This feature yield the second-largest axis length of the VOI-enclosing ellipsoid and is calculated usin</w:t>
            </w:r>
            <w:r w:rsidRPr="006E495A">
              <w:rPr>
                <w:rFonts w:ascii="Arial" w:eastAsia="宋体" w:hAnsi="Arial" w:cs="Arial"/>
                <w:szCs w:val="21"/>
              </w:rPr>
              <w:t>g the largest principal component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λminor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.</w:t>
            </w:r>
          </w:p>
        </w:tc>
      </w:tr>
      <w:tr w:rsidR="00B05B24" w:rsidRPr="006E495A" w14:paraId="5FF71EF0" w14:textId="77777777">
        <w:tc>
          <w:tcPr>
            <w:tcW w:w="526" w:type="dxa"/>
            <w:vAlign w:val="center"/>
          </w:tcPr>
          <w:p w14:paraId="4233266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11</w:t>
            </w:r>
          </w:p>
        </w:tc>
        <w:tc>
          <w:tcPr>
            <w:tcW w:w="1587" w:type="dxa"/>
            <w:vAlign w:val="center"/>
          </w:tcPr>
          <w:p w14:paraId="3F561EE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Sphericity</w:t>
            </w:r>
          </w:p>
        </w:tc>
        <w:tc>
          <w:tcPr>
            <w:tcW w:w="7237" w:type="dxa"/>
            <w:vAlign w:val="center"/>
          </w:tcPr>
          <w:p w14:paraId="65ED698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Sphericity is a measure of the roundness of the shape of the tumor region relative to a sphere. It is a dimensionless measure, independent of scale and orientation. The value range </w:t>
            </w:r>
            <w:r w:rsidRPr="006E495A">
              <w:rPr>
                <w:rFonts w:ascii="Arial" w:eastAsia="宋体" w:hAnsi="Arial" w:cs="Arial"/>
                <w:szCs w:val="21"/>
              </w:rPr>
              <w:t>is 0&lt;sphericity≤10&lt;sphericity≤1, where a value of 1 indicates a perfect sphere (a sphere has the smallest possible surface area for a given volume, compared to other solids).</w:t>
            </w:r>
          </w:p>
        </w:tc>
      </w:tr>
      <w:tr w:rsidR="00B05B24" w:rsidRPr="006E495A" w14:paraId="0D8F4D3B" w14:textId="77777777">
        <w:tc>
          <w:tcPr>
            <w:tcW w:w="526" w:type="dxa"/>
            <w:vAlign w:val="center"/>
          </w:tcPr>
          <w:p w14:paraId="266AB96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12</w:t>
            </w:r>
          </w:p>
        </w:tc>
        <w:tc>
          <w:tcPr>
            <w:tcW w:w="1587" w:type="dxa"/>
            <w:vAlign w:val="center"/>
          </w:tcPr>
          <w:p w14:paraId="6758551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Surface Area</w:t>
            </w:r>
          </w:p>
        </w:tc>
        <w:tc>
          <w:tcPr>
            <w:tcW w:w="7237" w:type="dxa"/>
            <w:vAlign w:val="center"/>
          </w:tcPr>
          <w:p w14:paraId="42C4A8D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To calculate the surface area, first the surface area Ai of each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 triangle in the mesh is calculated. The total surface area is then obtained by taking the sum of all calculated sub-areas.</w:t>
            </w:r>
          </w:p>
        </w:tc>
      </w:tr>
      <w:tr w:rsidR="00B05B24" w:rsidRPr="006E495A" w14:paraId="73A1F784" w14:textId="77777777">
        <w:tc>
          <w:tcPr>
            <w:tcW w:w="526" w:type="dxa"/>
            <w:vAlign w:val="center"/>
          </w:tcPr>
          <w:p w14:paraId="4D92783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1587" w:type="dxa"/>
            <w:vAlign w:val="center"/>
          </w:tcPr>
          <w:p w14:paraId="071AE77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Surface Volume Ratio</w:t>
            </w:r>
          </w:p>
        </w:tc>
        <w:tc>
          <w:tcPr>
            <w:tcW w:w="7237" w:type="dxa"/>
            <w:vAlign w:val="center"/>
          </w:tcPr>
          <w:p w14:paraId="2E2F9CE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 lower value indicates a more compact (sphere-like) shape. This feature is not dimensionless, and is there</w:t>
            </w:r>
            <w:r w:rsidRPr="006E495A">
              <w:rPr>
                <w:rFonts w:ascii="Arial" w:eastAsia="宋体" w:hAnsi="Arial" w:cs="Arial"/>
                <w:szCs w:val="21"/>
              </w:rPr>
              <w:t>fore (partly) dependent on the volume of the VOI.</w:t>
            </w:r>
          </w:p>
        </w:tc>
      </w:tr>
      <w:tr w:rsidR="00B05B24" w:rsidRPr="006E495A" w14:paraId="63E2F08E" w14:textId="77777777">
        <w:tc>
          <w:tcPr>
            <w:tcW w:w="526" w:type="dxa"/>
            <w:vAlign w:val="center"/>
          </w:tcPr>
          <w:p w14:paraId="27A1815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1587" w:type="dxa"/>
            <w:vAlign w:val="center"/>
          </w:tcPr>
          <w:p w14:paraId="79EC6A6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Voxel Volume</w:t>
            </w:r>
          </w:p>
        </w:tc>
        <w:tc>
          <w:tcPr>
            <w:tcW w:w="7237" w:type="dxa"/>
            <w:vAlign w:val="center"/>
          </w:tcPr>
          <w:p w14:paraId="7DBA01C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The volume of the VOI is approximated by multiplying the number of voxels in the VOI by the volume of a single voxel. This is a less precise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approximation of the volume and is not used in s</w:t>
            </w:r>
            <w:r w:rsidRPr="006E495A">
              <w:rPr>
                <w:rFonts w:ascii="Arial" w:eastAsia="宋体" w:hAnsi="Arial" w:cs="Arial"/>
                <w:szCs w:val="21"/>
              </w:rPr>
              <w:t>ubsequent features. This feature does not make use of the mesh and is not used in calculation of other shape features.</w:t>
            </w:r>
          </w:p>
        </w:tc>
      </w:tr>
    </w:tbl>
    <w:p w14:paraId="14335985" w14:textId="77777777" w:rsidR="00B05B24" w:rsidRPr="006E495A" w:rsidRDefault="00B05B24">
      <w:pPr>
        <w:spacing w:line="360" w:lineRule="auto"/>
        <w:rPr>
          <w:rFonts w:ascii="Arial" w:eastAsia="Calibri" w:hAnsi="Arial" w:cs="Arial"/>
          <w:kern w:val="0"/>
          <w:szCs w:val="21"/>
          <w:lang w:eastAsia="en-US"/>
        </w:rPr>
      </w:pPr>
    </w:p>
    <w:p w14:paraId="10FE064E" w14:textId="77777777" w:rsidR="00B05B24" w:rsidRPr="006E495A" w:rsidRDefault="00B05B24">
      <w:pPr>
        <w:rPr>
          <w:rFonts w:ascii="Arial" w:hAnsi="Arial" w:cs="Arial"/>
          <w:szCs w:val="21"/>
        </w:rPr>
      </w:pPr>
    </w:p>
    <w:p w14:paraId="7C44A0A5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r w:rsidRPr="006E495A">
        <w:rPr>
          <w:rFonts w:ascii="Arial" w:hAnsi="Arial" w:cs="Arial"/>
          <w:b/>
          <w:i/>
          <w:szCs w:val="21"/>
        </w:rPr>
        <w:t>Group 3. Gray-Level Co-Occurrence Matrix (GLCM) features</w:t>
      </w:r>
    </w:p>
    <w:p w14:paraId="6FD3D0A0" w14:textId="77777777" w:rsidR="00B05B24" w:rsidRPr="006E495A" w:rsidRDefault="005A6949">
      <w:pPr>
        <w:spacing w:line="360" w:lineRule="auto"/>
        <w:ind w:firstLine="720"/>
        <w:rPr>
          <w:rFonts w:ascii="Arial" w:eastAsia="Calibri" w:hAnsi="Arial" w:cs="Arial"/>
          <w:kern w:val="0"/>
          <w:szCs w:val="21"/>
          <w:lang w:eastAsia="en-US"/>
        </w:rPr>
      </w:pPr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A GLCM is defined as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P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(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,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;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δ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,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α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)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, a matrix with size </w:t>
      </w:r>
      <m:oMath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g</m:t>
            </m:r>
          </m:sub>
        </m:sSub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×</m:t>
        </m:r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g</m:t>
            </m:r>
          </m:sub>
        </m:sSub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describing the second-order joint probability function of an image, where the </w:t>
      </w:r>
      <m:oMath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(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,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)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th element represents the number of times the combination of intensity levels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and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occur in two pixels in the image, that are separated</w:t>
      </w:r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by a distance of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δ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pixels in direction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α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, and </w:t>
      </w:r>
      <m:oMath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g</m:t>
            </m:r>
          </m:sub>
        </m:sSub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is the number of discrete gray level intensities. In this study, distance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δ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was set to 1 and direction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α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to each of the 13 directions in three dimensions, yielding a total of 13 gray level co-occurren</w:t>
      </w:r>
      <w:proofErr w:type="spellStart"/>
      <w:r w:rsidRPr="006E495A">
        <w:rPr>
          <w:rFonts w:ascii="Arial" w:eastAsia="Calibri" w:hAnsi="Arial" w:cs="Arial"/>
          <w:kern w:val="0"/>
          <w:szCs w:val="21"/>
          <w:lang w:eastAsia="en-US"/>
        </w:rPr>
        <w:t>ce</w:t>
      </w:r>
      <w:proofErr w:type="spellEnd"/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matrices for each 3D image. From these gray-level co-occurrence matrices, several textural features are derived. Each 3D gray level co-occurrence based feature was then calculated as the mean of the feature calculations for each of the 13 directions.</w:t>
      </w:r>
    </w:p>
    <w:p w14:paraId="2BF77F8A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S3.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Descriptions of all features for GLCM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2319"/>
        <w:gridCol w:w="6505"/>
      </w:tblGrid>
      <w:tr w:rsidR="00B05B24" w:rsidRPr="006E495A" w14:paraId="3B67346B" w14:textId="77777777">
        <w:tc>
          <w:tcPr>
            <w:tcW w:w="526" w:type="dxa"/>
          </w:tcPr>
          <w:p w14:paraId="50E49CE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No.</w:t>
            </w:r>
          </w:p>
        </w:tc>
        <w:tc>
          <w:tcPr>
            <w:tcW w:w="2319" w:type="dxa"/>
          </w:tcPr>
          <w:p w14:paraId="6D637C7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Feature names</w:t>
            </w:r>
          </w:p>
        </w:tc>
        <w:tc>
          <w:tcPr>
            <w:tcW w:w="6505" w:type="dxa"/>
          </w:tcPr>
          <w:p w14:paraId="1CA9DBF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5212F01F" w14:textId="77777777">
        <w:tc>
          <w:tcPr>
            <w:tcW w:w="526" w:type="dxa"/>
            <w:vAlign w:val="center"/>
          </w:tcPr>
          <w:p w14:paraId="0152C97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2319" w:type="dxa"/>
            <w:vAlign w:val="center"/>
          </w:tcPr>
          <w:p w14:paraId="6008610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Auto Correlation</w:t>
            </w:r>
          </w:p>
        </w:tc>
        <w:tc>
          <w:tcPr>
            <w:tcW w:w="6505" w:type="dxa"/>
          </w:tcPr>
          <w:p w14:paraId="3C7E3DB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Auto correlation is a measure of the magnitude of the fineness and coarseness of texture.</w:t>
            </w:r>
          </w:p>
        </w:tc>
      </w:tr>
      <w:tr w:rsidR="00B05B24" w:rsidRPr="006E495A" w14:paraId="517159F2" w14:textId="77777777">
        <w:tc>
          <w:tcPr>
            <w:tcW w:w="526" w:type="dxa"/>
            <w:vAlign w:val="center"/>
          </w:tcPr>
          <w:p w14:paraId="3B92B02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2319" w:type="dxa"/>
            <w:vAlign w:val="center"/>
          </w:tcPr>
          <w:p w14:paraId="057C884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Joint Average</w:t>
            </w:r>
          </w:p>
        </w:tc>
        <w:tc>
          <w:tcPr>
            <w:tcW w:w="6505" w:type="dxa"/>
          </w:tcPr>
          <w:p w14:paraId="158604C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The mean gray level </w:t>
            </w:r>
            <w:r w:rsidRPr="006E495A">
              <w:rPr>
                <w:rFonts w:ascii="Arial" w:eastAsia="宋体" w:hAnsi="Arial" w:cs="Arial"/>
                <w:szCs w:val="21"/>
              </w:rPr>
              <w:t>intensity of the </w:t>
            </w:r>
            <m:oMath>
              <m:r>
                <m:rPr>
                  <m:sty m:val="p"/>
                </m:rPr>
                <w:rPr>
                  <w:rFonts w:ascii="Cambria Math" w:eastAsia="宋体" w:hAnsi="Cambria Math" w:cs="Arial"/>
                  <w:szCs w:val="21"/>
                </w:rPr>
                <m:t>i</m:t>
              </m:r>
            </m:oMath>
            <w:r w:rsidRPr="006E495A">
              <w:rPr>
                <w:rFonts w:ascii="Arial" w:eastAsia="宋体" w:hAnsi="Arial" w:cs="Arial"/>
                <w:szCs w:val="21"/>
              </w:rPr>
              <w:t> distribution.</w:t>
            </w:r>
          </w:p>
        </w:tc>
      </w:tr>
      <w:tr w:rsidR="00B05B24" w:rsidRPr="006E495A" w14:paraId="52DD0576" w14:textId="77777777">
        <w:tc>
          <w:tcPr>
            <w:tcW w:w="526" w:type="dxa"/>
            <w:vAlign w:val="center"/>
          </w:tcPr>
          <w:p w14:paraId="0494801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2319" w:type="dxa"/>
            <w:vAlign w:val="center"/>
          </w:tcPr>
          <w:p w14:paraId="5002D0C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Cluster Prominence</w:t>
            </w:r>
          </w:p>
        </w:tc>
        <w:tc>
          <w:tcPr>
            <w:tcW w:w="6505" w:type="dxa"/>
          </w:tcPr>
          <w:p w14:paraId="170FC3F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Cluster Prominence is a measure of the skewness and asymmetry of the GLCM. A higher values implies more asymmetry about the mean while a lower value indicates a peak near the mean value and less variat</w:t>
            </w:r>
            <w:r w:rsidRPr="006E495A">
              <w:rPr>
                <w:rFonts w:ascii="Arial" w:eastAsia="宋体" w:hAnsi="Arial" w:cs="Arial"/>
                <w:szCs w:val="21"/>
              </w:rPr>
              <w:t>ion about the mean.</w:t>
            </w:r>
          </w:p>
        </w:tc>
      </w:tr>
      <w:tr w:rsidR="00B05B24" w:rsidRPr="006E495A" w14:paraId="03ED62A1" w14:textId="77777777">
        <w:tc>
          <w:tcPr>
            <w:tcW w:w="526" w:type="dxa"/>
            <w:vAlign w:val="center"/>
          </w:tcPr>
          <w:p w14:paraId="042764F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2319" w:type="dxa"/>
            <w:vAlign w:val="center"/>
          </w:tcPr>
          <w:p w14:paraId="7658730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Cluster Shade</w:t>
            </w:r>
          </w:p>
        </w:tc>
        <w:tc>
          <w:tcPr>
            <w:tcW w:w="6505" w:type="dxa"/>
          </w:tcPr>
          <w:p w14:paraId="3A41A89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Cluster Shade is a measure of the skewness and uniformity of the GLCM. A higher cluster shade implies greater asymmetry about the mean.</w:t>
            </w:r>
          </w:p>
        </w:tc>
      </w:tr>
      <w:tr w:rsidR="00B05B24" w:rsidRPr="006E495A" w14:paraId="2F298E17" w14:textId="77777777">
        <w:tc>
          <w:tcPr>
            <w:tcW w:w="526" w:type="dxa"/>
            <w:vAlign w:val="center"/>
          </w:tcPr>
          <w:p w14:paraId="44ED6FB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2319" w:type="dxa"/>
            <w:vAlign w:val="center"/>
          </w:tcPr>
          <w:p w14:paraId="63E28B6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Cluster Tendency</w:t>
            </w:r>
          </w:p>
        </w:tc>
        <w:tc>
          <w:tcPr>
            <w:tcW w:w="6505" w:type="dxa"/>
          </w:tcPr>
          <w:p w14:paraId="050BC24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Cluster Tendency is a measure of groupings of voxels with 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similar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gray-level values.</w:t>
            </w:r>
          </w:p>
        </w:tc>
      </w:tr>
      <w:tr w:rsidR="00B05B24" w:rsidRPr="006E495A" w14:paraId="0F41F4E7" w14:textId="77777777">
        <w:tc>
          <w:tcPr>
            <w:tcW w:w="526" w:type="dxa"/>
            <w:vAlign w:val="center"/>
          </w:tcPr>
          <w:p w14:paraId="683CCFD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6</w:t>
            </w:r>
          </w:p>
        </w:tc>
        <w:tc>
          <w:tcPr>
            <w:tcW w:w="2319" w:type="dxa"/>
            <w:vAlign w:val="center"/>
          </w:tcPr>
          <w:p w14:paraId="7FFE298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Contrast</w:t>
            </w:r>
          </w:p>
        </w:tc>
        <w:tc>
          <w:tcPr>
            <w:tcW w:w="6505" w:type="dxa"/>
          </w:tcPr>
          <w:p w14:paraId="548BB8E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Contrast is a measure of the local intensity variation, favoring values away from the diagonal (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i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=j). A larger value correlates with a greater disparity in intensity values among neighboring voxels.</w:t>
            </w:r>
          </w:p>
        </w:tc>
      </w:tr>
      <w:tr w:rsidR="00B05B24" w:rsidRPr="006E495A" w14:paraId="75BE8B37" w14:textId="77777777">
        <w:tc>
          <w:tcPr>
            <w:tcW w:w="526" w:type="dxa"/>
            <w:vAlign w:val="center"/>
          </w:tcPr>
          <w:p w14:paraId="705CFA1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7</w:t>
            </w:r>
          </w:p>
        </w:tc>
        <w:tc>
          <w:tcPr>
            <w:tcW w:w="2319" w:type="dxa"/>
            <w:vAlign w:val="center"/>
          </w:tcPr>
          <w:p w14:paraId="39F40D3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Correlation</w:t>
            </w:r>
          </w:p>
        </w:tc>
        <w:tc>
          <w:tcPr>
            <w:tcW w:w="6505" w:type="dxa"/>
          </w:tcPr>
          <w:p w14:paraId="62ABD95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Cor</w:t>
            </w:r>
            <w:r w:rsidRPr="006E495A">
              <w:rPr>
                <w:rFonts w:ascii="Arial" w:eastAsia="宋体" w:hAnsi="Arial" w:cs="Arial"/>
                <w:szCs w:val="21"/>
              </w:rPr>
              <w:t>relation is a value between 0 (uncorrelated) and 1 (perfectly correlated) showing the linear dependency of gray level values to their respective voxels in the GLCM.</w:t>
            </w:r>
          </w:p>
        </w:tc>
      </w:tr>
      <w:tr w:rsidR="00B05B24" w:rsidRPr="006E495A" w14:paraId="5052B4CB" w14:textId="77777777">
        <w:tc>
          <w:tcPr>
            <w:tcW w:w="526" w:type="dxa"/>
            <w:vAlign w:val="center"/>
          </w:tcPr>
          <w:p w14:paraId="29EFB34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2319" w:type="dxa"/>
            <w:vAlign w:val="center"/>
          </w:tcPr>
          <w:p w14:paraId="6BBE16E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Average</w:t>
            </w:r>
          </w:p>
        </w:tc>
        <w:tc>
          <w:tcPr>
            <w:tcW w:w="6505" w:type="dxa"/>
          </w:tcPr>
          <w:p w14:paraId="7681101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Average measures the relationship between occurrences of p</w:t>
            </w:r>
            <w:r w:rsidRPr="006E495A">
              <w:rPr>
                <w:rFonts w:ascii="Arial" w:eastAsia="宋体" w:hAnsi="Arial" w:cs="Arial"/>
                <w:szCs w:val="21"/>
              </w:rPr>
              <w:t>airs with similar intensity values and occurrences of pairs with differing intensity values.</w:t>
            </w:r>
          </w:p>
        </w:tc>
      </w:tr>
      <w:tr w:rsidR="00B05B24" w:rsidRPr="006E495A" w14:paraId="3C09C882" w14:textId="77777777">
        <w:tc>
          <w:tcPr>
            <w:tcW w:w="526" w:type="dxa"/>
            <w:vAlign w:val="center"/>
          </w:tcPr>
          <w:p w14:paraId="0FEEAE6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2319" w:type="dxa"/>
            <w:vAlign w:val="center"/>
          </w:tcPr>
          <w:p w14:paraId="52A4A8E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Entropy</w:t>
            </w:r>
          </w:p>
        </w:tc>
        <w:tc>
          <w:tcPr>
            <w:tcW w:w="6505" w:type="dxa"/>
          </w:tcPr>
          <w:p w14:paraId="11EFEAA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Entropy is a measure of the randomness/variability in neighborhood intensity value differences.</w:t>
            </w:r>
          </w:p>
        </w:tc>
      </w:tr>
      <w:tr w:rsidR="00B05B24" w:rsidRPr="006E495A" w14:paraId="63C49BCA" w14:textId="77777777">
        <w:tc>
          <w:tcPr>
            <w:tcW w:w="526" w:type="dxa"/>
            <w:vAlign w:val="center"/>
          </w:tcPr>
          <w:p w14:paraId="5E5DF3C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</w:t>
            </w:r>
          </w:p>
        </w:tc>
        <w:tc>
          <w:tcPr>
            <w:tcW w:w="2319" w:type="dxa"/>
            <w:vAlign w:val="center"/>
          </w:tcPr>
          <w:p w14:paraId="555DD6E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Variance</w:t>
            </w:r>
          </w:p>
        </w:tc>
        <w:tc>
          <w:tcPr>
            <w:tcW w:w="6505" w:type="dxa"/>
          </w:tcPr>
          <w:p w14:paraId="0C0981C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Difference Variance is a measure of heterogeneity that places higher weights on differing intensity level pairs that deviate more from the mean.</w:t>
            </w:r>
          </w:p>
        </w:tc>
      </w:tr>
      <w:tr w:rsidR="00B05B24" w:rsidRPr="006E495A" w14:paraId="7EA66C55" w14:textId="77777777">
        <w:tc>
          <w:tcPr>
            <w:tcW w:w="526" w:type="dxa"/>
            <w:vAlign w:val="center"/>
          </w:tcPr>
          <w:p w14:paraId="08996ED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11</w:t>
            </w:r>
          </w:p>
        </w:tc>
        <w:tc>
          <w:tcPr>
            <w:tcW w:w="2319" w:type="dxa"/>
            <w:vAlign w:val="center"/>
          </w:tcPr>
          <w:p w14:paraId="013D515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Joint Energy</w:t>
            </w:r>
          </w:p>
        </w:tc>
        <w:tc>
          <w:tcPr>
            <w:tcW w:w="6505" w:type="dxa"/>
          </w:tcPr>
          <w:p w14:paraId="28667BC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Energy is a measure of homogeneous patterns in the image. A greater Energy implies that there </w:t>
            </w:r>
            <w:r w:rsidRPr="006E495A">
              <w:rPr>
                <w:rFonts w:ascii="Arial" w:eastAsia="宋体" w:hAnsi="Arial" w:cs="Arial"/>
                <w:szCs w:val="21"/>
              </w:rPr>
              <w:t>are more instances of intensity value pairs in the image that neighbor each other at higher frequencies.</w:t>
            </w:r>
          </w:p>
        </w:tc>
      </w:tr>
      <w:tr w:rsidR="00B05B24" w:rsidRPr="006E495A" w14:paraId="5D32EC6D" w14:textId="77777777">
        <w:tc>
          <w:tcPr>
            <w:tcW w:w="526" w:type="dxa"/>
            <w:vAlign w:val="center"/>
          </w:tcPr>
          <w:p w14:paraId="519700B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12</w:t>
            </w:r>
          </w:p>
        </w:tc>
        <w:tc>
          <w:tcPr>
            <w:tcW w:w="2319" w:type="dxa"/>
            <w:vAlign w:val="center"/>
          </w:tcPr>
          <w:p w14:paraId="29022F4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Joint Entropy</w:t>
            </w:r>
          </w:p>
        </w:tc>
        <w:tc>
          <w:tcPr>
            <w:tcW w:w="6505" w:type="dxa"/>
          </w:tcPr>
          <w:p w14:paraId="53DCEB1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Joint entropy is a measure of the randomness/variability in neighborhood intensity values.</w:t>
            </w:r>
          </w:p>
        </w:tc>
      </w:tr>
      <w:tr w:rsidR="00B05B24" w:rsidRPr="006E495A" w14:paraId="4506470E" w14:textId="77777777">
        <w:tc>
          <w:tcPr>
            <w:tcW w:w="526" w:type="dxa"/>
            <w:vAlign w:val="center"/>
          </w:tcPr>
          <w:p w14:paraId="05A4F81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2319" w:type="dxa"/>
            <w:vAlign w:val="center"/>
          </w:tcPr>
          <w:p w14:paraId="24CEC38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Informational Measure of </w:t>
            </w:r>
            <w:r w:rsidRPr="006E495A">
              <w:rPr>
                <w:rFonts w:ascii="Arial" w:eastAsia="宋体" w:hAnsi="Arial" w:cs="Arial"/>
                <w:szCs w:val="21"/>
              </w:rPr>
              <w:t>Correlation (IMC1)</w:t>
            </w:r>
          </w:p>
        </w:tc>
        <w:tc>
          <w:tcPr>
            <w:tcW w:w="6505" w:type="dxa"/>
          </w:tcPr>
          <w:p w14:paraId="2B2EFF5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IMC1 assesses the correlation between the probability distributions of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i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 and j, quantifying the complexity of the texture.</w:t>
            </w:r>
          </w:p>
        </w:tc>
      </w:tr>
      <w:tr w:rsidR="00B05B24" w:rsidRPr="006E495A" w14:paraId="6A7835BF" w14:textId="77777777">
        <w:tc>
          <w:tcPr>
            <w:tcW w:w="526" w:type="dxa"/>
            <w:vAlign w:val="center"/>
          </w:tcPr>
          <w:p w14:paraId="1CE0C28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2319" w:type="dxa"/>
            <w:vAlign w:val="center"/>
          </w:tcPr>
          <w:p w14:paraId="759256E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Informational Measure of Correlation (IMC2)</w:t>
            </w:r>
          </w:p>
        </w:tc>
        <w:tc>
          <w:tcPr>
            <w:tcW w:w="6505" w:type="dxa"/>
          </w:tcPr>
          <w:p w14:paraId="0A1BE04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IMC2 also assesses the correlation between the probability distrib</w:t>
            </w:r>
            <w:r w:rsidRPr="006E495A">
              <w:rPr>
                <w:rFonts w:ascii="Arial" w:eastAsia="宋体" w:hAnsi="Arial" w:cs="Arial"/>
                <w:szCs w:val="21"/>
              </w:rPr>
              <w:t>utions of 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i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> and j, quantifying the complexity of the texture.</w:t>
            </w:r>
          </w:p>
        </w:tc>
      </w:tr>
      <w:tr w:rsidR="00B05B24" w:rsidRPr="006E495A" w14:paraId="6E79C7E4" w14:textId="77777777">
        <w:tc>
          <w:tcPr>
            <w:tcW w:w="526" w:type="dxa"/>
            <w:vAlign w:val="center"/>
          </w:tcPr>
          <w:p w14:paraId="20B2C97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15</w:t>
            </w:r>
          </w:p>
        </w:tc>
        <w:tc>
          <w:tcPr>
            <w:tcW w:w="2319" w:type="dxa"/>
            <w:vAlign w:val="center"/>
          </w:tcPr>
          <w:p w14:paraId="05E69A7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Inverse Difference Moment (IDM)</w:t>
            </w:r>
          </w:p>
        </w:tc>
        <w:tc>
          <w:tcPr>
            <w:tcW w:w="6505" w:type="dxa"/>
          </w:tcPr>
          <w:p w14:paraId="7AC18E3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IDM (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a.k.a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 xml:space="preserve"> Homogeneity 2) is a measure of the local homogeneity of an image. </w:t>
            </w:r>
          </w:p>
        </w:tc>
      </w:tr>
      <w:tr w:rsidR="00B05B24" w:rsidRPr="006E495A" w14:paraId="0E1233A7" w14:textId="77777777">
        <w:tc>
          <w:tcPr>
            <w:tcW w:w="526" w:type="dxa"/>
            <w:vAlign w:val="center"/>
          </w:tcPr>
          <w:p w14:paraId="50F6760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16</w:t>
            </w:r>
          </w:p>
        </w:tc>
        <w:tc>
          <w:tcPr>
            <w:tcW w:w="2319" w:type="dxa"/>
            <w:vAlign w:val="center"/>
          </w:tcPr>
          <w:p w14:paraId="1A1AE2A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Inverse Difference Moment Normalized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(IDM)</w:t>
            </w:r>
          </w:p>
        </w:tc>
        <w:tc>
          <w:tcPr>
            <w:tcW w:w="6505" w:type="dxa"/>
          </w:tcPr>
          <w:p w14:paraId="1476010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 xml:space="preserve">IDMN (inverse difference moment normalized) is a measure of the local homogeneity of an image. </w:t>
            </w:r>
          </w:p>
        </w:tc>
      </w:tr>
      <w:tr w:rsidR="00B05B24" w:rsidRPr="006E495A" w14:paraId="53ABF416" w14:textId="77777777">
        <w:tc>
          <w:tcPr>
            <w:tcW w:w="526" w:type="dxa"/>
            <w:vAlign w:val="center"/>
          </w:tcPr>
          <w:p w14:paraId="6B54336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17</w:t>
            </w:r>
          </w:p>
        </w:tc>
        <w:tc>
          <w:tcPr>
            <w:tcW w:w="2319" w:type="dxa"/>
            <w:vAlign w:val="center"/>
          </w:tcPr>
          <w:p w14:paraId="1845F1C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Inverse Difference (Id)</w:t>
            </w:r>
          </w:p>
        </w:tc>
        <w:tc>
          <w:tcPr>
            <w:tcW w:w="6505" w:type="dxa"/>
          </w:tcPr>
          <w:p w14:paraId="4E59520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ID (a.k.a. Homogeneity 1) is another measure of the local homogeneity of an image. With more uniform gray levels, the denominator wi</w:t>
            </w:r>
            <w:r w:rsidRPr="006E495A">
              <w:rPr>
                <w:rFonts w:ascii="Arial" w:eastAsia="宋体" w:hAnsi="Arial" w:cs="Arial"/>
                <w:szCs w:val="21"/>
              </w:rPr>
              <w:t>ll remain low, resulting in a higher overall value.</w:t>
            </w:r>
          </w:p>
        </w:tc>
      </w:tr>
      <w:tr w:rsidR="00B05B24" w:rsidRPr="006E495A" w14:paraId="47A5966B" w14:textId="77777777">
        <w:tc>
          <w:tcPr>
            <w:tcW w:w="526" w:type="dxa"/>
            <w:vAlign w:val="center"/>
          </w:tcPr>
          <w:p w14:paraId="06BFD64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18</w:t>
            </w:r>
          </w:p>
        </w:tc>
        <w:tc>
          <w:tcPr>
            <w:tcW w:w="2319" w:type="dxa"/>
            <w:vAlign w:val="center"/>
          </w:tcPr>
          <w:p w14:paraId="088BEC9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 Inverse Difference Normalized (IDN)</w:t>
            </w:r>
          </w:p>
        </w:tc>
        <w:tc>
          <w:tcPr>
            <w:tcW w:w="6505" w:type="dxa"/>
          </w:tcPr>
          <w:p w14:paraId="7AFFEFF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IDN (inverse difference normalized) is another measure of the local homogeneity of an image. Unlike Homogeneity1, IDN normalizes the difference between the neighbo</w:t>
            </w:r>
            <w:r w:rsidRPr="006E495A">
              <w:rPr>
                <w:rFonts w:ascii="Arial" w:eastAsia="宋体" w:hAnsi="Arial" w:cs="Arial"/>
                <w:szCs w:val="21"/>
              </w:rPr>
              <w:t>ring intensity values by dividing over the total number of discrete intensity values.</w:t>
            </w:r>
          </w:p>
        </w:tc>
      </w:tr>
      <w:tr w:rsidR="00B05B24" w:rsidRPr="006E495A" w14:paraId="51373885" w14:textId="77777777">
        <w:tc>
          <w:tcPr>
            <w:tcW w:w="526" w:type="dxa"/>
            <w:vAlign w:val="center"/>
          </w:tcPr>
          <w:p w14:paraId="36886FF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19</w:t>
            </w:r>
          </w:p>
        </w:tc>
        <w:tc>
          <w:tcPr>
            <w:tcW w:w="2319" w:type="dxa"/>
            <w:vAlign w:val="center"/>
          </w:tcPr>
          <w:p w14:paraId="2B3D5D6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Inverse Variance</w:t>
            </w:r>
          </w:p>
        </w:tc>
        <w:tc>
          <w:tcPr>
            <w:tcW w:w="6505" w:type="dxa"/>
          </w:tcPr>
          <w:p w14:paraId="6C353B7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 Inverse-variance weighting is a method of aggregating two or more random variables to minimize the variance of the weighted average.</w:t>
            </w:r>
          </w:p>
        </w:tc>
      </w:tr>
      <w:tr w:rsidR="00B05B24" w:rsidRPr="006E495A" w14:paraId="3A7612A6" w14:textId="77777777">
        <w:tc>
          <w:tcPr>
            <w:tcW w:w="526" w:type="dxa"/>
            <w:vAlign w:val="center"/>
          </w:tcPr>
          <w:p w14:paraId="4E801C8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20</w:t>
            </w:r>
          </w:p>
        </w:tc>
        <w:tc>
          <w:tcPr>
            <w:tcW w:w="2319" w:type="dxa"/>
            <w:vAlign w:val="center"/>
          </w:tcPr>
          <w:p w14:paraId="23D4766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Probability</w:t>
            </w:r>
          </w:p>
        </w:tc>
        <w:tc>
          <w:tcPr>
            <w:tcW w:w="6505" w:type="dxa"/>
          </w:tcPr>
          <w:p w14:paraId="28CF798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Maximum Probability is occurrences of the most predominant pair of neighboring intensity values.</w:t>
            </w:r>
          </w:p>
        </w:tc>
      </w:tr>
      <w:tr w:rsidR="00B05B24" w:rsidRPr="006E495A" w14:paraId="3D6EBC61" w14:textId="77777777">
        <w:tc>
          <w:tcPr>
            <w:tcW w:w="526" w:type="dxa"/>
            <w:vAlign w:val="center"/>
          </w:tcPr>
          <w:p w14:paraId="5EB645A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21</w:t>
            </w:r>
          </w:p>
        </w:tc>
        <w:tc>
          <w:tcPr>
            <w:tcW w:w="2319" w:type="dxa"/>
            <w:vAlign w:val="center"/>
          </w:tcPr>
          <w:p w14:paraId="119A8E8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Sum Entropy</w:t>
            </w:r>
          </w:p>
        </w:tc>
        <w:tc>
          <w:tcPr>
            <w:tcW w:w="6505" w:type="dxa"/>
          </w:tcPr>
          <w:p w14:paraId="715AA4B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The sum of neighborhood intensity value differences.</w:t>
            </w:r>
          </w:p>
        </w:tc>
      </w:tr>
      <w:tr w:rsidR="00B05B24" w:rsidRPr="006E495A" w14:paraId="3AA4B1E7" w14:textId="77777777">
        <w:tc>
          <w:tcPr>
            <w:tcW w:w="526" w:type="dxa"/>
            <w:vAlign w:val="center"/>
          </w:tcPr>
          <w:p w14:paraId="5C3DA74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22</w:t>
            </w:r>
          </w:p>
        </w:tc>
        <w:tc>
          <w:tcPr>
            <w:tcW w:w="2319" w:type="dxa"/>
            <w:vAlign w:val="center"/>
          </w:tcPr>
          <w:p w14:paraId="4447716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Sum Squares</w:t>
            </w:r>
          </w:p>
        </w:tc>
        <w:tc>
          <w:tcPr>
            <w:tcW w:w="6505" w:type="dxa"/>
          </w:tcPr>
          <w:p w14:paraId="03D5C2F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A measure in the distribution of 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neigboring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 xml:space="preserve"> intensity </w:t>
            </w:r>
            <w:r w:rsidRPr="006E495A">
              <w:rPr>
                <w:rFonts w:ascii="Arial" w:eastAsia="宋体" w:hAnsi="Arial" w:cs="Arial"/>
                <w:szCs w:val="21"/>
              </w:rPr>
              <w:t>level pairs about the mean intensity level in the GLCM.</w:t>
            </w:r>
          </w:p>
        </w:tc>
      </w:tr>
    </w:tbl>
    <w:p w14:paraId="5B49CBA6" w14:textId="77777777" w:rsidR="00B05B24" w:rsidRPr="006E495A" w:rsidRDefault="00B05B24">
      <w:pPr>
        <w:pStyle w:val="10"/>
        <w:spacing w:line="360" w:lineRule="auto"/>
        <w:ind w:left="0"/>
        <w:rPr>
          <w:rFonts w:ascii="Arial" w:hAnsi="Arial" w:cs="Arial"/>
          <w:sz w:val="21"/>
          <w:szCs w:val="21"/>
          <w:lang w:val="en-US"/>
        </w:rPr>
      </w:pPr>
    </w:p>
    <w:p w14:paraId="39168C40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r w:rsidRPr="006E495A">
        <w:rPr>
          <w:rFonts w:ascii="Arial" w:hAnsi="Arial" w:cs="Arial"/>
          <w:b/>
          <w:i/>
          <w:szCs w:val="21"/>
        </w:rPr>
        <w:t>Group 4. Gray-Level Size Zone Matrix (GLSZM) features</w:t>
      </w:r>
    </w:p>
    <w:p w14:paraId="310F5123" w14:textId="77777777" w:rsidR="00B05B24" w:rsidRPr="006E495A" w:rsidRDefault="005A6949">
      <w:pPr>
        <w:widowControl/>
        <w:shd w:val="clear" w:color="auto" w:fill="FCFCFC"/>
        <w:spacing w:line="360" w:lineRule="auto"/>
        <w:ind w:firstLine="720"/>
        <w:jc w:val="left"/>
        <w:rPr>
          <w:rFonts w:ascii="Arial" w:eastAsia="Times New Roman" w:hAnsi="Arial" w:cs="Arial"/>
          <w:kern w:val="0"/>
          <w:szCs w:val="21"/>
        </w:rPr>
      </w:pPr>
      <w:r w:rsidRPr="006E495A">
        <w:rPr>
          <w:rFonts w:ascii="Arial" w:eastAsia="Times New Roman" w:hAnsi="Arial" w:cs="Arial"/>
          <w:kern w:val="0"/>
          <w:szCs w:val="21"/>
        </w:rPr>
        <w:t xml:space="preserve">A Gray Level Size Zone (GLSZM) quantifies gray level zones in an image. A gray level zone is defined as the number of connected voxels that </w:t>
      </w:r>
      <w:r w:rsidRPr="006E495A">
        <w:rPr>
          <w:rFonts w:ascii="Arial" w:eastAsia="Times New Roman" w:hAnsi="Arial" w:cs="Arial"/>
          <w:kern w:val="0"/>
          <w:szCs w:val="21"/>
        </w:rPr>
        <w:t>share the same gray level intensity. A voxel is considered connected if the distance is 1 according to the infinity norm (26-connected region in a 3D, 8-connected region in 2D). In a gray level size zone matrix </w:t>
      </w:r>
      <m:oMath>
        <m:r>
          <w:rPr>
            <w:rFonts w:ascii="Cambria Math" w:eastAsia="Times New Roman" w:hAnsi="Cambria Math" w:cs="Arial"/>
            <w:kern w:val="0"/>
            <w:szCs w:val="21"/>
          </w:rPr>
          <m:t>P</m:t>
        </m:r>
        <m:r>
          <w:rPr>
            <w:rFonts w:ascii="Cambria Math" w:eastAsia="Times New Roman" w:hAnsi="Cambria Math" w:cs="Arial"/>
            <w:kern w:val="0"/>
            <w:szCs w:val="21"/>
          </w:rPr>
          <m:t>(</m:t>
        </m:r>
        <m:r>
          <w:rPr>
            <w:rFonts w:ascii="Cambria Math" w:eastAsia="Times New Roman" w:hAnsi="Cambria Math" w:cs="Arial"/>
            <w:kern w:val="0"/>
            <w:szCs w:val="21"/>
          </w:rPr>
          <m:t>i</m:t>
        </m:r>
        <m:r>
          <w:rPr>
            <w:rFonts w:ascii="Cambria Math" w:eastAsia="Times New Roman" w:hAnsi="Cambria Math" w:cs="Arial"/>
            <w:kern w:val="0"/>
            <w:szCs w:val="21"/>
          </w:rPr>
          <m:t>,</m:t>
        </m:r>
        <m:r>
          <w:rPr>
            <w:rFonts w:ascii="Cambria Math" w:eastAsia="Times New Roman" w:hAnsi="Cambria Math" w:cs="Arial"/>
            <w:kern w:val="0"/>
            <w:szCs w:val="21"/>
          </w:rPr>
          <m:t>j</m:t>
        </m:r>
        <m:r>
          <w:rPr>
            <w:rFonts w:ascii="Cambria Math" w:eastAsia="Times New Roman" w:hAnsi="Cambria Math" w:cs="Arial"/>
            <w:kern w:val="0"/>
            <w:szCs w:val="21"/>
          </w:rPr>
          <m:t>)</m:t>
        </m:r>
      </m:oMath>
      <w:r w:rsidRPr="006E495A">
        <w:rPr>
          <w:rFonts w:ascii="Arial" w:eastAsia="Times New Roman" w:hAnsi="Arial" w:cs="Arial"/>
          <w:kern w:val="0"/>
          <w:szCs w:val="21"/>
        </w:rPr>
        <w:t> the </w:t>
      </w:r>
      <m:oMath>
        <m:sSup>
          <m:sSupPr>
            <m:ctrlPr>
              <w:rPr>
                <w:rFonts w:ascii="Cambria Math" w:eastAsia="Times New Roman" w:hAnsi="Cambria Math" w:cs="Arial"/>
                <w:i/>
                <w:kern w:val="0"/>
                <w:szCs w:val="21"/>
              </w:rPr>
            </m:ctrlPr>
          </m:sSupPr>
          <m:e>
            <m:r>
              <w:rPr>
                <w:rFonts w:ascii="Cambria Math" w:eastAsia="Times New Roman" w:hAnsi="Cambria Math" w:cs="Arial"/>
                <w:kern w:val="0"/>
                <w:szCs w:val="21"/>
              </w:rPr>
              <m:t>(</m:t>
            </m:r>
            <m:r>
              <w:rPr>
                <w:rFonts w:ascii="Cambria Math" w:eastAsia="Times New Roman" w:hAnsi="Cambria Math" w:cs="Arial"/>
                <w:kern w:val="0"/>
                <w:szCs w:val="21"/>
              </w:rPr>
              <m:t>i</m:t>
            </m:r>
            <m:r>
              <w:rPr>
                <w:rFonts w:ascii="Cambria Math" w:eastAsia="Times New Roman" w:hAnsi="Cambria Math" w:cs="Arial"/>
                <w:kern w:val="0"/>
                <w:szCs w:val="21"/>
              </w:rPr>
              <m:t>,</m:t>
            </m:r>
            <m:r>
              <w:rPr>
                <w:rFonts w:ascii="Cambria Math" w:eastAsia="Times New Roman" w:hAnsi="Cambria Math" w:cs="Arial"/>
                <w:kern w:val="0"/>
                <w:szCs w:val="21"/>
              </w:rPr>
              <m:t>j</m:t>
            </m:r>
            <m:r>
              <w:rPr>
                <w:rFonts w:ascii="Cambria Math" w:eastAsia="Times New Roman" w:hAnsi="Cambria Math" w:cs="Arial"/>
                <w:kern w:val="0"/>
                <w:szCs w:val="21"/>
              </w:rPr>
              <m:t>)</m:t>
            </m:r>
          </m:e>
          <m:sup>
            <m:r>
              <w:rPr>
                <w:rFonts w:ascii="Cambria Math" w:eastAsia="Times New Roman" w:hAnsi="Cambria Math" w:cs="Arial"/>
                <w:kern w:val="0"/>
                <w:szCs w:val="21"/>
              </w:rPr>
              <m:t>t</m:t>
            </m:r>
            <m:r>
              <w:rPr>
                <w:rFonts w:ascii="Cambria Math" w:eastAsia="Times New Roman" w:hAnsi="Cambria Math" w:cs="Arial"/>
                <w:kern w:val="0"/>
                <w:szCs w:val="21"/>
              </w:rPr>
              <m:t>h</m:t>
            </m:r>
          </m:sup>
        </m:sSup>
      </m:oMath>
      <w:r w:rsidRPr="006E495A">
        <w:rPr>
          <w:rFonts w:ascii="Arial" w:eastAsia="Times New Roman" w:hAnsi="Arial" w:cs="Arial"/>
          <w:kern w:val="0"/>
          <w:szCs w:val="21"/>
        </w:rPr>
        <w:t xml:space="preserve"> element equals the n</w:t>
      </w:r>
      <w:r w:rsidRPr="006E495A">
        <w:rPr>
          <w:rFonts w:ascii="Arial" w:eastAsia="Times New Roman" w:hAnsi="Arial" w:cs="Arial"/>
          <w:kern w:val="0"/>
          <w:szCs w:val="21"/>
        </w:rPr>
        <w:t>umber of zones with gray level ii and size </w:t>
      </w:r>
      <w:proofErr w:type="spellStart"/>
      <w:r w:rsidRPr="006E495A">
        <w:rPr>
          <w:rFonts w:ascii="Arial" w:eastAsia="Times New Roman" w:hAnsi="Arial" w:cs="Arial"/>
          <w:kern w:val="0"/>
          <w:szCs w:val="21"/>
        </w:rPr>
        <w:t>jj</w:t>
      </w:r>
      <w:proofErr w:type="spellEnd"/>
      <w:r w:rsidRPr="006E495A">
        <w:rPr>
          <w:rFonts w:ascii="Arial" w:eastAsia="Times New Roman" w:hAnsi="Arial" w:cs="Arial"/>
          <w:kern w:val="0"/>
          <w:szCs w:val="21"/>
        </w:rPr>
        <w:t> appear in image. Contrary to GLCM and GLRLM, the GLSZM is rotation independent, with only one matrix calculated for all directions in the VOI.</w:t>
      </w:r>
    </w:p>
    <w:p w14:paraId="33A8760B" w14:textId="77777777" w:rsidR="00B05B24" w:rsidRPr="006E495A" w:rsidRDefault="005A6949">
      <w:pPr>
        <w:widowControl/>
        <w:shd w:val="clear" w:color="auto" w:fill="FCFCFC"/>
        <w:spacing w:line="360" w:lineRule="auto"/>
        <w:jc w:val="left"/>
        <w:rPr>
          <w:rFonts w:ascii="Arial" w:eastAsiaTheme="minorHAnsi" w:hAnsi="Arial" w:cs="Arial"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S4.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Descriptions of all features for GLSZM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2127"/>
        <w:gridCol w:w="6697"/>
      </w:tblGrid>
      <w:tr w:rsidR="00B05B24" w:rsidRPr="006E495A" w14:paraId="07575440" w14:textId="77777777">
        <w:tc>
          <w:tcPr>
            <w:tcW w:w="526" w:type="dxa"/>
            <w:vAlign w:val="center"/>
          </w:tcPr>
          <w:p w14:paraId="60C5650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N</w:t>
            </w:r>
            <w:r w:rsidRPr="006E495A">
              <w:rPr>
                <w:rFonts w:ascii="Arial" w:eastAsia="宋体" w:hAnsi="Arial" w:cs="Arial"/>
                <w:szCs w:val="21"/>
              </w:rPr>
              <w:t>o.</w:t>
            </w:r>
          </w:p>
        </w:tc>
        <w:tc>
          <w:tcPr>
            <w:tcW w:w="2127" w:type="dxa"/>
            <w:vAlign w:val="center"/>
          </w:tcPr>
          <w:p w14:paraId="0FC1A00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Feature names</w:t>
            </w:r>
          </w:p>
        </w:tc>
        <w:tc>
          <w:tcPr>
            <w:tcW w:w="6697" w:type="dxa"/>
            <w:vAlign w:val="center"/>
          </w:tcPr>
          <w:p w14:paraId="1223ED6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08F6C295" w14:textId="77777777">
        <w:tc>
          <w:tcPr>
            <w:tcW w:w="526" w:type="dxa"/>
            <w:vAlign w:val="center"/>
          </w:tcPr>
          <w:p w14:paraId="3C47C7D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1</w:t>
            </w:r>
          </w:p>
        </w:tc>
        <w:tc>
          <w:tcPr>
            <w:tcW w:w="2127" w:type="dxa"/>
            <w:vAlign w:val="center"/>
          </w:tcPr>
          <w:p w14:paraId="28CA132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Non-Uniformity (GLN)</w:t>
            </w:r>
          </w:p>
        </w:tc>
        <w:tc>
          <w:tcPr>
            <w:tcW w:w="6697" w:type="dxa"/>
            <w:vAlign w:val="center"/>
          </w:tcPr>
          <w:p w14:paraId="6B4D20F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GLN measures the variability of gray-level intensity values in the image, with a lower value indicating more homogeneity in intensity values.</w:t>
            </w:r>
          </w:p>
        </w:tc>
      </w:tr>
      <w:tr w:rsidR="00B05B24" w:rsidRPr="006E495A" w14:paraId="2203237B" w14:textId="77777777">
        <w:trPr>
          <w:trHeight w:val="467"/>
        </w:trPr>
        <w:tc>
          <w:tcPr>
            <w:tcW w:w="526" w:type="dxa"/>
            <w:vAlign w:val="center"/>
          </w:tcPr>
          <w:p w14:paraId="7D93849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2127" w:type="dxa"/>
            <w:vAlign w:val="center"/>
          </w:tcPr>
          <w:p w14:paraId="1F52E3C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Gray Level Non-Uniformity Normalized </w:t>
            </w:r>
            <w:r w:rsidRPr="006E495A">
              <w:rPr>
                <w:rFonts w:ascii="Arial" w:eastAsia="宋体" w:hAnsi="Arial" w:cs="Arial"/>
                <w:szCs w:val="21"/>
              </w:rPr>
              <w:t>(GLNN)</w:t>
            </w:r>
          </w:p>
        </w:tc>
        <w:tc>
          <w:tcPr>
            <w:tcW w:w="6697" w:type="dxa"/>
            <w:vAlign w:val="center"/>
          </w:tcPr>
          <w:p w14:paraId="49FA4A5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GLNN measures the variability of gray-level intensity values in the image, with a lower value indicating a greater similarity in intensity values. This is the normalized version of the GLN formula.</w:t>
            </w:r>
          </w:p>
        </w:tc>
      </w:tr>
      <w:tr w:rsidR="00B05B24" w:rsidRPr="006E495A" w14:paraId="17C82EDC" w14:textId="77777777">
        <w:tc>
          <w:tcPr>
            <w:tcW w:w="526" w:type="dxa"/>
            <w:vAlign w:val="center"/>
          </w:tcPr>
          <w:p w14:paraId="6D74F5C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2127" w:type="dxa"/>
            <w:vAlign w:val="center"/>
          </w:tcPr>
          <w:p w14:paraId="3B05DA2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Variance (GLV)</w:t>
            </w:r>
          </w:p>
        </w:tc>
        <w:tc>
          <w:tcPr>
            <w:tcW w:w="6697" w:type="dxa"/>
            <w:vAlign w:val="center"/>
          </w:tcPr>
          <w:p w14:paraId="6A8F554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GLV measures the varia</w:t>
            </w:r>
            <w:r w:rsidRPr="006E495A">
              <w:rPr>
                <w:rFonts w:ascii="Arial" w:eastAsia="宋体" w:hAnsi="Arial" w:cs="Arial"/>
                <w:szCs w:val="21"/>
              </w:rPr>
              <w:t>nce in gray level intensities for the zones.</w:t>
            </w:r>
          </w:p>
        </w:tc>
      </w:tr>
      <w:tr w:rsidR="00B05B24" w:rsidRPr="006E495A" w14:paraId="0A6DAD66" w14:textId="77777777">
        <w:tc>
          <w:tcPr>
            <w:tcW w:w="526" w:type="dxa"/>
            <w:vAlign w:val="center"/>
          </w:tcPr>
          <w:p w14:paraId="75BA772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2127" w:type="dxa"/>
            <w:vAlign w:val="center"/>
          </w:tcPr>
          <w:p w14:paraId="0D78F23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High Gray Level Zone Emphasis (HGLZE)</w:t>
            </w:r>
          </w:p>
        </w:tc>
        <w:tc>
          <w:tcPr>
            <w:tcW w:w="6697" w:type="dxa"/>
            <w:vAlign w:val="center"/>
          </w:tcPr>
          <w:p w14:paraId="73F1484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HGLZE measures the distribution of the higher gray-level values, with a higher value indicating a greater proportion of higher gray-level values and size zones in the </w:t>
            </w:r>
            <w:r w:rsidRPr="006E495A">
              <w:rPr>
                <w:rFonts w:ascii="Arial" w:eastAsia="宋体" w:hAnsi="Arial" w:cs="Arial"/>
                <w:szCs w:val="21"/>
              </w:rPr>
              <w:t>image.</w:t>
            </w:r>
          </w:p>
        </w:tc>
      </w:tr>
      <w:tr w:rsidR="00B05B24" w:rsidRPr="006E495A" w14:paraId="1DA328E2" w14:textId="77777777">
        <w:tc>
          <w:tcPr>
            <w:tcW w:w="526" w:type="dxa"/>
            <w:vAlign w:val="center"/>
          </w:tcPr>
          <w:p w14:paraId="2CA1D62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2127" w:type="dxa"/>
            <w:vAlign w:val="center"/>
          </w:tcPr>
          <w:p w14:paraId="57A0930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Area Emphasis (LAE)</w:t>
            </w:r>
          </w:p>
        </w:tc>
        <w:tc>
          <w:tcPr>
            <w:tcW w:w="6697" w:type="dxa"/>
            <w:vAlign w:val="center"/>
          </w:tcPr>
          <w:p w14:paraId="4635EBC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LAE is a measure of the distribution of large area size zones, with a greater value indicative of larger size zones and more coarse textures.</w:t>
            </w:r>
          </w:p>
        </w:tc>
      </w:tr>
      <w:tr w:rsidR="00B05B24" w:rsidRPr="006E495A" w14:paraId="58991105" w14:textId="77777777">
        <w:tc>
          <w:tcPr>
            <w:tcW w:w="526" w:type="dxa"/>
            <w:vAlign w:val="center"/>
          </w:tcPr>
          <w:p w14:paraId="176415A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2127" w:type="dxa"/>
            <w:vAlign w:val="center"/>
          </w:tcPr>
          <w:p w14:paraId="75A09B2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Area High Gray Level Emphasis (LAHGLE)</w:t>
            </w:r>
          </w:p>
        </w:tc>
        <w:tc>
          <w:tcPr>
            <w:tcW w:w="6697" w:type="dxa"/>
            <w:vAlign w:val="center"/>
          </w:tcPr>
          <w:p w14:paraId="2D6D63C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LAHGLE measures the </w:t>
            </w:r>
            <w:r w:rsidRPr="006E495A">
              <w:rPr>
                <w:rFonts w:ascii="Arial" w:eastAsia="宋体" w:hAnsi="Arial" w:cs="Arial"/>
                <w:szCs w:val="21"/>
              </w:rPr>
              <w:t>proportion in the image of the joint distribution of larger size zones with higher gray-level values.</w:t>
            </w:r>
          </w:p>
        </w:tc>
      </w:tr>
      <w:tr w:rsidR="00B05B24" w:rsidRPr="006E495A" w14:paraId="6E7CC0EA" w14:textId="77777777">
        <w:tc>
          <w:tcPr>
            <w:tcW w:w="526" w:type="dxa"/>
            <w:vAlign w:val="center"/>
          </w:tcPr>
          <w:p w14:paraId="032EDD3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7</w:t>
            </w:r>
          </w:p>
        </w:tc>
        <w:tc>
          <w:tcPr>
            <w:tcW w:w="2127" w:type="dxa"/>
            <w:vAlign w:val="center"/>
          </w:tcPr>
          <w:p w14:paraId="37E925C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Area Low Gray Level Emphasis (LALGLE)</w:t>
            </w:r>
          </w:p>
        </w:tc>
        <w:tc>
          <w:tcPr>
            <w:tcW w:w="6697" w:type="dxa"/>
            <w:vAlign w:val="center"/>
          </w:tcPr>
          <w:p w14:paraId="065B0FE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LALGLE measures the proportion in the image of the joint distribution of larger size zones with lower gray-</w:t>
            </w:r>
            <w:r w:rsidRPr="006E495A">
              <w:rPr>
                <w:rFonts w:ascii="Arial" w:eastAsia="宋体" w:hAnsi="Arial" w:cs="Arial"/>
                <w:szCs w:val="21"/>
              </w:rPr>
              <w:t>level values.</w:t>
            </w:r>
          </w:p>
        </w:tc>
      </w:tr>
      <w:tr w:rsidR="00B05B24" w:rsidRPr="006E495A" w14:paraId="6AAB5336" w14:textId="77777777">
        <w:tc>
          <w:tcPr>
            <w:tcW w:w="526" w:type="dxa"/>
            <w:vAlign w:val="center"/>
          </w:tcPr>
          <w:p w14:paraId="4301C83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2127" w:type="dxa"/>
            <w:vAlign w:val="center"/>
          </w:tcPr>
          <w:p w14:paraId="366AE5E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Low Gray Level Zone Emphasis (LGLZE)</w:t>
            </w:r>
          </w:p>
        </w:tc>
        <w:tc>
          <w:tcPr>
            <w:tcW w:w="6697" w:type="dxa"/>
            <w:vAlign w:val="center"/>
          </w:tcPr>
          <w:p w14:paraId="3E01EB4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LGLZE measures the distribution of lower gray-level size zones, with a higher value indicating a greater proportion of lower gray-level values and size zones in the image.</w:t>
            </w:r>
          </w:p>
        </w:tc>
      </w:tr>
      <w:tr w:rsidR="00B05B24" w:rsidRPr="006E495A" w14:paraId="7561B237" w14:textId="77777777">
        <w:tc>
          <w:tcPr>
            <w:tcW w:w="526" w:type="dxa"/>
            <w:vAlign w:val="center"/>
          </w:tcPr>
          <w:p w14:paraId="49A431B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2127" w:type="dxa"/>
            <w:vAlign w:val="center"/>
          </w:tcPr>
          <w:p w14:paraId="3B13C69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Size Zone Non-Uniformity (S</w:t>
            </w:r>
            <w:r w:rsidRPr="006E495A">
              <w:rPr>
                <w:rFonts w:ascii="Arial" w:eastAsia="宋体" w:hAnsi="Arial" w:cs="Arial"/>
                <w:szCs w:val="21"/>
              </w:rPr>
              <w:t>ZN)</w:t>
            </w:r>
          </w:p>
        </w:tc>
        <w:tc>
          <w:tcPr>
            <w:tcW w:w="6697" w:type="dxa"/>
            <w:vAlign w:val="center"/>
          </w:tcPr>
          <w:p w14:paraId="00B686E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SZN measures the variability of size zone volumes in the image, with a lower value indicating more homogeneity in size zone volumes.</w:t>
            </w:r>
          </w:p>
        </w:tc>
      </w:tr>
      <w:tr w:rsidR="00B05B24" w:rsidRPr="006E495A" w14:paraId="2570A041" w14:textId="77777777">
        <w:tc>
          <w:tcPr>
            <w:tcW w:w="526" w:type="dxa"/>
            <w:vAlign w:val="center"/>
          </w:tcPr>
          <w:p w14:paraId="3FFEDC9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</w:t>
            </w:r>
          </w:p>
        </w:tc>
        <w:tc>
          <w:tcPr>
            <w:tcW w:w="2127" w:type="dxa"/>
            <w:vAlign w:val="center"/>
          </w:tcPr>
          <w:p w14:paraId="2F60A45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Size Zone Non-Uniformity Normalized (SZNN)</w:t>
            </w:r>
          </w:p>
        </w:tc>
        <w:tc>
          <w:tcPr>
            <w:tcW w:w="6697" w:type="dxa"/>
            <w:vAlign w:val="center"/>
          </w:tcPr>
          <w:p w14:paraId="298D1BC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SZNN measures the variability of size zone volumes throughout the 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image, with a lower value indicating more homogeneity among zone size volumes in the image. This is the normalized version of the SZN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formula.</w:t>
            </w:r>
          </w:p>
        </w:tc>
      </w:tr>
      <w:tr w:rsidR="00B05B24" w:rsidRPr="006E495A" w14:paraId="7A007ED6" w14:textId="77777777">
        <w:tc>
          <w:tcPr>
            <w:tcW w:w="526" w:type="dxa"/>
            <w:vAlign w:val="center"/>
          </w:tcPr>
          <w:p w14:paraId="6CC09F1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11</w:t>
            </w:r>
          </w:p>
        </w:tc>
        <w:tc>
          <w:tcPr>
            <w:tcW w:w="2127" w:type="dxa"/>
            <w:vAlign w:val="center"/>
          </w:tcPr>
          <w:p w14:paraId="34A478D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Area Emphasis (SAE)</w:t>
            </w:r>
          </w:p>
        </w:tc>
        <w:tc>
          <w:tcPr>
            <w:tcW w:w="6697" w:type="dxa"/>
            <w:vAlign w:val="center"/>
          </w:tcPr>
          <w:p w14:paraId="24BCCC9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SAE is a measure of the distribution of small size zones, with a greater value indi</w:t>
            </w:r>
            <w:r w:rsidRPr="006E495A">
              <w:rPr>
                <w:rFonts w:ascii="Arial" w:eastAsia="宋体" w:hAnsi="Arial" w:cs="Arial"/>
                <w:szCs w:val="21"/>
              </w:rPr>
              <w:t>cative of smaller size zones and more fine textures.</w:t>
            </w:r>
          </w:p>
        </w:tc>
      </w:tr>
      <w:tr w:rsidR="00B05B24" w:rsidRPr="006E495A" w14:paraId="78223858" w14:textId="77777777">
        <w:tc>
          <w:tcPr>
            <w:tcW w:w="526" w:type="dxa"/>
            <w:vAlign w:val="center"/>
          </w:tcPr>
          <w:p w14:paraId="000EBF5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12</w:t>
            </w:r>
          </w:p>
        </w:tc>
        <w:tc>
          <w:tcPr>
            <w:tcW w:w="2127" w:type="dxa"/>
            <w:vAlign w:val="center"/>
          </w:tcPr>
          <w:p w14:paraId="50D05B1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Area High Gray Level Emphasis (SAHGLE)</w:t>
            </w:r>
          </w:p>
        </w:tc>
        <w:tc>
          <w:tcPr>
            <w:tcW w:w="6697" w:type="dxa"/>
            <w:vAlign w:val="center"/>
          </w:tcPr>
          <w:p w14:paraId="6442F79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SAHGLE measures the proportion in the image of the joint distribution of smaller size zones with higher gray-level values.</w:t>
            </w:r>
          </w:p>
        </w:tc>
      </w:tr>
      <w:tr w:rsidR="00B05B24" w:rsidRPr="006E495A" w14:paraId="0CB0B493" w14:textId="77777777">
        <w:tc>
          <w:tcPr>
            <w:tcW w:w="526" w:type="dxa"/>
            <w:vAlign w:val="center"/>
          </w:tcPr>
          <w:p w14:paraId="53D880E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2127" w:type="dxa"/>
            <w:vAlign w:val="center"/>
          </w:tcPr>
          <w:p w14:paraId="33D5FE5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Area Low Gray Level E</w:t>
            </w:r>
            <w:r w:rsidRPr="006E495A">
              <w:rPr>
                <w:rFonts w:ascii="Arial" w:eastAsia="宋体" w:hAnsi="Arial" w:cs="Arial"/>
                <w:szCs w:val="21"/>
              </w:rPr>
              <w:t>mphasis (SALGLE)</w:t>
            </w:r>
          </w:p>
        </w:tc>
        <w:tc>
          <w:tcPr>
            <w:tcW w:w="6697" w:type="dxa"/>
            <w:vAlign w:val="center"/>
          </w:tcPr>
          <w:p w14:paraId="338B93C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SALGLE measures the proportion in the image of the joint distribution of smaller size zones with lower gray-level values.</w:t>
            </w:r>
          </w:p>
        </w:tc>
      </w:tr>
      <w:tr w:rsidR="00B05B24" w:rsidRPr="006E495A" w14:paraId="33F4C7A8" w14:textId="77777777">
        <w:tc>
          <w:tcPr>
            <w:tcW w:w="526" w:type="dxa"/>
            <w:vAlign w:val="center"/>
          </w:tcPr>
          <w:p w14:paraId="720C343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2127" w:type="dxa"/>
            <w:vAlign w:val="center"/>
          </w:tcPr>
          <w:p w14:paraId="593CAA8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Zone Entropy </w:t>
            </w:r>
          </w:p>
        </w:tc>
        <w:tc>
          <w:tcPr>
            <w:tcW w:w="6697" w:type="dxa"/>
            <w:vAlign w:val="center"/>
          </w:tcPr>
          <w:p w14:paraId="0767CB7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uncertainty/randomness in the distribution of zone sizes and gray levels. A higher val</w:t>
            </w:r>
            <w:r w:rsidRPr="006E495A">
              <w:rPr>
                <w:rFonts w:ascii="Arial" w:eastAsia="宋体" w:hAnsi="Arial" w:cs="Arial"/>
                <w:szCs w:val="21"/>
              </w:rPr>
              <w:t>ue indicates more heterogeneity in the texture patterns.</w:t>
            </w:r>
          </w:p>
        </w:tc>
      </w:tr>
      <w:tr w:rsidR="00B05B24" w:rsidRPr="006E495A" w14:paraId="44CFEADB" w14:textId="77777777">
        <w:tc>
          <w:tcPr>
            <w:tcW w:w="526" w:type="dxa"/>
            <w:vAlign w:val="center"/>
          </w:tcPr>
          <w:p w14:paraId="509C397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15</w:t>
            </w:r>
          </w:p>
        </w:tc>
        <w:tc>
          <w:tcPr>
            <w:tcW w:w="2127" w:type="dxa"/>
            <w:vAlign w:val="center"/>
          </w:tcPr>
          <w:p w14:paraId="145493D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Zone Percentage</w:t>
            </w:r>
          </w:p>
        </w:tc>
        <w:tc>
          <w:tcPr>
            <w:tcW w:w="6697" w:type="dxa"/>
            <w:vAlign w:val="center"/>
          </w:tcPr>
          <w:p w14:paraId="0BB89F9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coarseness of the texture by taking the ratio of number of zones and number of voxels in the VOI.</w:t>
            </w:r>
          </w:p>
        </w:tc>
      </w:tr>
      <w:tr w:rsidR="00B05B24" w:rsidRPr="006E495A" w14:paraId="449080C4" w14:textId="77777777">
        <w:tc>
          <w:tcPr>
            <w:tcW w:w="526" w:type="dxa"/>
            <w:vAlign w:val="center"/>
          </w:tcPr>
          <w:p w14:paraId="77719C7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16</w:t>
            </w:r>
          </w:p>
        </w:tc>
        <w:tc>
          <w:tcPr>
            <w:tcW w:w="2127" w:type="dxa"/>
            <w:vAlign w:val="center"/>
          </w:tcPr>
          <w:p w14:paraId="5C8C50F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Zone Variance </w:t>
            </w:r>
          </w:p>
        </w:tc>
        <w:tc>
          <w:tcPr>
            <w:tcW w:w="6697" w:type="dxa"/>
            <w:vAlign w:val="center"/>
          </w:tcPr>
          <w:p w14:paraId="0E0A84A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Measures the variance in zone size volumes for </w:t>
            </w:r>
            <w:r w:rsidRPr="006E495A">
              <w:rPr>
                <w:rFonts w:ascii="Arial" w:eastAsia="宋体" w:hAnsi="Arial" w:cs="Arial"/>
                <w:szCs w:val="21"/>
              </w:rPr>
              <w:t>the zones.</w:t>
            </w:r>
          </w:p>
        </w:tc>
      </w:tr>
    </w:tbl>
    <w:p w14:paraId="76A8C793" w14:textId="77777777" w:rsidR="00B05B24" w:rsidRPr="006E495A" w:rsidRDefault="00B05B24">
      <w:pPr>
        <w:spacing w:line="480" w:lineRule="auto"/>
        <w:rPr>
          <w:rFonts w:ascii="Arial" w:hAnsi="Arial" w:cs="Arial"/>
          <w:szCs w:val="21"/>
        </w:rPr>
      </w:pPr>
    </w:p>
    <w:p w14:paraId="43FD5394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r w:rsidRPr="006E495A">
        <w:rPr>
          <w:rFonts w:ascii="Arial" w:hAnsi="Arial" w:cs="Arial"/>
          <w:b/>
          <w:i/>
          <w:szCs w:val="21"/>
        </w:rPr>
        <w:t>Group 5. Gray-Level Run-Length Matrix (GLRLM) features</w:t>
      </w:r>
    </w:p>
    <w:p w14:paraId="687C344C" w14:textId="77777777" w:rsidR="00B05B24" w:rsidRPr="006E495A" w:rsidRDefault="005A6949">
      <w:pPr>
        <w:spacing w:line="360" w:lineRule="auto"/>
        <w:ind w:firstLine="720"/>
        <w:rPr>
          <w:rFonts w:ascii="Arial" w:eastAsia="Calibri" w:hAnsi="Arial" w:cs="Arial"/>
          <w:kern w:val="0"/>
          <w:szCs w:val="21"/>
          <w:lang w:eastAsia="en-US"/>
        </w:rPr>
      </w:pPr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Run length metrics quantify gray level runs in an image. A gray level run is defined as the length in number of pixels, of consecutive pixels that have the same gray level value. In a gray level run length matrix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p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(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,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|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θ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)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, the </w:t>
      </w:r>
      <m:oMath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(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,</m:t>
        </m:r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  <m:r>
          <m:rPr>
            <m:sty m:val="p"/>
          </m:rPr>
          <w:rPr>
            <w:rFonts w:ascii="Cambria Math" w:eastAsia="Calibri" w:hAnsi="Cambria Math" w:cs="Arial"/>
            <w:kern w:val="0"/>
            <w:szCs w:val="21"/>
            <w:lang w:eastAsia="en-US"/>
          </w:rPr>
          <m:t>)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>th element describ</w:t>
      </w:r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es the number of times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j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a gray level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i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appears consecutively in the direction specified by </w:t>
      </w:r>
      <m:oMath>
        <m:r>
          <w:rPr>
            <w:rFonts w:ascii="Cambria Math" w:eastAsia="Calibri" w:hAnsi="Cambria Math" w:cs="Arial"/>
            <w:kern w:val="0"/>
            <w:szCs w:val="21"/>
            <w:lang w:eastAsia="en-US"/>
          </w:rPr>
          <m:t>θ</m:t>
        </m:r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, and </w:t>
      </w:r>
      <m:oMath>
        <m:sSub>
          <m:sSubPr>
            <m:ctrlP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</m:ctrlPr>
          </m:sSubPr>
          <m:e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N</m:t>
            </m:r>
          </m:e>
          <m:sub>
            <m:r>
              <w:rPr>
                <w:rFonts w:ascii="Cambria Math" w:eastAsia="Calibri" w:hAnsi="Cambria Math" w:cs="Arial"/>
                <w:kern w:val="0"/>
                <w:szCs w:val="21"/>
                <w:lang w:eastAsia="en-US"/>
              </w:rPr>
              <m:t>g</m:t>
            </m:r>
          </m:sub>
        </m:sSub>
      </m:oMath>
      <w:r w:rsidRPr="006E495A">
        <w:rPr>
          <w:rFonts w:ascii="Arial" w:eastAsia="Calibri" w:hAnsi="Arial" w:cs="Arial"/>
          <w:kern w:val="0"/>
          <w:szCs w:val="21"/>
          <w:lang w:eastAsia="en-US"/>
        </w:rPr>
        <w:t xml:space="preserve"> is the number of discrete gray level intensities. In this study, a GLRL matrix was computed for every of the 13 directions in three dimensions, from </w:t>
      </w:r>
      <w:r w:rsidRPr="006E495A">
        <w:rPr>
          <w:rFonts w:ascii="Arial" w:eastAsia="Calibri" w:hAnsi="Arial" w:cs="Arial"/>
          <w:kern w:val="0"/>
          <w:szCs w:val="21"/>
          <w:lang w:eastAsia="en-US"/>
        </w:rPr>
        <w:t>which the below textural features were derived. Each 3D GLRL feature was then calculated as the mean of the feature values for each of the 13 directions.</w:t>
      </w:r>
    </w:p>
    <w:p w14:paraId="7FEF3826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S5.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Descriptions of all features for GLRLM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2354"/>
        <w:gridCol w:w="6470"/>
      </w:tblGrid>
      <w:tr w:rsidR="00B05B24" w:rsidRPr="006E495A" w14:paraId="3F893548" w14:textId="77777777">
        <w:tc>
          <w:tcPr>
            <w:tcW w:w="526" w:type="dxa"/>
            <w:vAlign w:val="center"/>
          </w:tcPr>
          <w:p w14:paraId="174A034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No.</w:t>
            </w:r>
          </w:p>
        </w:tc>
        <w:tc>
          <w:tcPr>
            <w:tcW w:w="2354" w:type="dxa"/>
            <w:vAlign w:val="center"/>
          </w:tcPr>
          <w:p w14:paraId="0D6C0C1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Feature names</w:t>
            </w:r>
          </w:p>
        </w:tc>
        <w:tc>
          <w:tcPr>
            <w:tcW w:w="6470" w:type="dxa"/>
            <w:vAlign w:val="center"/>
          </w:tcPr>
          <w:p w14:paraId="0519882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06AB92A6" w14:textId="77777777">
        <w:tc>
          <w:tcPr>
            <w:tcW w:w="526" w:type="dxa"/>
            <w:vAlign w:val="center"/>
          </w:tcPr>
          <w:p w14:paraId="0DCDE15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2354" w:type="dxa"/>
            <w:vAlign w:val="center"/>
          </w:tcPr>
          <w:p w14:paraId="2E4A02A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Non Uniformity (GLN)</w:t>
            </w:r>
          </w:p>
        </w:tc>
        <w:tc>
          <w:tcPr>
            <w:tcW w:w="6470" w:type="dxa"/>
            <w:vAlign w:val="center"/>
          </w:tcPr>
          <w:p w14:paraId="6854577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GLN measures the similarity of gray-level intensity values in the image, where a lower GLN value correlates with a greater similarity in intensity values.</w:t>
            </w:r>
          </w:p>
        </w:tc>
      </w:tr>
      <w:tr w:rsidR="00B05B24" w:rsidRPr="006E495A" w14:paraId="7E016DF5" w14:textId="77777777">
        <w:tc>
          <w:tcPr>
            <w:tcW w:w="526" w:type="dxa"/>
            <w:vAlign w:val="center"/>
          </w:tcPr>
          <w:p w14:paraId="7F25A2C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2354" w:type="dxa"/>
            <w:vAlign w:val="center"/>
          </w:tcPr>
          <w:p w14:paraId="61E36AA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Gray Level </w:t>
            </w:r>
            <w:proofErr w:type="spellStart"/>
            <w:r w:rsidRPr="006E495A">
              <w:rPr>
                <w:rFonts w:ascii="Arial" w:eastAsia="宋体" w:hAnsi="Arial" w:cs="Arial"/>
                <w:szCs w:val="21"/>
              </w:rPr>
              <w:t>NonUniformity</w:t>
            </w:r>
            <w:proofErr w:type="spellEnd"/>
            <w:r w:rsidRPr="006E495A">
              <w:rPr>
                <w:rFonts w:ascii="Arial" w:eastAsia="宋体" w:hAnsi="Arial" w:cs="Arial"/>
                <w:szCs w:val="21"/>
              </w:rPr>
              <w:t xml:space="preserve"> Normalized (GLNN)</w:t>
            </w:r>
          </w:p>
        </w:tc>
        <w:tc>
          <w:tcPr>
            <w:tcW w:w="6470" w:type="dxa"/>
            <w:vAlign w:val="center"/>
          </w:tcPr>
          <w:p w14:paraId="6C7FCDA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GLNN measures the similarity of gray-level intensity values in the image, where a lower GLNN value correlates with a greater similarity in intensity values. This is the normalized version of the GLN formula.</w:t>
            </w:r>
          </w:p>
        </w:tc>
      </w:tr>
      <w:tr w:rsidR="00B05B24" w:rsidRPr="006E495A" w14:paraId="2B7DC575" w14:textId="77777777">
        <w:tc>
          <w:tcPr>
            <w:tcW w:w="526" w:type="dxa"/>
            <w:vAlign w:val="center"/>
          </w:tcPr>
          <w:p w14:paraId="17E45E9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2354" w:type="dxa"/>
            <w:vAlign w:val="center"/>
          </w:tcPr>
          <w:p w14:paraId="2F0DBA2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Variance (GLV)</w:t>
            </w:r>
          </w:p>
        </w:tc>
        <w:tc>
          <w:tcPr>
            <w:tcW w:w="6470" w:type="dxa"/>
            <w:vAlign w:val="center"/>
          </w:tcPr>
          <w:p w14:paraId="3CABF25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GLV measures the va</w:t>
            </w:r>
            <w:r w:rsidRPr="006E495A">
              <w:rPr>
                <w:rFonts w:ascii="Arial" w:eastAsia="宋体" w:hAnsi="Arial" w:cs="Arial"/>
                <w:szCs w:val="21"/>
              </w:rPr>
              <w:t>riance in gray level intensity for the runs.</w:t>
            </w:r>
          </w:p>
        </w:tc>
      </w:tr>
      <w:tr w:rsidR="00B05B24" w:rsidRPr="006E495A" w14:paraId="22C18E4C" w14:textId="77777777">
        <w:tc>
          <w:tcPr>
            <w:tcW w:w="526" w:type="dxa"/>
            <w:vAlign w:val="center"/>
          </w:tcPr>
          <w:p w14:paraId="130CF405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2354" w:type="dxa"/>
            <w:vAlign w:val="center"/>
          </w:tcPr>
          <w:p w14:paraId="72FA277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High Gray Level Run Emphasis (LGLRE)</w:t>
            </w:r>
          </w:p>
        </w:tc>
        <w:tc>
          <w:tcPr>
            <w:tcW w:w="6470" w:type="dxa"/>
            <w:vAlign w:val="center"/>
          </w:tcPr>
          <w:p w14:paraId="01C94DF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HGLRE measures the distribution of the higher gray-level values, with a higher value indicating a greater concentration of high gray-level values in the image.</w:t>
            </w:r>
          </w:p>
        </w:tc>
      </w:tr>
      <w:tr w:rsidR="00B05B24" w:rsidRPr="006E495A" w14:paraId="1C580B1B" w14:textId="77777777">
        <w:tc>
          <w:tcPr>
            <w:tcW w:w="526" w:type="dxa"/>
            <w:vAlign w:val="center"/>
          </w:tcPr>
          <w:p w14:paraId="767CB39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2354" w:type="dxa"/>
            <w:vAlign w:val="center"/>
          </w:tcPr>
          <w:p w14:paraId="2903226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Long Run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 Emphasis</w:t>
            </w:r>
          </w:p>
        </w:tc>
        <w:tc>
          <w:tcPr>
            <w:tcW w:w="6470" w:type="dxa"/>
            <w:vAlign w:val="center"/>
          </w:tcPr>
          <w:p w14:paraId="784C25E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LRE is a measure of the distribution of long run lengths, with a greater value indicative of longer run lengths and more coarse structural textures.</w:t>
            </w:r>
          </w:p>
        </w:tc>
      </w:tr>
      <w:tr w:rsidR="00B05B24" w:rsidRPr="006E495A" w14:paraId="3F68BE16" w14:textId="77777777">
        <w:tc>
          <w:tcPr>
            <w:tcW w:w="526" w:type="dxa"/>
            <w:vAlign w:val="center"/>
          </w:tcPr>
          <w:p w14:paraId="78AED72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2354" w:type="dxa"/>
            <w:vAlign w:val="center"/>
          </w:tcPr>
          <w:p w14:paraId="66811D4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Long Run High Gray Level Emphasis (LRHGLRE)</w:t>
            </w:r>
          </w:p>
        </w:tc>
        <w:tc>
          <w:tcPr>
            <w:tcW w:w="6470" w:type="dxa"/>
            <w:vAlign w:val="center"/>
          </w:tcPr>
          <w:p w14:paraId="024C2D0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LRHGLRE measures the joint </w:t>
            </w:r>
            <w:r w:rsidRPr="006E495A">
              <w:rPr>
                <w:rFonts w:ascii="Arial" w:eastAsia="宋体" w:hAnsi="Arial" w:cs="Arial"/>
                <w:szCs w:val="21"/>
              </w:rPr>
              <w:t>distribution of long run lengths with higher gray-level values.</w:t>
            </w:r>
          </w:p>
        </w:tc>
      </w:tr>
      <w:tr w:rsidR="00B05B24" w:rsidRPr="006E495A" w14:paraId="2A10151D" w14:textId="77777777">
        <w:tc>
          <w:tcPr>
            <w:tcW w:w="526" w:type="dxa"/>
            <w:vAlign w:val="center"/>
          </w:tcPr>
          <w:p w14:paraId="3051299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7</w:t>
            </w:r>
          </w:p>
        </w:tc>
        <w:tc>
          <w:tcPr>
            <w:tcW w:w="2354" w:type="dxa"/>
            <w:vAlign w:val="center"/>
          </w:tcPr>
          <w:p w14:paraId="34B536E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Long Run Low Gray Level Emphasis (LRLGLRE)</w:t>
            </w:r>
          </w:p>
        </w:tc>
        <w:tc>
          <w:tcPr>
            <w:tcW w:w="6470" w:type="dxa"/>
            <w:vAlign w:val="center"/>
          </w:tcPr>
          <w:p w14:paraId="270947B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LRLGLRE measures the joint distribution of long run lengths with lower gray-level values.</w:t>
            </w:r>
          </w:p>
        </w:tc>
      </w:tr>
      <w:tr w:rsidR="00B05B24" w:rsidRPr="006E495A" w14:paraId="32ABAC9B" w14:textId="77777777">
        <w:tc>
          <w:tcPr>
            <w:tcW w:w="526" w:type="dxa"/>
            <w:vAlign w:val="center"/>
          </w:tcPr>
          <w:p w14:paraId="4606BBC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2354" w:type="dxa"/>
            <w:vAlign w:val="center"/>
          </w:tcPr>
          <w:p w14:paraId="0B5E644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Low Gray Level Run Emphasis (LGLRE)</w:t>
            </w:r>
          </w:p>
        </w:tc>
        <w:tc>
          <w:tcPr>
            <w:tcW w:w="6470" w:type="dxa"/>
            <w:vAlign w:val="center"/>
          </w:tcPr>
          <w:p w14:paraId="3F3A17B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LGLRE measures th</w:t>
            </w:r>
            <w:r w:rsidRPr="006E495A">
              <w:rPr>
                <w:rFonts w:ascii="Arial" w:eastAsia="宋体" w:hAnsi="Arial" w:cs="Arial"/>
                <w:szCs w:val="21"/>
              </w:rPr>
              <w:t>e distribution of low gray-level values, with a higher value indicating a greater concentration of low gray-level values in the image.</w:t>
            </w:r>
          </w:p>
        </w:tc>
      </w:tr>
      <w:tr w:rsidR="00B05B24" w:rsidRPr="006E495A" w14:paraId="67733D5F" w14:textId="77777777">
        <w:tc>
          <w:tcPr>
            <w:tcW w:w="526" w:type="dxa"/>
            <w:vAlign w:val="center"/>
          </w:tcPr>
          <w:p w14:paraId="7F097ED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2354" w:type="dxa"/>
            <w:vAlign w:val="center"/>
          </w:tcPr>
          <w:p w14:paraId="2A53D15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Run Entropy</w:t>
            </w:r>
          </w:p>
        </w:tc>
        <w:tc>
          <w:tcPr>
            <w:tcW w:w="6470" w:type="dxa"/>
            <w:vAlign w:val="center"/>
          </w:tcPr>
          <w:p w14:paraId="6C933C0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uncertainty/randomness in the distribution of run lengths and gray levels. A higher value ind</w:t>
            </w:r>
            <w:r w:rsidRPr="006E495A">
              <w:rPr>
                <w:rFonts w:ascii="Arial" w:eastAsia="宋体" w:hAnsi="Arial" w:cs="Arial"/>
                <w:szCs w:val="21"/>
              </w:rPr>
              <w:t>icates more heterogeneity in the texture patterns.</w:t>
            </w:r>
          </w:p>
        </w:tc>
      </w:tr>
      <w:tr w:rsidR="00B05B24" w:rsidRPr="006E495A" w14:paraId="760E9498" w14:textId="77777777">
        <w:tc>
          <w:tcPr>
            <w:tcW w:w="526" w:type="dxa"/>
            <w:vAlign w:val="center"/>
          </w:tcPr>
          <w:p w14:paraId="4B065B8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10</w:t>
            </w:r>
          </w:p>
        </w:tc>
        <w:tc>
          <w:tcPr>
            <w:tcW w:w="2354" w:type="dxa"/>
            <w:vAlign w:val="center"/>
          </w:tcPr>
          <w:p w14:paraId="4DF200B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Run Length Non-Uniformity (RLN)</w:t>
            </w:r>
          </w:p>
        </w:tc>
        <w:tc>
          <w:tcPr>
            <w:tcW w:w="6470" w:type="dxa"/>
            <w:vAlign w:val="center"/>
          </w:tcPr>
          <w:p w14:paraId="5813436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RLN measures the similarity of run lengths throughout the image, with a lower value indicating more homogeneity among run lengths in the image.</w:t>
            </w:r>
          </w:p>
        </w:tc>
      </w:tr>
      <w:tr w:rsidR="00B05B24" w:rsidRPr="006E495A" w14:paraId="334C8AC4" w14:textId="77777777">
        <w:tc>
          <w:tcPr>
            <w:tcW w:w="526" w:type="dxa"/>
            <w:vAlign w:val="center"/>
          </w:tcPr>
          <w:p w14:paraId="28678FE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11</w:t>
            </w:r>
          </w:p>
        </w:tc>
        <w:tc>
          <w:tcPr>
            <w:tcW w:w="2354" w:type="dxa"/>
            <w:vAlign w:val="center"/>
          </w:tcPr>
          <w:p w14:paraId="2808F83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Run Length Non-Unifor</w:t>
            </w:r>
            <w:r w:rsidRPr="006E495A">
              <w:rPr>
                <w:rFonts w:ascii="Arial" w:eastAsia="宋体" w:hAnsi="Arial" w:cs="Arial"/>
                <w:szCs w:val="21"/>
              </w:rPr>
              <w:t>mity Normalized</w:t>
            </w:r>
          </w:p>
        </w:tc>
        <w:tc>
          <w:tcPr>
            <w:tcW w:w="6470" w:type="dxa"/>
            <w:vAlign w:val="center"/>
          </w:tcPr>
          <w:p w14:paraId="7B2771F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RLNN measures the similarity of run lengths throughout the image, with a lower value indicating more homogeneity among run lengths in the image. This is the normalized version of the RLN formula.</w:t>
            </w:r>
          </w:p>
        </w:tc>
      </w:tr>
      <w:tr w:rsidR="00B05B24" w:rsidRPr="006E495A" w14:paraId="36828916" w14:textId="77777777">
        <w:tc>
          <w:tcPr>
            <w:tcW w:w="526" w:type="dxa"/>
            <w:vAlign w:val="center"/>
          </w:tcPr>
          <w:p w14:paraId="1A74604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12</w:t>
            </w:r>
          </w:p>
        </w:tc>
        <w:tc>
          <w:tcPr>
            <w:tcW w:w="2354" w:type="dxa"/>
            <w:vAlign w:val="center"/>
          </w:tcPr>
          <w:p w14:paraId="7D9EBD9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Run Percentage</w:t>
            </w:r>
          </w:p>
        </w:tc>
        <w:tc>
          <w:tcPr>
            <w:tcW w:w="6470" w:type="dxa"/>
            <w:vAlign w:val="center"/>
          </w:tcPr>
          <w:p w14:paraId="4DDD1BD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Measures the </w:t>
            </w:r>
            <w:r w:rsidRPr="006E495A">
              <w:rPr>
                <w:rFonts w:ascii="Arial" w:eastAsia="宋体" w:hAnsi="Arial" w:cs="Arial"/>
                <w:szCs w:val="21"/>
              </w:rPr>
              <w:t>coarseness of the texture by taking the ratio of number of runs and number of voxels in the VOI.</w:t>
            </w:r>
          </w:p>
        </w:tc>
      </w:tr>
      <w:tr w:rsidR="00B05B24" w:rsidRPr="006E495A" w14:paraId="42FE2A4B" w14:textId="77777777">
        <w:tc>
          <w:tcPr>
            <w:tcW w:w="526" w:type="dxa"/>
            <w:vAlign w:val="center"/>
          </w:tcPr>
          <w:p w14:paraId="48D1D36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2354" w:type="dxa"/>
            <w:vAlign w:val="center"/>
          </w:tcPr>
          <w:p w14:paraId="34A7078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Run Variance</w:t>
            </w:r>
          </w:p>
        </w:tc>
        <w:tc>
          <w:tcPr>
            <w:tcW w:w="6470" w:type="dxa"/>
            <w:vAlign w:val="center"/>
          </w:tcPr>
          <w:p w14:paraId="06D8B75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 measure of the variance in runs for the run lengths.</w:t>
            </w:r>
          </w:p>
        </w:tc>
      </w:tr>
      <w:tr w:rsidR="00B05B24" w:rsidRPr="006E495A" w14:paraId="5BF5BEF2" w14:textId="77777777">
        <w:tc>
          <w:tcPr>
            <w:tcW w:w="526" w:type="dxa"/>
            <w:vAlign w:val="center"/>
          </w:tcPr>
          <w:p w14:paraId="2BA9671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2354" w:type="dxa"/>
            <w:vAlign w:val="center"/>
          </w:tcPr>
          <w:p w14:paraId="1CE4FA7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Short Run Emphasis (SRE)</w:t>
            </w:r>
          </w:p>
        </w:tc>
        <w:tc>
          <w:tcPr>
            <w:tcW w:w="6470" w:type="dxa"/>
            <w:vAlign w:val="center"/>
          </w:tcPr>
          <w:p w14:paraId="176A16B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SRE is a measure of the distribution of short run lengths,</w:t>
            </w:r>
            <w:r w:rsidRPr="006E495A">
              <w:rPr>
                <w:rFonts w:ascii="Arial" w:eastAsia="宋体" w:hAnsi="Arial" w:cs="Arial"/>
                <w:szCs w:val="21"/>
              </w:rPr>
              <w:t xml:space="preserve"> with a greater value indicative of shorter run lengths and more fine textural textures.</w:t>
            </w:r>
          </w:p>
        </w:tc>
      </w:tr>
      <w:tr w:rsidR="00B05B24" w:rsidRPr="006E495A" w14:paraId="16C876B4" w14:textId="77777777">
        <w:tc>
          <w:tcPr>
            <w:tcW w:w="526" w:type="dxa"/>
            <w:vAlign w:val="center"/>
          </w:tcPr>
          <w:p w14:paraId="7DAB35A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15</w:t>
            </w:r>
          </w:p>
        </w:tc>
        <w:tc>
          <w:tcPr>
            <w:tcW w:w="2354" w:type="dxa"/>
            <w:vAlign w:val="center"/>
          </w:tcPr>
          <w:p w14:paraId="2C3675E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Short Run High Gray Level Emphasis (SRHGLE)</w:t>
            </w:r>
          </w:p>
        </w:tc>
        <w:tc>
          <w:tcPr>
            <w:tcW w:w="6470" w:type="dxa"/>
            <w:vAlign w:val="center"/>
          </w:tcPr>
          <w:p w14:paraId="4054F85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SRHGLE measures the joint distribution of shorter run lengths with higher gray-level values.</w:t>
            </w:r>
          </w:p>
        </w:tc>
      </w:tr>
      <w:tr w:rsidR="00B05B24" w:rsidRPr="006E495A" w14:paraId="1E8B5EC5" w14:textId="77777777">
        <w:tc>
          <w:tcPr>
            <w:tcW w:w="526" w:type="dxa"/>
            <w:vAlign w:val="center"/>
          </w:tcPr>
          <w:p w14:paraId="237EA15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16</w:t>
            </w:r>
          </w:p>
        </w:tc>
        <w:tc>
          <w:tcPr>
            <w:tcW w:w="2354" w:type="dxa"/>
            <w:vAlign w:val="center"/>
          </w:tcPr>
          <w:p w14:paraId="4C00918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Short Run Low Gray Lev</w:t>
            </w:r>
            <w:r w:rsidRPr="006E495A">
              <w:rPr>
                <w:rFonts w:ascii="Arial" w:eastAsia="宋体" w:hAnsi="Arial" w:cs="Arial"/>
                <w:szCs w:val="21"/>
              </w:rPr>
              <w:t>el Emphasis (SRLGLE)</w:t>
            </w:r>
          </w:p>
        </w:tc>
        <w:tc>
          <w:tcPr>
            <w:tcW w:w="6470" w:type="dxa"/>
            <w:vAlign w:val="center"/>
          </w:tcPr>
          <w:p w14:paraId="4CDB926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SRLGLE measures the joint distribution of shorter run lengths with lower gray-level values.</w:t>
            </w:r>
          </w:p>
        </w:tc>
      </w:tr>
    </w:tbl>
    <w:p w14:paraId="63BF62A3" w14:textId="77777777" w:rsidR="00B05B24" w:rsidRPr="006E495A" w:rsidRDefault="00B05B24">
      <w:pPr>
        <w:pStyle w:val="2"/>
        <w:spacing w:line="360" w:lineRule="auto"/>
        <w:ind w:left="0"/>
        <w:rPr>
          <w:rFonts w:ascii="Arial" w:hAnsi="Arial" w:cs="Arial"/>
          <w:sz w:val="21"/>
          <w:szCs w:val="21"/>
          <w:lang w:val="en-US"/>
        </w:rPr>
      </w:pPr>
    </w:p>
    <w:p w14:paraId="4037F476" w14:textId="77777777" w:rsidR="00B05B24" w:rsidRPr="006E495A" w:rsidRDefault="005A6949">
      <w:pPr>
        <w:spacing w:line="480" w:lineRule="auto"/>
        <w:rPr>
          <w:rFonts w:ascii="Arial" w:hAnsi="Arial" w:cs="Arial"/>
          <w:b/>
          <w:i/>
          <w:szCs w:val="21"/>
        </w:rPr>
      </w:pPr>
      <w:r w:rsidRPr="006E495A">
        <w:rPr>
          <w:rFonts w:ascii="Arial" w:hAnsi="Arial" w:cs="Arial"/>
          <w:b/>
          <w:i/>
          <w:szCs w:val="21"/>
        </w:rPr>
        <w:t>Group 6. Gray-Level Dependence Matrix (GLDM) features</w:t>
      </w:r>
    </w:p>
    <w:p w14:paraId="3DAA2643" w14:textId="77777777" w:rsidR="00B05B24" w:rsidRPr="006E495A" w:rsidRDefault="005A6949">
      <w:pPr>
        <w:pStyle w:val="2"/>
        <w:spacing w:line="360" w:lineRule="auto"/>
        <w:ind w:left="0" w:firstLine="720"/>
        <w:rPr>
          <w:rFonts w:ascii="Arial" w:hAnsi="Arial" w:cs="Arial"/>
          <w:sz w:val="21"/>
          <w:szCs w:val="21"/>
          <w:shd w:val="clear" w:color="auto" w:fill="FCFCFC"/>
        </w:rPr>
      </w:pPr>
      <w:r w:rsidRPr="006E495A">
        <w:rPr>
          <w:rFonts w:ascii="Arial" w:hAnsi="Arial" w:cs="Arial"/>
          <w:sz w:val="21"/>
          <w:szCs w:val="21"/>
          <w:shd w:val="clear" w:color="auto" w:fill="FCFCFC"/>
        </w:rPr>
        <w:t xml:space="preserve">A Gray Level Dependence Matrix (GLDM) quantifies gray level dependencies in an </w:t>
      </w:r>
      <w:r w:rsidRPr="006E495A">
        <w:rPr>
          <w:rFonts w:ascii="Arial" w:hAnsi="Arial" w:cs="Arial"/>
          <w:sz w:val="21"/>
          <w:szCs w:val="21"/>
          <w:shd w:val="clear" w:color="auto" w:fill="FCFCFC"/>
        </w:rPr>
        <w:t>image. A gray level dependency is defined as a the number of connected voxels within distance </w:t>
      </w:r>
      <w:r w:rsidRPr="006E495A">
        <w:rPr>
          <w:rStyle w:val="mi"/>
          <w:rFonts w:ascii="Arial" w:hAnsi="Arial" w:cs="Arial"/>
          <w:sz w:val="21"/>
          <w:szCs w:val="21"/>
          <w:shd w:val="clear" w:color="auto" w:fill="FCFCFC"/>
        </w:rPr>
        <w:t>δ</w:t>
      </w:r>
      <w:r w:rsidRPr="006E495A">
        <w:rPr>
          <w:rStyle w:val="mjxassistivemathml"/>
          <w:rFonts w:ascii="Arial" w:hAnsi="Arial" w:cs="Arial"/>
          <w:sz w:val="21"/>
          <w:szCs w:val="21"/>
          <w:shd w:val="clear" w:color="auto" w:fill="FCFCFC"/>
        </w:rPr>
        <w:t>δ</w:t>
      </w:r>
      <w:r w:rsidRPr="006E495A">
        <w:rPr>
          <w:rFonts w:ascii="Arial" w:hAnsi="Arial" w:cs="Arial"/>
          <w:sz w:val="21"/>
          <w:szCs w:val="21"/>
          <w:shd w:val="clear" w:color="auto" w:fill="FCFCFC"/>
        </w:rPr>
        <w:t> that are dependent on the center voxel. A neighbouring voxel with gray level </w:t>
      </w:r>
      <w:r w:rsidRPr="006E495A">
        <w:rPr>
          <w:rStyle w:val="mi"/>
          <w:rFonts w:ascii="Arial" w:hAnsi="Arial" w:cs="Arial"/>
          <w:sz w:val="21"/>
          <w:szCs w:val="21"/>
          <w:shd w:val="clear" w:color="auto" w:fill="FCFCFC"/>
        </w:rPr>
        <w:t>j</w:t>
      </w:r>
      <w:r w:rsidRPr="006E495A">
        <w:rPr>
          <w:rStyle w:val="mjxassistivemathml"/>
          <w:rFonts w:ascii="Arial" w:hAnsi="Arial" w:cs="Arial"/>
          <w:sz w:val="21"/>
          <w:szCs w:val="21"/>
          <w:shd w:val="clear" w:color="auto" w:fill="FCFCFC"/>
        </w:rPr>
        <w:t>j</w:t>
      </w:r>
      <w:r w:rsidRPr="006E495A">
        <w:rPr>
          <w:rFonts w:ascii="Arial" w:hAnsi="Arial" w:cs="Arial"/>
          <w:sz w:val="21"/>
          <w:szCs w:val="21"/>
          <w:shd w:val="clear" w:color="auto" w:fill="FCFCFC"/>
        </w:rPr>
        <w:t> is considered dependent on center voxel with gray level </w:t>
      </w:r>
      <m:oMath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i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> if 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sz w:val="21"/>
                <w:szCs w:val="21"/>
                <w:shd w:val="clear" w:color="auto" w:fill="FCFCFC"/>
              </w:rPr>
            </m:ctrlPr>
          </m:dPr>
          <m:e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i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-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j</m:t>
            </m:r>
          </m:e>
        </m:d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≤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α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 xml:space="preserve">. In a </w:t>
      </w:r>
      <w:r w:rsidRPr="006E495A">
        <w:rPr>
          <w:rFonts w:ascii="Arial" w:hAnsi="Arial" w:cs="Arial"/>
          <w:sz w:val="21"/>
          <w:szCs w:val="21"/>
          <w:shd w:val="clear" w:color="auto" w:fill="FCFCFC"/>
        </w:rPr>
        <w:t>gray level dependence matrix </w:t>
      </w:r>
      <m:oMath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P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(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i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,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j</m:t>
        </m:r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)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 xml:space="preserve"> the </w:t>
      </w:r>
      <m:oMath>
        <m:sSup>
          <m:sSupPr>
            <m:ctrlPr>
              <w:rPr>
                <w:rFonts w:ascii="Cambria Math" w:hAnsi="Cambria Math" w:cs="Arial"/>
                <w:i/>
                <w:sz w:val="21"/>
                <w:szCs w:val="21"/>
                <w:shd w:val="clear" w:color="auto" w:fill="FCFCFC"/>
              </w:rPr>
            </m:ctrlPr>
          </m:sSupPr>
          <m:e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(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i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,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j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)</m:t>
            </m:r>
          </m:e>
          <m:sup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t</m:t>
            </m:r>
            <m:r>
              <w:rPr>
                <w:rFonts w:ascii="Cambria Math" w:hAnsi="Cambria Math" w:cs="Arial"/>
                <w:sz w:val="21"/>
                <w:szCs w:val="21"/>
                <w:shd w:val="clear" w:color="auto" w:fill="FCFCFC"/>
              </w:rPr>
              <m:t>h</m:t>
            </m:r>
          </m:sup>
        </m:sSup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 xml:space="preserve"> 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>element describes the number of times a voxel with gray level </w:t>
      </w:r>
      <m:oMath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i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 xml:space="preserve"> with </w:t>
      </w:r>
      <m:oMath>
        <m:r>
          <w:rPr>
            <w:rFonts w:ascii="Cambria Math" w:hAnsi="Cambria Math" w:cs="Arial"/>
            <w:sz w:val="21"/>
            <w:szCs w:val="21"/>
            <w:shd w:val="clear" w:color="auto" w:fill="FCFCFC"/>
          </w:rPr>
          <m:t>j</m:t>
        </m:r>
      </m:oMath>
      <w:r w:rsidRPr="006E495A">
        <w:rPr>
          <w:rFonts w:ascii="Arial" w:hAnsi="Arial" w:cs="Arial"/>
          <w:sz w:val="21"/>
          <w:szCs w:val="21"/>
          <w:shd w:val="clear" w:color="auto" w:fill="FCFCFC"/>
        </w:rPr>
        <w:t> dependent voxels in its neighbourhood appears in image.</w:t>
      </w:r>
    </w:p>
    <w:p w14:paraId="438AB88C" w14:textId="77777777" w:rsidR="00B05B24" w:rsidRPr="006E495A" w:rsidRDefault="005A6949">
      <w:pPr>
        <w:spacing w:line="360" w:lineRule="auto"/>
        <w:jc w:val="left"/>
        <w:rPr>
          <w:rFonts w:ascii="Arial" w:eastAsiaTheme="minorHAnsi" w:hAnsi="Arial" w:cs="Arial"/>
          <w:b/>
          <w:kern w:val="0"/>
          <w:szCs w:val="21"/>
          <w:lang w:val="nl-NL" w:eastAsia="en-US"/>
        </w:rPr>
      </w:pPr>
      <w:r w:rsidRPr="006E495A">
        <w:rPr>
          <w:rFonts w:ascii="Arial" w:eastAsiaTheme="minorHAnsi" w:hAnsi="Arial" w:cs="Arial"/>
          <w:b/>
          <w:kern w:val="0"/>
          <w:szCs w:val="21"/>
          <w:lang w:val="nl-NL" w:eastAsia="en-US"/>
        </w:rPr>
        <w:t xml:space="preserve">Table S6. </w:t>
      </w:r>
      <w:r w:rsidRPr="006E495A">
        <w:rPr>
          <w:rFonts w:ascii="Arial" w:eastAsiaTheme="minorHAnsi" w:hAnsi="Arial" w:cs="Arial"/>
          <w:kern w:val="0"/>
          <w:szCs w:val="21"/>
          <w:lang w:val="nl-NL" w:eastAsia="en-US"/>
        </w:rPr>
        <w:t>Descriptions of all features for GLDM characteristics.</w:t>
      </w:r>
    </w:p>
    <w:tbl>
      <w:tblPr>
        <w:tblStyle w:val="a5"/>
        <w:tblW w:w="9350" w:type="dxa"/>
        <w:tblLayout w:type="fixed"/>
        <w:tblLook w:val="04A0" w:firstRow="1" w:lastRow="0" w:firstColumn="1" w:lastColumn="0" w:noHBand="0" w:noVBand="1"/>
      </w:tblPr>
      <w:tblGrid>
        <w:gridCol w:w="526"/>
        <w:gridCol w:w="2397"/>
        <w:gridCol w:w="6427"/>
      </w:tblGrid>
      <w:tr w:rsidR="00B05B24" w:rsidRPr="006E495A" w14:paraId="7267CA9D" w14:textId="77777777">
        <w:tc>
          <w:tcPr>
            <w:tcW w:w="526" w:type="dxa"/>
            <w:vAlign w:val="center"/>
          </w:tcPr>
          <w:p w14:paraId="3BD6B56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No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.</w:t>
            </w:r>
          </w:p>
        </w:tc>
        <w:tc>
          <w:tcPr>
            <w:tcW w:w="2397" w:type="dxa"/>
            <w:vAlign w:val="center"/>
          </w:tcPr>
          <w:p w14:paraId="36F991B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Feat</w:t>
            </w:r>
            <w:r w:rsidRPr="006E495A">
              <w:rPr>
                <w:rFonts w:ascii="Arial" w:eastAsia="宋体" w:hAnsi="Arial" w:cs="Arial"/>
                <w:szCs w:val="21"/>
              </w:rPr>
              <w:t>ure names</w:t>
            </w:r>
          </w:p>
        </w:tc>
        <w:tc>
          <w:tcPr>
            <w:tcW w:w="6427" w:type="dxa"/>
            <w:vAlign w:val="center"/>
          </w:tcPr>
          <w:p w14:paraId="1F5747B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Descriptions</w:t>
            </w:r>
          </w:p>
        </w:tc>
      </w:tr>
      <w:tr w:rsidR="00B05B24" w:rsidRPr="006E495A" w14:paraId="77B85A0F" w14:textId="77777777">
        <w:tc>
          <w:tcPr>
            <w:tcW w:w="526" w:type="dxa"/>
            <w:vAlign w:val="center"/>
          </w:tcPr>
          <w:p w14:paraId="12D4E8A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2397" w:type="dxa"/>
            <w:vAlign w:val="center"/>
          </w:tcPr>
          <w:p w14:paraId="0CED9BF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Dependence Entropy</w:t>
            </w:r>
          </w:p>
        </w:tc>
        <w:tc>
          <w:tcPr>
            <w:tcW w:w="6427" w:type="dxa"/>
            <w:vAlign w:val="center"/>
          </w:tcPr>
          <w:p w14:paraId="1284478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 measure of the randomness/variability in dependence size in the image.</w:t>
            </w:r>
          </w:p>
        </w:tc>
      </w:tr>
      <w:tr w:rsidR="00B05B24" w:rsidRPr="006E495A" w14:paraId="1F7B5B21" w14:textId="77777777">
        <w:tc>
          <w:tcPr>
            <w:tcW w:w="526" w:type="dxa"/>
            <w:vAlign w:val="center"/>
          </w:tcPr>
          <w:p w14:paraId="7663D9B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2397" w:type="dxa"/>
            <w:vAlign w:val="center"/>
          </w:tcPr>
          <w:p w14:paraId="6FA56E9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Dependence Non-Uniformity (DN)</w:t>
            </w:r>
          </w:p>
        </w:tc>
        <w:tc>
          <w:tcPr>
            <w:tcW w:w="6427" w:type="dxa"/>
            <w:vAlign w:val="center"/>
          </w:tcPr>
          <w:p w14:paraId="3890A0F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Measures the similarity of dependence throughout the image, with a lower value indicating more </w:t>
            </w:r>
            <w:r w:rsidRPr="006E495A">
              <w:rPr>
                <w:rFonts w:ascii="Arial" w:eastAsia="宋体" w:hAnsi="Arial" w:cs="Arial"/>
                <w:szCs w:val="21"/>
              </w:rPr>
              <w:t>homogeneity among dependencies in the image.</w:t>
            </w:r>
          </w:p>
        </w:tc>
      </w:tr>
      <w:tr w:rsidR="00B05B24" w:rsidRPr="006E495A" w14:paraId="40B428E9" w14:textId="77777777">
        <w:tc>
          <w:tcPr>
            <w:tcW w:w="526" w:type="dxa"/>
            <w:vAlign w:val="center"/>
          </w:tcPr>
          <w:p w14:paraId="5A63B41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2397" w:type="dxa"/>
            <w:vAlign w:val="center"/>
          </w:tcPr>
          <w:p w14:paraId="3E00AB8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Dependence Non-Uniformity Normalized (DNN)</w:t>
            </w:r>
          </w:p>
        </w:tc>
        <w:tc>
          <w:tcPr>
            <w:tcW w:w="6427" w:type="dxa"/>
            <w:vAlign w:val="center"/>
          </w:tcPr>
          <w:p w14:paraId="3AC207DB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similarity of dependence throughout the image, with a lower value indicating more homogeneity among dependencies in the image. This is the normalized ve</w:t>
            </w:r>
            <w:r w:rsidRPr="006E495A">
              <w:rPr>
                <w:rFonts w:ascii="Arial" w:eastAsia="宋体" w:hAnsi="Arial" w:cs="Arial"/>
                <w:szCs w:val="21"/>
              </w:rPr>
              <w:t>rsion of the DLN formula.</w:t>
            </w:r>
          </w:p>
        </w:tc>
      </w:tr>
      <w:tr w:rsidR="00B05B24" w:rsidRPr="006E495A" w14:paraId="5C00538D" w14:textId="77777777">
        <w:tc>
          <w:tcPr>
            <w:tcW w:w="526" w:type="dxa"/>
            <w:vAlign w:val="center"/>
          </w:tcPr>
          <w:p w14:paraId="5A92500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2397" w:type="dxa"/>
            <w:vAlign w:val="center"/>
          </w:tcPr>
          <w:p w14:paraId="3A141CA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Dependence Variance </w:t>
            </w:r>
          </w:p>
        </w:tc>
        <w:tc>
          <w:tcPr>
            <w:tcW w:w="6427" w:type="dxa"/>
            <w:vAlign w:val="center"/>
          </w:tcPr>
          <w:p w14:paraId="309B971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variance in dependence size in the image.</w:t>
            </w:r>
          </w:p>
        </w:tc>
      </w:tr>
      <w:tr w:rsidR="00B05B24" w:rsidRPr="006E495A" w14:paraId="4F6B76F7" w14:textId="77777777">
        <w:tc>
          <w:tcPr>
            <w:tcW w:w="526" w:type="dxa"/>
            <w:vAlign w:val="center"/>
          </w:tcPr>
          <w:p w14:paraId="13922E4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2397" w:type="dxa"/>
            <w:vAlign w:val="center"/>
          </w:tcPr>
          <w:p w14:paraId="6A061C6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Non-Uniformity (GLN)</w:t>
            </w:r>
          </w:p>
        </w:tc>
        <w:tc>
          <w:tcPr>
            <w:tcW w:w="6427" w:type="dxa"/>
            <w:vAlign w:val="center"/>
          </w:tcPr>
          <w:p w14:paraId="077C879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Measures the similarity of gray-level intensity values in the image, where a lower GLN value correlates with a </w:t>
            </w:r>
            <w:r w:rsidRPr="006E495A">
              <w:rPr>
                <w:rFonts w:ascii="Arial" w:eastAsia="宋体" w:hAnsi="Arial" w:cs="Arial"/>
                <w:szCs w:val="21"/>
              </w:rPr>
              <w:t>greater similarity in intensity values.</w:t>
            </w:r>
          </w:p>
        </w:tc>
      </w:tr>
      <w:tr w:rsidR="00B05B24" w:rsidRPr="006E495A" w14:paraId="706B032E" w14:textId="77777777">
        <w:tc>
          <w:tcPr>
            <w:tcW w:w="526" w:type="dxa"/>
            <w:vAlign w:val="center"/>
          </w:tcPr>
          <w:p w14:paraId="68BFAEE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2397" w:type="dxa"/>
            <w:vAlign w:val="center"/>
          </w:tcPr>
          <w:p w14:paraId="1CA5D79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Gray Level Variance (GLV)</w:t>
            </w:r>
          </w:p>
        </w:tc>
        <w:tc>
          <w:tcPr>
            <w:tcW w:w="6427" w:type="dxa"/>
            <w:vAlign w:val="center"/>
          </w:tcPr>
          <w:p w14:paraId="214BB4F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variance in grey level in the image.</w:t>
            </w:r>
          </w:p>
        </w:tc>
      </w:tr>
      <w:tr w:rsidR="00B05B24" w:rsidRPr="006E495A" w14:paraId="16C04A29" w14:textId="77777777">
        <w:tc>
          <w:tcPr>
            <w:tcW w:w="526" w:type="dxa"/>
            <w:vAlign w:val="center"/>
          </w:tcPr>
          <w:p w14:paraId="5466018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7</w:t>
            </w:r>
          </w:p>
        </w:tc>
        <w:tc>
          <w:tcPr>
            <w:tcW w:w="2397" w:type="dxa"/>
            <w:vAlign w:val="center"/>
          </w:tcPr>
          <w:p w14:paraId="6855A82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High Gray Level Emphasis (HGLE)</w:t>
            </w:r>
          </w:p>
        </w:tc>
        <w:tc>
          <w:tcPr>
            <w:tcW w:w="6427" w:type="dxa"/>
            <w:vAlign w:val="center"/>
          </w:tcPr>
          <w:p w14:paraId="391FDF24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distribution of the higher gray-level values, with a higher value indicating a greater co</w:t>
            </w:r>
            <w:r w:rsidRPr="006E495A">
              <w:rPr>
                <w:rFonts w:ascii="Arial" w:eastAsia="宋体" w:hAnsi="Arial" w:cs="Arial"/>
                <w:szCs w:val="21"/>
              </w:rPr>
              <w:t>ncentration of high gray-level values in the image.</w:t>
            </w:r>
          </w:p>
        </w:tc>
      </w:tr>
      <w:tr w:rsidR="00B05B24" w:rsidRPr="006E495A" w14:paraId="21CC3725" w14:textId="77777777">
        <w:tc>
          <w:tcPr>
            <w:tcW w:w="526" w:type="dxa"/>
            <w:vAlign w:val="center"/>
          </w:tcPr>
          <w:p w14:paraId="69E9D7D1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8</w:t>
            </w:r>
          </w:p>
        </w:tc>
        <w:tc>
          <w:tcPr>
            <w:tcW w:w="2397" w:type="dxa"/>
            <w:vAlign w:val="center"/>
          </w:tcPr>
          <w:p w14:paraId="4B094D5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Dependence Emphasis (LDE)</w:t>
            </w:r>
          </w:p>
        </w:tc>
        <w:tc>
          <w:tcPr>
            <w:tcW w:w="6427" w:type="dxa"/>
            <w:vAlign w:val="center"/>
          </w:tcPr>
          <w:p w14:paraId="3EE9937F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 measure of the distribution of large dependencies, with a greater value indicative of larger dependence and more homogeneous textures.</w:t>
            </w:r>
          </w:p>
        </w:tc>
      </w:tr>
      <w:tr w:rsidR="00B05B24" w:rsidRPr="006E495A" w14:paraId="4C303EFB" w14:textId="77777777">
        <w:tc>
          <w:tcPr>
            <w:tcW w:w="526" w:type="dxa"/>
            <w:vAlign w:val="center"/>
          </w:tcPr>
          <w:p w14:paraId="326C4F46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9</w:t>
            </w:r>
          </w:p>
        </w:tc>
        <w:tc>
          <w:tcPr>
            <w:tcW w:w="2397" w:type="dxa"/>
            <w:vAlign w:val="center"/>
          </w:tcPr>
          <w:p w14:paraId="0029F93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Dependence High Gray Le</w:t>
            </w:r>
            <w:r w:rsidRPr="006E495A">
              <w:rPr>
                <w:rFonts w:ascii="Arial" w:eastAsia="宋体" w:hAnsi="Arial" w:cs="Arial"/>
                <w:szCs w:val="21"/>
              </w:rPr>
              <w:t>vel Emphasis (LDHGLE)</w:t>
            </w:r>
          </w:p>
        </w:tc>
        <w:tc>
          <w:tcPr>
            <w:tcW w:w="6427" w:type="dxa"/>
            <w:vAlign w:val="center"/>
          </w:tcPr>
          <w:p w14:paraId="6549683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joint distribution of large dependence with higher gray-level values.</w:t>
            </w:r>
          </w:p>
        </w:tc>
      </w:tr>
      <w:tr w:rsidR="00B05B24" w:rsidRPr="006E495A" w14:paraId="04E2FC93" w14:textId="77777777">
        <w:tc>
          <w:tcPr>
            <w:tcW w:w="526" w:type="dxa"/>
            <w:vAlign w:val="center"/>
          </w:tcPr>
          <w:p w14:paraId="71ECF71A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10</w:t>
            </w:r>
          </w:p>
        </w:tc>
        <w:tc>
          <w:tcPr>
            <w:tcW w:w="2397" w:type="dxa"/>
            <w:vAlign w:val="center"/>
          </w:tcPr>
          <w:p w14:paraId="2AD08B1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Large Dependence Low Gray Level Emphasis (LDLGLE)</w:t>
            </w:r>
          </w:p>
        </w:tc>
        <w:tc>
          <w:tcPr>
            <w:tcW w:w="6427" w:type="dxa"/>
            <w:vAlign w:val="center"/>
          </w:tcPr>
          <w:p w14:paraId="1D73F74D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joint distribution of large dependence with lower gray-level values.</w:t>
            </w:r>
          </w:p>
        </w:tc>
      </w:tr>
      <w:tr w:rsidR="00B05B24" w:rsidRPr="006E495A" w14:paraId="6C05AEE0" w14:textId="77777777">
        <w:tc>
          <w:tcPr>
            <w:tcW w:w="526" w:type="dxa"/>
            <w:vAlign w:val="center"/>
          </w:tcPr>
          <w:p w14:paraId="13003E57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11</w:t>
            </w:r>
          </w:p>
        </w:tc>
        <w:tc>
          <w:tcPr>
            <w:tcW w:w="2397" w:type="dxa"/>
            <w:vAlign w:val="center"/>
          </w:tcPr>
          <w:p w14:paraId="0B64462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Low </w:t>
            </w:r>
            <w:r w:rsidRPr="006E495A">
              <w:rPr>
                <w:rFonts w:ascii="Arial" w:eastAsia="宋体" w:hAnsi="Arial" w:cs="Arial"/>
                <w:szCs w:val="21"/>
              </w:rPr>
              <w:t>Gray Level Emphasis (LGLE)</w:t>
            </w:r>
          </w:p>
        </w:tc>
        <w:tc>
          <w:tcPr>
            <w:tcW w:w="6427" w:type="dxa"/>
            <w:vAlign w:val="center"/>
          </w:tcPr>
          <w:p w14:paraId="20E42900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 xml:space="preserve">Measures the distribution of low gray-level values, with a higher value indicating a greater concentration of low gray-level values in </w:t>
            </w:r>
            <w:r w:rsidRPr="006E495A">
              <w:rPr>
                <w:rFonts w:ascii="Arial" w:eastAsia="宋体" w:hAnsi="Arial" w:cs="Arial"/>
                <w:szCs w:val="21"/>
              </w:rPr>
              <w:lastRenderedPageBreak/>
              <w:t>the image.</w:t>
            </w:r>
          </w:p>
        </w:tc>
      </w:tr>
      <w:tr w:rsidR="00B05B24" w:rsidRPr="006E495A" w14:paraId="79A0D584" w14:textId="77777777">
        <w:tc>
          <w:tcPr>
            <w:tcW w:w="526" w:type="dxa"/>
            <w:vAlign w:val="center"/>
          </w:tcPr>
          <w:p w14:paraId="3112CB53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lastRenderedPageBreak/>
              <w:t>12</w:t>
            </w:r>
          </w:p>
        </w:tc>
        <w:tc>
          <w:tcPr>
            <w:tcW w:w="2397" w:type="dxa"/>
            <w:vAlign w:val="center"/>
          </w:tcPr>
          <w:p w14:paraId="390F040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Dependence Emphasis (SDE)</w:t>
            </w:r>
          </w:p>
        </w:tc>
        <w:tc>
          <w:tcPr>
            <w:tcW w:w="6427" w:type="dxa"/>
            <w:vAlign w:val="center"/>
          </w:tcPr>
          <w:p w14:paraId="101B127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A measure of the distribution of small dependen</w:t>
            </w:r>
            <w:r w:rsidRPr="006E495A">
              <w:rPr>
                <w:rFonts w:ascii="Arial" w:eastAsia="宋体" w:hAnsi="Arial" w:cs="Arial"/>
                <w:szCs w:val="21"/>
              </w:rPr>
              <w:t>cies, with a greater value indicative of smaller dependence and less homogeneous textures.</w:t>
            </w:r>
          </w:p>
        </w:tc>
      </w:tr>
      <w:tr w:rsidR="00B05B24" w:rsidRPr="006E495A" w14:paraId="2AC292CA" w14:textId="77777777">
        <w:tc>
          <w:tcPr>
            <w:tcW w:w="526" w:type="dxa"/>
            <w:vAlign w:val="center"/>
          </w:tcPr>
          <w:p w14:paraId="2A2C2B2E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13</w:t>
            </w:r>
          </w:p>
        </w:tc>
        <w:tc>
          <w:tcPr>
            <w:tcW w:w="2397" w:type="dxa"/>
            <w:vAlign w:val="center"/>
          </w:tcPr>
          <w:p w14:paraId="7B8151DC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Dependence High Gray Level Emphasis (SDHGLE)</w:t>
            </w:r>
          </w:p>
        </w:tc>
        <w:tc>
          <w:tcPr>
            <w:tcW w:w="6427" w:type="dxa"/>
            <w:vAlign w:val="center"/>
          </w:tcPr>
          <w:p w14:paraId="2B2E5012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joint distribution of small dependence with higher gray-level values.</w:t>
            </w:r>
          </w:p>
        </w:tc>
      </w:tr>
      <w:tr w:rsidR="00B05B24" w:rsidRPr="006E495A" w14:paraId="5A5551A8" w14:textId="77777777">
        <w:tc>
          <w:tcPr>
            <w:tcW w:w="526" w:type="dxa"/>
            <w:vAlign w:val="center"/>
          </w:tcPr>
          <w:p w14:paraId="0586177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14</w:t>
            </w:r>
          </w:p>
        </w:tc>
        <w:tc>
          <w:tcPr>
            <w:tcW w:w="2397" w:type="dxa"/>
            <w:vAlign w:val="center"/>
          </w:tcPr>
          <w:p w14:paraId="043F0008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Small Dependence Low Gr</w:t>
            </w:r>
            <w:r w:rsidRPr="006E495A">
              <w:rPr>
                <w:rFonts w:ascii="Arial" w:eastAsia="宋体" w:hAnsi="Arial" w:cs="Arial"/>
                <w:szCs w:val="21"/>
              </w:rPr>
              <w:t>ay Level Emphasis (SDLGLE)</w:t>
            </w:r>
          </w:p>
        </w:tc>
        <w:tc>
          <w:tcPr>
            <w:tcW w:w="6427" w:type="dxa"/>
            <w:vAlign w:val="center"/>
          </w:tcPr>
          <w:p w14:paraId="7FF0F789" w14:textId="77777777" w:rsidR="00B05B24" w:rsidRPr="006E495A" w:rsidRDefault="005A6949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6E495A">
              <w:rPr>
                <w:rFonts w:ascii="Arial" w:eastAsia="宋体" w:hAnsi="Arial" w:cs="Arial"/>
                <w:szCs w:val="21"/>
              </w:rPr>
              <w:t>Measures the joint distribution of small dependence with lower gray-level values.</w:t>
            </w:r>
          </w:p>
        </w:tc>
      </w:tr>
    </w:tbl>
    <w:p w14:paraId="162A82DC" w14:textId="77777777" w:rsidR="00B05B24" w:rsidRPr="006E495A" w:rsidRDefault="00B05B24">
      <w:pPr>
        <w:rPr>
          <w:rFonts w:ascii="Arial" w:hAnsi="Arial" w:cs="Arial"/>
          <w:color w:val="000000"/>
          <w:szCs w:val="21"/>
        </w:rPr>
      </w:pPr>
    </w:p>
    <w:sectPr w:rsidR="00B05B24" w:rsidRPr="006E4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22660" w14:textId="77777777" w:rsidR="005A6949" w:rsidRDefault="005A6949" w:rsidP="006E495A">
      <w:r>
        <w:separator/>
      </w:r>
    </w:p>
  </w:endnote>
  <w:endnote w:type="continuationSeparator" w:id="0">
    <w:p w14:paraId="6B17A722" w14:textId="77777777" w:rsidR="005A6949" w:rsidRDefault="005A6949" w:rsidP="006E4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DEBBD8" w14:textId="77777777" w:rsidR="005A6949" w:rsidRDefault="005A6949" w:rsidP="006E495A">
      <w:r>
        <w:separator/>
      </w:r>
    </w:p>
  </w:footnote>
  <w:footnote w:type="continuationSeparator" w:id="0">
    <w:p w14:paraId="7EC8DEC0" w14:textId="77777777" w:rsidR="005A6949" w:rsidRDefault="005A6949" w:rsidP="006E4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2ACDE8"/>
    <w:multiLevelType w:val="multilevel"/>
    <w:tmpl w:val="862ACDE8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3E0626"/>
    <w:multiLevelType w:val="multilevel"/>
    <w:tmpl w:val="303E0626"/>
    <w:lvl w:ilvl="0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55742CE"/>
    <w:rsid w:val="F55742CE"/>
    <w:rsid w:val="005A6949"/>
    <w:rsid w:val="006E495A"/>
    <w:rsid w:val="00B05B24"/>
    <w:rsid w:val="6FFF67DF"/>
    <w:rsid w:val="77D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BF4B92"/>
  <w15:docId w15:val="{CCAC2CE7-AE34-49CE-941E-E7B81D91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Pr>
      <w:sz w:val="20"/>
      <w:szCs w:val="20"/>
    </w:rPr>
  </w:style>
  <w:style w:type="character" w:styleId="a4">
    <w:name w:val="annotation reference"/>
    <w:basedOn w:val="a0"/>
    <w:rPr>
      <w:sz w:val="16"/>
      <w:szCs w:val="16"/>
    </w:rPr>
  </w:style>
  <w:style w:type="table" w:styleId="a5">
    <w:name w:val="Table Grid"/>
    <w:basedOn w:val="a1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无间隔1"/>
    <w:uiPriority w:val="1"/>
    <w:qFormat/>
    <w:pPr>
      <w:jc w:val="both"/>
    </w:pPr>
    <w:rPr>
      <w:rFonts w:ascii="Times New Roman" w:eastAsiaTheme="minorHAnsi" w:hAnsi="Times New Roman" w:cs="Times New Roman"/>
      <w:sz w:val="24"/>
      <w:szCs w:val="24"/>
      <w:lang w:val="nl-NL" w:eastAsia="en-US"/>
    </w:rPr>
  </w:style>
  <w:style w:type="paragraph" w:customStyle="1" w:styleId="10">
    <w:name w:val="列表段落1"/>
    <w:basedOn w:val="a"/>
    <w:uiPriority w:val="34"/>
    <w:qFormat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lang w:val="es-ES" w:eastAsia="en-US"/>
    </w:rPr>
  </w:style>
  <w:style w:type="paragraph" w:customStyle="1" w:styleId="2">
    <w:name w:val="列表段落2"/>
    <w:basedOn w:val="a"/>
    <w:uiPriority w:val="34"/>
    <w:qFormat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lang w:val="es-ES" w:eastAsia="en-US"/>
    </w:rPr>
  </w:style>
  <w:style w:type="character" w:customStyle="1" w:styleId="mi">
    <w:name w:val="mi"/>
    <w:basedOn w:val="a0"/>
    <w:qFormat/>
  </w:style>
  <w:style w:type="character" w:customStyle="1" w:styleId="mjxassistivemathml">
    <w:name w:val="mjx_assistive_mathml"/>
    <w:basedOn w:val="a0"/>
    <w:qFormat/>
  </w:style>
  <w:style w:type="paragraph" w:styleId="a6">
    <w:name w:val="header"/>
    <w:basedOn w:val="a"/>
    <w:link w:val="a7"/>
    <w:rsid w:val="006E4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E495A"/>
    <w:rPr>
      <w:kern w:val="2"/>
      <w:sz w:val="18"/>
      <w:szCs w:val="18"/>
    </w:rPr>
  </w:style>
  <w:style w:type="paragraph" w:styleId="a8">
    <w:name w:val="footer"/>
    <w:basedOn w:val="a"/>
    <w:link w:val="a9"/>
    <w:rsid w:val="006E4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E49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3581</Words>
  <Characters>20416</Characters>
  <Application>Microsoft Office Word</Application>
  <DocSecurity>0</DocSecurity>
  <Lines>170</Lines>
  <Paragraphs>47</Paragraphs>
  <ScaleCrop>false</ScaleCrop>
  <Company/>
  <LinksUpToDate>false</LinksUpToDate>
  <CharactersWithSpaces>23950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deepwise</dc:creator>
  <cp:lastModifiedBy>74098</cp:lastModifiedBy>
  <cp:revision>2</cp:revision>
  <dcterms:created xsi:type="dcterms:W3CDTF">2020-05-07T16:47:00Z</dcterms:created>
  <dcterms:modified xsi:type="dcterms:W3CDTF">2020-05-12T01:15:00Z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